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379" w:rsidRDefault="00372379">
      <w:pPr>
        <w:spacing w:line="240" w:lineRule="auto"/>
        <w:rPr>
          <w:sz w:val="6"/>
        </w:rPr>
        <w:sectPr w:rsidR="0037237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372379" w:rsidRDefault="00372379">
      <w:pPr>
        <w:pStyle w:val="H1"/>
      </w:pPr>
      <w:r>
        <w:t>Comité para la Eliminación de la Discriminación</w:t>
      </w:r>
      <w:r>
        <w:br/>
        <w:t>contra la Mujer</w:t>
      </w:r>
    </w:p>
    <w:p w:rsidR="00372379" w:rsidRDefault="00372379">
      <w:pPr>
        <w:pStyle w:val="H23"/>
      </w:pPr>
      <w:r>
        <w:t>23° período de sesiones</w:t>
      </w:r>
    </w:p>
    <w:p w:rsidR="00372379" w:rsidRDefault="00372379">
      <w:pPr>
        <w:spacing w:line="240" w:lineRule="auto"/>
        <w:rPr>
          <w:sz w:val="12"/>
        </w:rPr>
      </w:pPr>
    </w:p>
    <w:p w:rsidR="00372379" w:rsidRDefault="00372379">
      <w:pPr>
        <w:pStyle w:val="H23"/>
      </w:pPr>
      <w:r>
        <w:t>Acta resumida de la 484ª sesión</w:t>
      </w:r>
    </w:p>
    <w:p w:rsidR="00372379" w:rsidRDefault="00372379">
      <w:r>
        <w:t>Celebrada en la Sede, Nueva York, el martes 27 de junio de 2000 a las 10.30 horas</w:t>
      </w:r>
    </w:p>
    <w:p w:rsidR="00372379" w:rsidRDefault="00372379">
      <w:pPr>
        <w:spacing w:line="120" w:lineRule="exact"/>
        <w:rPr>
          <w:sz w:val="10"/>
        </w:rPr>
      </w:pPr>
    </w:p>
    <w:p w:rsidR="00372379" w:rsidRDefault="00372379">
      <w:pPr>
        <w:tabs>
          <w:tab w:val="right" w:pos="950"/>
          <w:tab w:val="left" w:pos="1267"/>
          <w:tab w:val="right" w:leader="dot" w:pos="8568"/>
        </w:tabs>
        <w:ind w:right="1267"/>
      </w:pPr>
      <w:r>
        <w:rPr>
          <w:i/>
        </w:rPr>
        <w:t>Presidenta:</w:t>
      </w:r>
      <w:r>
        <w:tab/>
        <w:t>Sra. Schöpp-Schilling (Vicepresidenta)</w:t>
      </w:r>
    </w:p>
    <w:p w:rsidR="00372379" w:rsidRDefault="00372379">
      <w:pPr>
        <w:tabs>
          <w:tab w:val="right" w:pos="950"/>
          <w:tab w:val="left" w:pos="1267"/>
          <w:tab w:val="right" w:leader="dot" w:pos="8568"/>
        </w:tabs>
        <w:spacing w:line="120" w:lineRule="exact"/>
        <w:ind w:right="1267"/>
        <w:rPr>
          <w:sz w:val="10"/>
        </w:rPr>
      </w:pPr>
    </w:p>
    <w:p w:rsidR="00372379" w:rsidRDefault="00372379">
      <w:pPr>
        <w:tabs>
          <w:tab w:val="right" w:pos="950"/>
          <w:tab w:val="left" w:pos="1267"/>
          <w:tab w:val="right" w:leader="dot" w:pos="8568"/>
        </w:tabs>
        <w:spacing w:line="120" w:lineRule="exact"/>
        <w:ind w:right="1267"/>
        <w:rPr>
          <w:sz w:val="10"/>
        </w:rPr>
      </w:pPr>
    </w:p>
    <w:p w:rsidR="00372379" w:rsidRDefault="00372379">
      <w:pPr>
        <w:tabs>
          <w:tab w:val="right" w:pos="950"/>
          <w:tab w:val="left" w:pos="1267"/>
          <w:tab w:val="right" w:leader="dot" w:pos="8568"/>
        </w:tabs>
        <w:spacing w:line="120" w:lineRule="exact"/>
        <w:ind w:right="1267"/>
        <w:rPr>
          <w:sz w:val="10"/>
        </w:rPr>
      </w:pPr>
    </w:p>
    <w:p w:rsidR="00372379" w:rsidRDefault="00372379">
      <w:pPr>
        <w:pStyle w:val="HCh"/>
        <w:rPr>
          <w:b w:val="0"/>
        </w:rPr>
      </w:pPr>
      <w:r>
        <w:rPr>
          <w:b w:val="0"/>
        </w:rPr>
        <w:t>Sumario</w:t>
      </w:r>
    </w:p>
    <w:p w:rsidR="00372379" w:rsidRDefault="00372379">
      <w:pPr>
        <w:pStyle w:val="HCh"/>
        <w:spacing w:line="240" w:lineRule="auto"/>
        <w:rPr>
          <w:b w:val="0"/>
          <w:sz w:val="12"/>
        </w:rPr>
      </w:pPr>
    </w:p>
    <w:p w:rsidR="00372379" w:rsidRDefault="00372379">
      <w:pPr>
        <w:pStyle w:val="SingleTxt"/>
        <w:jc w:val="left"/>
      </w:pPr>
      <w:r>
        <w:t xml:space="preserve">Examen de los informes presentados por los Estados partes de conformidad </w:t>
      </w:r>
      <w:r>
        <w:br/>
        <w:t xml:space="preserve">con el artículo 18 de la Convención </w:t>
      </w:r>
      <w:r>
        <w:rPr>
          <w:i/>
        </w:rPr>
        <w:t>(continuación)</w:t>
      </w:r>
    </w:p>
    <w:p w:rsidR="00372379" w:rsidRDefault="00372379">
      <w:pPr>
        <w:pStyle w:val="SingleTxt"/>
        <w:jc w:val="left"/>
        <w:rPr>
          <w:i/>
        </w:rPr>
      </w:pPr>
      <w:r>
        <w:tab/>
      </w:r>
      <w:r>
        <w:rPr>
          <w:i/>
        </w:rPr>
        <w:t>Informe inicial de la República de Moldova (continuación)</w:t>
      </w:r>
    </w:p>
    <w:p w:rsidR="00372379" w:rsidRDefault="00372379">
      <w:pPr>
        <w:pStyle w:val="SingleTxt"/>
        <w:suppressAutoHyphens/>
        <w:jc w:val="left"/>
      </w:pPr>
    </w:p>
    <w:p w:rsidR="00372379" w:rsidRDefault="00372379">
      <w:pPr>
        <w:pStyle w:val="SingleTxt"/>
        <w:suppressAutoHyphens/>
        <w:spacing w:after="0" w:line="240" w:lineRule="auto"/>
        <w:jc w:val="left"/>
        <w:rPr>
          <w:sz w:val="2"/>
        </w:rPr>
        <w:sectPr w:rsidR="00372379">
          <w:endnotePr>
            <w:numFmt w:val="decimal"/>
          </w:endnotePr>
          <w:type w:val="continuous"/>
          <w:pgSz w:w="12240" w:h="15840" w:code="1"/>
          <w:pgMar w:top="1742" w:right="1195" w:bottom="1898" w:left="1195" w:header="576" w:footer="1030" w:gutter="0"/>
          <w:pgNumType w:start="1"/>
          <w:cols w:space="720"/>
          <w:noEndnote/>
        </w:sectPr>
      </w:pPr>
      <w:r>
        <w:br w:type="page"/>
      </w:r>
    </w:p>
    <w:p w:rsidR="00372379" w:rsidRDefault="00372379">
      <w:pPr>
        <w:pStyle w:val="H4"/>
        <w:tabs>
          <w:tab w:val="right" w:pos="360"/>
          <w:tab w:val="left" w:pos="475"/>
          <w:tab w:val="left" w:pos="965"/>
          <w:tab w:val="left" w:pos="1440"/>
          <w:tab w:val="left" w:pos="1915"/>
          <w:tab w:val="left" w:pos="2405"/>
          <w:tab w:val="left" w:pos="2880"/>
          <w:tab w:val="left" w:pos="3355"/>
        </w:tabs>
      </w:pPr>
      <w:r>
        <w:t>En ausencia de la Presidenta, la Sra. Schöpp-Schilling (Vicepresidenta) ocupa la Presidencia.</w:t>
      </w:r>
    </w:p>
    <w:p w:rsidR="00372379" w:rsidRDefault="00372379">
      <w:pPr>
        <w:pStyle w:val="DualTxt"/>
        <w:spacing w:after="0" w:line="120" w:lineRule="exact"/>
        <w:rPr>
          <w:sz w:val="10"/>
        </w:rPr>
      </w:pPr>
    </w:p>
    <w:p w:rsidR="00372379" w:rsidRDefault="00372379">
      <w:pPr>
        <w:pStyle w:val="H4"/>
        <w:tabs>
          <w:tab w:val="left" w:pos="475"/>
          <w:tab w:val="left" w:pos="965"/>
          <w:tab w:val="left" w:pos="1440"/>
          <w:tab w:val="left" w:pos="1915"/>
          <w:tab w:val="left" w:pos="2405"/>
          <w:tab w:val="left" w:pos="2880"/>
          <w:tab w:val="left" w:pos="3355"/>
        </w:tabs>
        <w:ind w:left="475" w:hanging="475"/>
      </w:pPr>
      <w:r>
        <w:t>Se declara abierta la sesión a las 10.25 horas.</w:t>
      </w:r>
    </w:p>
    <w:p w:rsidR="00372379" w:rsidRDefault="00372379">
      <w:pPr>
        <w:pStyle w:val="DualTxt"/>
        <w:spacing w:after="0" w:line="120" w:lineRule="exact"/>
        <w:rPr>
          <w:sz w:val="10"/>
        </w:rPr>
      </w:pPr>
    </w:p>
    <w:p w:rsidR="00372379" w:rsidRDefault="00372379">
      <w:pPr>
        <w:pStyle w:val="DualTxt"/>
        <w:spacing w:after="0" w:line="120" w:lineRule="exact"/>
        <w:rPr>
          <w:sz w:val="10"/>
        </w:rPr>
      </w:pPr>
    </w:p>
    <w:p w:rsidR="00372379" w:rsidRDefault="00372379">
      <w:pPr>
        <w:pStyle w:val="DualTxt"/>
        <w:spacing w:after="0" w:line="120" w:lineRule="exact"/>
        <w:rPr>
          <w:sz w:val="10"/>
        </w:rPr>
      </w:pPr>
    </w:p>
    <w:p w:rsidR="00372379" w:rsidRDefault="00372379">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continuación</w:t>
      </w:r>
      <w:r>
        <w:rPr>
          <w:b w:val="0"/>
        </w:rPr>
        <w:t>)</w:t>
      </w:r>
    </w:p>
    <w:p w:rsidR="00372379" w:rsidRDefault="00372379">
      <w:pPr>
        <w:pStyle w:val="DualTxt"/>
        <w:spacing w:after="0" w:line="120" w:lineRule="exact"/>
        <w:rPr>
          <w:sz w:val="10"/>
        </w:rPr>
      </w:pPr>
    </w:p>
    <w:p w:rsidR="00372379" w:rsidRDefault="00372379">
      <w:pPr>
        <w:pStyle w:val="DualTxt"/>
        <w:spacing w:after="0" w:line="120" w:lineRule="exact"/>
        <w:rPr>
          <w:sz w:val="10"/>
        </w:rPr>
      </w:pPr>
    </w:p>
    <w:p w:rsidR="00372379" w:rsidRDefault="00372379">
      <w:pPr>
        <w:pStyle w:val="H4"/>
        <w:tabs>
          <w:tab w:val="right" w:pos="360"/>
          <w:tab w:val="left" w:pos="475"/>
          <w:tab w:val="left" w:pos="965"/>
          <w:tab w:val="left" w:pos="1440"/>
          <w:tab w:val="left" w:pos="1915"/>
          <w:tab w:val="left" w:pos="2405"/>
          <w:tab w:val="left" w:pos="2880"/>
          <w:tab w:val="left" w:pos="3355"/>
        </w:tabs>
        <w:ind w:left="475" w:hanging="475"/>
      </w:pPr>
      <w:r>
        <w:tab/>
      </w:r>
      <w:r>
        <w:tab/>
        <w:t>Informe inicial de la República de Moldova</w:t>
      </w:r>
      <w:r>
        <w:rPr>
          <w:i w:val="0"/>
        </w:rPr>
        <w:t xml:space="preserve"> </w:t>
      </w:r>
      <w:r>
        <w:t xml:space="preserve">(continuación) </w:t>
      </w:r>
      <w:r>
        <w:rPr>
          <w:i w:val="0"/>
        </w:rPr>
        <w:t>(CEDAW/C/MDA/1)</w:t>
      </w:r>
    </w:p>
    <w:p w:rsidR="00372379" w:rsidRDefault="00372379">
      <w:pPr>
        <w:pStyle w:val="DualTxt"/>
        <w:spacing w:after="0" w:line="120" w:lineRule="exact"/>
        <w:rPr>
          <w:sz w:val="10"/>
        </w:rPr>
      </w:pPr>
    </w:p>
    <w:p w:rsidR="00372379" w:rsidRDefault="00372379">
      <w:pPr>
        <w:pStyle w:val="DualTxt"/>
      </w:pPr>
      <w:r>
        <w:t>1.</w:t>
      </w:r>
      <w:r>
        <w:tab/>
      </w:r>
      <w:r>
        <w:rPr>
          <w:i/>
        </w:rPr>
        <w:t>Por invitación de la Presidenta, la Sra. Apostol (República de Moldova) toma asiento a la mesa del Comité</w:t>
      </w:r>
      <w:r>
        <w:t>.</w:t>
      </w:r>
    </w:p>
    <w:p w:rsidR="00372379" w:rsidRDefault="00372379">
      <w:pPr>
        <w:pStyle w:val="DualTxt"/>
      </w:pPr>
      <w:r>
        <w:t>2.</w:t>
      </w:r>
      <w:r>
        <w:tab/>
      </w:r>
      <w:r>
        <w:rPr>
          <w:b/>
        </w:rPr>
        <w:t>La Sra. Apostol</w:t>
      </w:r>
      <w:r>
        <w:t xml:space="preserve"> (República de Moldova) agrad</w:t>
      </w:r>
      <w:r>
        <w:t>e</w:t>
      </w:r>
      <w:r>
        <w:t>ce a los miembros del Comité sus objetivas y constru</w:t>
      </w:r>
      <w:r>
        <w:t>c</w:t>
      </w:r>
      <w:r>
        <w:t>tivas observaciones, que reflejan una profunda co</w:t>
      </w:r>
      <w:r>
        <w:t>m</w:t>
      </w:r>
      <w:r>
        <w:t>prensión de los problemas a los que hace frente su G</w:t>
      </w:r>
      <w:r>
        <w:t>o</w:t>
      </w:r>
      <w:r>
        <w:t>bierno. Cabe esperar que la República de Moldova se convierta en una sociedad verdaderamente democrát</w:t>
      </w:r>
      <w:r>
        <w:t>i</w:t>
      </w:r>
      <w:r>
        <w:t>ca, en la que los ciudadanos disfruten de los derechos a la vida, la salud, la protección social y todos los demás derechos inherentes a una sociedad democrática. El h</w:t>
      </w:r>
      <w:r>
        <w:t>e</w:t>
      </w:r>
      <w:r>
        <w:t>cho de que su país haya firmado numerosos acuerdos internacionales debe considerarse como un deseo de armonizar su legislación con las normas mundiales. E</w:t>
      </w:r>
      <w:r>
        <w:t>s</w:t>
      </w:r>
      <w:r>
        <w:t>tán en marcha una serie de medidas de gran prior</w:t>
      </w:r>
      <w:r>
        <w:t>i</w:t>
      </w:r>
      <w:r>
        <w:t>dad, destinadas a mejorar la condición jurídica y social de la mujer, y encaminadas, entre otras cosas, a prom</w:t>
      </w:r>
      <w:r>
        <w:t>o</w:t>
      </w:r>
      <w:r>
        <w:t>ver el papel de la mujer en la administración pública y a hacer un análisis de los proyectos de legislación s</w:t>
      </w:r>
      <w:r>
        <w:t>o</w:t>
      </w:r>
      <w:r>
        <w:t>bre cuestiones de género.</w:t>
      </w:r>
    </w:p>
    <w:p w:rsidR="00372379" w:rsidRDefault="00372379">
      <w:pPr>
        <w:pStyle w:val="DualTxt"/>
      </w:pPr>
      <w:r>
        <w:t>3.</w:t>
      </w:r>
      <w:r>
        <w:tab/>
        <w:t>En respuesta a las preguntas formuladas por el Comité sobre las relaciones entre el Gobierno y las o</w:t>
      </w:r>
      <w:r>
        <w:t>r</w:t>
      </w:r>
      <w:r>
        <w:t>ganizaciones no gubernamentales, la oradora dice que se ha mantenido una cooperación muy estrecha en to</w:t>
      </w:r>
      <w:r>
        <w:t>r</w:t>
      </w:r>
      <w:r>
        <w:t>no a una gran variedad de actividades conjuntas, i</w:t>
      </w:r>
      <w:r>
        <w:t>n</w:t>
      </w:r>
      <w:r>
        <w:t>cluidas publicaciones, seminarios y debates de mesa redonda sobre diversos temas relacionados con la co</w:t>
      </w:r>
      <w:r>
        <w:t>n</w:t>
      </w:r>
      <w:r>
        <w:t>dición jurídica y social de la mujer, la igualdad, la pa</w:t>
      </w:r>
      <w:r>
        <w:t>r</w:t>
      </w:r>
      <w:r>
        <w:t>ticipación en la solución de problemas y la no viole</w:t>
      </w:r>
      <w:r>
        <w:t>n</w:t>
      </w:r>
      <w:r>
        <w:t>cia. Si bien desconoce hasta qué punto hubo colabor</w:t>
      </w:r>
      <w:r>
        <w:t>a</w:t>
      </w:r>
      <w:r>
        <w:t>ción no gubernamental en la elaboración del informe inicial, la oradora puede confirmar la celebración de amplias consultas con entidades no gubernamentales durante la etapa preparatoria, la semana anterior, antes de que su delegación se presentara ante el Comité.</w:t>
      </w:r>
    </w:p>
    <w:p w:rsidR="00372379" w:rsidRDefault="00372379">
      <w:pPr>
        <w:pStyle w:val="DualTxt"/>
      </w:pPr>
      <w:r>
        <w:t>4.</w:t>
      </w:r>
      <w:r>
        <w:tab/>
        <w:t>Refiriéndose a la cuestión de la reforma legislat</w:t>
      </w:r>
      <w:r>
        <w:t>i</w:t>
      </w:r>
      <w:r>
        <w:t>va, dice que prácticamente toda la legislación nacional está siendo objeto de reforma. Además, un pequeño grupo de mujeres miembros del Parlamento realizaron actividades conjuntas con el propósito de que se apr</w:t>
      </w:r>
      <w:r>
        <w:t>o</w:t>
      </w:r>
      <w:r>
        <w:t>baran una serie de enmiendas a la legislación vigente, particularmente en la esfera de las prestaciones de jub</w:t>
      </w:r>
      <w:r>
        <w:t>i</w:t>
      </w:r>
      <w:r>
        <w:t>lación para la mujer. Con respecto a la excesiva carga que soportan las trabajadoras, de quienes se espera que lleven todo el peso de las labores domésticas, la orad</w:t>
      </w:r>
      <w:r>
        <w:t>o</w:t>
      </w:r>
      <w:r>
        <w:t>ra presenta estadísticas que demuestran que las horas del trabajo doméstico de la mujer de Moldova son, en término medio, dos veces y media más que las del hombre, además del trabajo que realiza fuera del hogar. El Gobierno aún no está en condiciones de aliviar esa situación mediante subvenciones. Tal vez la situación financiera mejorará una vez que el Gobierno se ponga al día en el pago de sus obligaciones por concepto de salarios y jubilaciones, largo tiempo pendiente.</w:t>
      </w:r>
    </w:p>
    <w:p w:rsidR="00372379" w:rsidRDefault="00372379">
      <w:pPr>
        <w:pStyle w:val="DualTxt"/>
        <w:rPr>
          <w:spacing w:val="2"/>
          <w:w w:val="101"/>
        </w:rPr>
      </w:pPr>
      <w:r>
        <w:t>5.</w:t>
      </w:r>
      <w:r>
        <w:tab/>
        <w:t>Las cuestiones relativas al pago de prestaciones a las nuevas madres se relacionan con los artículos 4 y 13. La oradora explica que la mujer tiene derecho a disfrutar de licencia antes y después del parto, con p</w:t>
      </w:r>
      <w:r>
        <w:t>a</w:t>
      </w:r>
      <w:r>
        <w:t>go de remuneración, por un total de 18 meses, al cabo de los cuales recibe sólo un pago parcial. También r</w:t>
      </w:r>
      <w:r>
        <w:t>e</w:t>
      </w:r>
      <w:r>
        <w:t xml:space="preserve">cibe una subvención para la crianza de hijos de edades comprendidas entre 18 meses y 16 años, o hasta que hayan terminado sus estudios escolares. Sin embargo, </w:t>
      </w:r>
      <w:r>
        <w:rPr>
          <w:spacing w:val="2"/>
          <w:w w:val="101"/>
        </w:rPr>
        <w:t>la oradora desea subrayar que tales pagos están sujetos a la prueba de los medios de vida y que no todas las muj</w:t>
      </w:r>
      <w:r>
        <w:rPr>
          <w:spacing w:val="2"/>
          <w:w w:val="101"/>
        </w:rPr>
        <w:t>e</w:t>
      </w:r>
      <w:r>
        <w:rPr>
          <w:spacing w:val="2"/>
          <w:w w:val="101"/>
        </w:rPr>
        <w:t>res reúnen los requisitos para percibir esos benef</w:t>
      </w:r>
      <w:r>
        <w:rPr>
          <w:spacing w:val="2"/>
          <w:w w:val="101"/>
        </w:rPr>
        <w:t>i</w:t>
      </w:r>
      <w:r>
        <w:rPr>
          <w:spacing w:val="2"/>
          <w:w w:val="101"/>
        </w:rPr>
        <w:t>cios.</w:t>
      </w:r>
    </w:p>
    <w:p w:rsidR="00372379" w:rsidRDefault="00372379">
      <w:pPr>
        <w:pStyle w:val="DualTxt"/>
      </w:pPr>
      <w:r>
        <w:t>6.</w:t>
      </w:r>
      <w:r>
        <w:tab/>
        <w:t>En los casos en que el niño nace fuera del matr</w:t>
      </w:r>
      <w:r>
        <w:t>i</w:t>
      </w:r>
      <w:r>
        <w:t>monio pero el padre reconoce la paternidad, la madre no tiene derecho a prestaciones como madre soltera. Si el padre se niega a prestar apoyo financiero, la mujer tiene derecho a solicitar al tribunal que emita una o</w:t>
      </w:r>
      <w:r>
        <w:t>r</w:t>
      </w:r>
      <w:r>
        <w:t>den judicial para el pago de la manutención del niño. Si el hombre declarado por la madre como padre natural se niega a reconocer al niño, la mujer tiene derecho a percibir la subvención para madres solteras además de cualquier otra prestación que pudiera corresponderle.</w:t>
      </w:r>
    </w:p>
    <w:p w:rsidR="00372379" w:rsidRDefault="00372379">
      <w:pPr>
        <w:pStyle w:val="DualTxt"/>
      </w:pPr>
      <w:r>
        <w:t>7.</w:t>
      </w:r>
      <w:r>
        <w:tab/>
        <w:t>En todos los casos, sin embargo, la cuantía de la prestación es proporcional al ingreso de la familia en relación con el salario mínimo. Las prestaciones se p</w:t>
      </w:r>
      <w:r>
        <w:t>a</w:t>
      </w:r>
      <w:r>
        <w:t>gan hasta que el niño alcanza la edad de 16 años, o termina su educación académica. Todas las mujeres, incluso las que no trabajan, tienen derecho a la licencia anterior y posterior al parto, con arreglo al sistema n</w:t>
      </w:r>
      <w:r>
        <w:t>a</w:t>
      </w:r>
      <w:r>
        <w:t>cional relativo al desempleo, además de cualquier otra prestación que pudiera corresponderles. La mujer que deja su trabajo para dedicarse al cuidado de los hijos no mayores de 14 años también tiene derecho a la l</w:t>
      </w:r>
      <w:r>
        <w:t>i</w:t>
      </w:r>
      <w:r>
        <w:t>cencia de largo plazo con goce completo de las prest</w:t>
      </w:r>
      <w:r>
        <w:t>a</w:t>
      </w:r>
      <w:r>
        <w:t>ciones por concepto de desempleo.</w:t>
      </w:r>
    </w:p>
    <w:p w:rsidR="00372379" w:rsidRDefault="00372379">
      <w:pPr>
        <w:pStyle w:val="DualTxt"/>
      </w:pPr>
      <w:r>
        <w:t>8.</w:t>
      </w:r>
      <w:r>
        <w:tab/>
        <w:t>La oradora señalará al Gobierno la cuestión de las medidas especiales para promover el espíritu empres</w:t>
      </w:r>
      <w:r>
        <w:t>a</w:t>
      </w:r>
      <w:r>
        <w:t>rial entre las mujeres y mejorar su participación en el proceso político con vistas a acelerar la aplicación de la Convención. Señala, sin embargo, que las mujeres ya gozan de igualdad de oportunidades en relación con el hombre en la esfera de la acción empresarial y el trab</w:t>
      </w:r>
      <w:r>
        <w:t>a</w:t>
      </w:r>
      <w:r>
        <w:t>jo independiente, pero que el desfavorable entorno económico hace virtualmente imposible obtener fina</w:t>
      </w:r>
      <w:r>
        <w:t>n</w:t>
      </w:r>
      <w:r>
        <w:t>ciamiento para esas actividades.</w:t>
      </w:r>
    </w:p>
    <w:p w:rsidR="00372379" w:rsidRDefault="00372379">
      <w:pPr>
        <w:pStyle w:val="DualTxt"/>
      </w:pPr>
      <w:r>
        <w:t>9.</w:t>
      </w:r>
      <w:r>
        <w:tab/>
        <w:t>Todos los partidos y las organizaciones socioec</w:t>
      </w:r>
      <w:r>
        <w:t>o</w:t>
      </w:r>
      <w:r>
        <w:t>nómicas están obligados por ley a mantener una repr</w:t>
      </w:r>
      <w:r>
        <w:t>e</w:t>
      </w:r>
      <w:r>
        <w:t>sentación igual de hombres y mujeres, aunque no se ha aprobado una propuesta presentada al Parlamento para el establecimiento de cuotas del número de mujeres en el Parlamento. Se han adoptado medidas en las escu</w:t>
      </w:r>
      <w:r>
        <w:t>e</w:t>
      </w:r>
      <w:r>
        <w:t>las y a través de los medios de comunicación para el</w:t>
      </w:r>
      <w:r>
        <w:t>i</w:t>
      </w:r>
      <w:r>
        <w:t>minar la fijación de estereotipos basados en el género. Las organizaciones no gubernamentales, muchas de las cuales se han formado recientemente, desempeñan una función de especial importancia en esa esfera, con 38 organizaciones no gubernamentales inscritas en el M</w:t>
      </w:r>
      <w:r>
        <w:t>i</w:t>
      </w:r>
      <w:r>
        <w:t>nisterio de Justicia y otras 83 que funcionan en el plano local. Con el fin de coordinar y promover la eficacia de su labor, 20 organizaciones no gubernamentales cre</w:t>
      </w:r>
      <w:r>
        <w:t>a</w:t>
      </w:r>
      <w:r>
        <w:t>ron el Foro de organización no gubernamental, que o</w:t>
      </w:r>
      <w:r>
        <w:t>r</w:t>
      </w:r>
      <w:r>
        <w:t>ganiza seminarios sobre cuestiones relativas a la mujer en todo el país. Por otro lado, tras la decisión gube</w:t>
      </w:r>
      <w:r>
        <w:t>r</w:t>
      </w:r>
      <w:r>
        <w:t>namental No. 39 de 15 de enero de 1998, se inició la publicación de un directorio de estadísticas demográf</w:t>
      </w:r>
      <w:r>
        <w:t>i</w:t>
      </w:r>
      <w:r>
        <w:t>cas, que se actualizará periódicamente y que contendrá gran cantidad de información sobre cuestiones de gén</w:t>
      </w:r>
      <w:r>
        <w:t>e</w:t>
      </w:r>
      <w:r>
        <w:t>ro.</w:t>
      </w:r>
    </w:p>
    <w:p w:rsidR="00372379" w:rsidRDefault="00372379">
      <w:pPr>
        <w:pStyle w:val="DualTxt"/>
        <w:rPr>
          <w:spacing w:val="2"/>
          <w:w w:val="101"/>
        </w:rPr>
      </w:pPr>
      <w:r>
        <w:t>10.</w:t>
      </w:r>
      <w:r>
        <w:tab/>
        <w:t>Con respecto a las cuestiones del ámbito de la familia, actualmente no se están tomando medidas para reducir la violencia doméstica debido a que las mujeres rara vez denuncian casos de ese tipo ante las autorid</w:t>
      </w:r>
      <w:r>
        <w:t>a</w:t>
      </w:r>
      <w:r>
        <w:t>des, quienes, de cualquier manera, tampoco reaccionan siempre como debían hacerlo, lo que hace que las m</w:t>
      </w:r>
      <w:r>
        <w:t>u</w:t>
      </w:r>
      <w:r>
        <w:t>jeres se sientan aún menos inclinadas a sentar las d</w:t>
      </w:r>
      <w:r>
        <w:t>e</w:t>
      </w:r>
      <w:r>
        <w:t>nuncias. Por lo general existe un patrón de violencia en la familia, ya que el hombre considera el uso de la fuerza física como derecho propio. Aunque la ley co</w:t>
      </w:r>
      <w:r>
        <w:t>n</w:t>
      </w:r>
      <w:r>
        <w:t>templa la imposición de penas en casos de agresión f</w:t>
      </w:r>
      <w:r>
        <w:t>í</w:t>
      </w:r>
      <w:r>
        <w:t>sica, siendo las penas proporcionales a la gravedad del delito, esos casos son difíciles de probar porque no suele haber testigos, o porque los testigos son niños. En un intento de mejorar la situación con respecto a la violencia doméstica, el Ministerio de Justicia ha pr</w:t>
      </w:r>
      <w:r>
        <w:t>o</w:t>
      </w:r>
      <w:r>
        <w:t>puesto varias enmiendas al Código Penal y modific</w:t>
      </w:r>
      <w:r>
        <w:t>a</w:t>
      </w:r>
      <w:r>
        <w:t xml:space="preserve">ciones de los procedimientos policiales. El Gobierno no ha podido prestar el tipo de apoyo a las mujeres que </w:t>
      </w:r>
      <w:r>
        <w:rPr>
          <w:spacing w:val="2"/>
          <w:w w:val="101"/>
        </w:rPr>
        <w:t>les permita adquirir artículos para reducir la carga de tr</w:t>
      </w:r>
      <w:r>
        <w:rPr>
          <w:spacing w:val="2"/>
          <w:w w:val="101"/>
        </w:rPr>
        <w:t>a</w:t>
      </w:r>
      <w:r>
        <w:rPr>
          <w:spacing w:val="2"/>
          <w:w w:val="101"/>
        </w:rPr>
        <w:t>bajo en el hogar, debido a la falta de recursos fina</w:t>
      </w:r>
      <w:r>
        <w:rPr>
          <w:spacing w:val="2"/>
          <w:w w:val="101"/>
        </w:rPr>
        <w:t>n</w:t>
      </w:r>
      <w:r>
        <w:rPr>
          <w:spacing w:val="2"/>
          <w:w w:val="101"/>
        </w:rPr>
        <w:t>cieros.</w:t>
      </w:r>
    </w:p>
    <w:p w:rsidR="00372379" w:rsidRDefault="00372379">
      <w:pPr>
        <w:pStyle w:val="DualTxt"/>
      </w:pPr>
      <w:r>
        <w:t>11.</w:t>
      </w:r>
      <w:r>
        <w:tab/>
        <w:t>Con respecto a la prevención de la trata de pers</w:t>
      </w:r>
      <w:r>
        <w:t>o</w:t>
      </w:r>
      <w:r>
        <w:t>nas y la prostitución, el número de casos de secuestro de niños bajó de 17 en el primer trimestre de 1999 a cuatro en el primer trimestre de 2000, y el Gobierno no tiene pruebas de que esos secuestros se hubieran pr</w:t>
      </w:r>
      <w:r>
        <w:t>o</w:t>
      </w:r>
      <w:r>
        <w:t>ducido con fines de explotación sexual. Estudios llev</w:t>
      </w:r>
      <w:r>
        <w:t>a</w:t>
      </w:r>
      <w:r>
        <w:t>dos a cabo por el Ministerio del Interior indican que la trata de mujeres y la prostitución son parte de una te</w:t>
      </w:r>
      <w:r>
        <w:t>n</w:t>
      </w:r>
      <w:r>
        <w:t>dencia general a la comisión de delitos más graves a consecuencia de la inestabilidad económica, el aume</w:t>
      </w:r>
      <w:r>
        <w:t>n</w:t>
      </w:r>
      <w:r>
        <w:t>to de la pobreza, el alto nivel de desempleo, especia</w:t>
      </w:r>
      <w:r>
        <w:t>l</w:t>
      </w:r>
      <w:r>
        <w:t>mente entre los jóvenes, el escaso apoyo y la falta de información en materia de crianza de los hijos. Por lo tanto, es muy fácil para los extranjeros reclutar much</w:t>
      </w:r>
      <w:r>
        <w:t>a</w:t>
      </w:r>
      <w:r>
        <w:t>chas prometiéndoles trabajo en el exterior.</w:t>
      </w:r>
    </w:p>
    <w:p w:rsidR="00372379" w:rsidRDefault="00372379">
      <w:pPr>
        <w:pStyle w:val="DualTxt"/>
      </w:pPr>
      <w:r>
        <w:t>12.</w:t>
      </w:r>
      <w:r>
        <w:tab/>
        <w:t>Como medio de contrarrestar esas actividades, en junio de 1998 el Parlamento introdujo enmiendas al Código Penal y los procedimientos pertinentes para combatir la prostitución, la pornografía, el proxeneti</w:t>
      </w:r>
      <w:r>
        <w:t>s</w:t>
      </w:r>
      <w:r>
        <w:t>mo y el uso de la violencia. En 1998-2000, 1.540 pe</w:t>
      </w:r>
      <w:r>
        <w:t>r</w:t>
      </w:r>
      <w:r>
        <w:t>sonas fueron identificadas como prostitutas, 34 de ellas menores de edad, y en 1998-1999 se llevaron 398 casos de prostitución ante los tribunales. La policía antic</w:t>
      </w:r>
      <w:r>
        <w:t>o</w:t>
      </w:r>
      <w:r>
        <w:t>rrupción y la Agencia Estatal para la Protección de la Moral confiscó cientos de cintas de vídeo, de las cuales más de cien fueron prohibidas por obscenidad y sus productores y distribuidores sometidos a juicio. La mayoría de esos procesos judiciales se han entablado en Chişinău o sus alrededores.</w:t>
      </w:r>
    </w:p>
    <w:p w:rsidR="00372379" w:rsidRDefault="00372379">
      <w:pPr>
        <w:pStyle w:val="DualTxt"/>
      </w:pPr>
      <w:r>
        <w:t>13.</w:t>
      </w:r>
      <w:r>
        <w:tab/>
        <w:t xml:space="preserve">El Gobierno también posee información según la cual </w:t>
      </w:r>
      <w:r w:rsidRPr="007A77FF">
        <w:t xml:space="preserve">445 ciudadanos de la </w:t>
      </w:r>
      <w:r>
        <w:t xml:space="preserve">República de Moldova </w:t>
      </w:r>
      <w:r w:rsidRPr="007A77FF">
        <w:t xml:space="preserve">eran residentes ilegales en otros países, siendo 96 de ellos mujeres jóvenes, de edades comprendidas entre los 20 y 25 años. </w:t>
      </w:r>
      <w:r>
        <w:t>Trabajando en cooperación con la oficina local de Interpol, las autoridades procedieron a la rep</w:t>
      </w:r>
      <w:r>
        <w:t>a</w:t>
      </w:r>
      <w:r>
        <w:t>triación de 19 menores de edad que habían estado eje</w:t>
      </w:r>
      <w:r>
        <w:t>r</w:t>
      </w:r>
      <w:r>
        <w:t>ciendo la prostitución y las devolvieron a sus famili</w:t>
      </w:r>
      <w:r>
        <w:t>a</w:t>
      </w:r>
      <w:r>
        <w:t>res. La policía está tratando de identificar a los que i</w:t>
      </w:r>
      <w:r>
        <w:t>n</w:t>
      </w:r>
      <w:r>
        <w:t>tegran los grupos de personas que reclutan mujeres p</w:t>
      </w:r>
      <w:r>
        <w:t>a</w:t>
      </w:r>
      <w:r>
        <w:t>ra que ejerzan la prostitución, y se están instalando si</w:t>
      </w:r>
      <w:r>
        <w:t>s</w:t>
      </w:r>
      <w:r>
        <w:t>temas informáticos en los cruces de frontera para efe</w:t>
      </w:r>
      <w:r>
        <w:t>c</w:t>
      </w:r>
      <w:r>
        <w:t xml:space="preserve">tuar una mejor vigilancia del tránsito por esos </w:t>
      </w:r>
      <w:r>
        <w:br/>
        <w:t>lug</w:t>
      </w:r>
      <w:r>
        <w:t>a</w:t>
      </w:r>
      <w:r>
        <w:t>res.</w:t>
      </w:r>
    </w:p>
    <w:p w:rsidR="00372379" w:rsidRDefault="00372379">
      <w:pPr>
        <w:pStyle w:val="DualTxt"/>
      </w:pPr>
      <w:r>
        <w:t>14.</w:t>
      </w:r>
      <w:r>
        <w:tab/>
        <w:t>El Ministerio del Interior ha propuesto la cre</w:t>
      </w:r>
      <w:r>
        <w:t>a</w:t>
      </w:r>
      <w:r>
        <w:t>ción de una sección especial para combatir la trata de personas e identificar a los culpables. La oradora o</w:t>
      </w:r>
      <w:r>
        <w:t>b</w:t>
      </w:r>
      <w:r>
        <w:t>serva, sin embargo, que muchos ciudadanos de Mold</w:t>
      </w:r>
      <w:r>
        <w:t>o</w:t>
      </w:r>
      <w:r>
        <w:t>va trabajan y viven en el extranjero de manera legal y que, gracias a los tratados concertados entre la Rep</w:t>
      </w:r>
      <w:r>
        <w:t>ú</w:t>
      </w:r>
      <w:r>
        <w:t>blica de Moldova y algunos de los países de acogida, que en su mayor parte son ex Repúblicas de la Unión Soviética, disfrutan de los mismos derechos y prote</w:t>
      </w:r>
      <w:r>
        <w:t>c</w:t>
      </w:r>
      <w:r>
        <w:t>ción social que los ciudadanos de esos países. El G</w:t>
      </w:r>
      <w:r>
        <w:t>o</w:t>
      </w:r>
      <w:r>
        <w:t>bierno sigue negociando acuerdos semejantes con otros países en los que viven ciudadanos de la República de Moldova con autorización de residencia legal.</w:t>
      </w:r>
    </w:p>
    <w:p w:rsidR="00372379" w:rsidRDefault="00372379">
      <w:pPr>
        <w:pStyle w:val="DualTxt"/>
      </w:pPr>
      <w:r>
        <w:t>15.</w:t>
      </w:r>
      <w:r>
        <w:tab/>
        <w:t>Con respecto a la cuestión de la participación de la mujer en los sindicatos, la oradora dice que la may</w:t>
      </w:r>
      <w:r>
        <w:t>o</w:t>
      </w:r>
      <w:r>
        <w:t>ría de las mujeres con empleo legal están afiliadas a sindicatos. Lamentablemente, el papel que desempeñan los sindicatos ha perdido importancia en la República de Moldova en los últimos años. No existe un diálogo constructivo entre los sindicatos y el Gobierno; en su lugar, los primeros recurren a la declaración de huelgas para tratar de resolver cualquier problema. Dado que los sindicatos se oponen a las reformas que el Gobierno está tratando de llevar a cabo, lo que sólo contribuye a una mayor desestabilización de la situación económica, sería preferible que las mujeres del país trataran de promover sus derechos por conducto de las organiz</w:t>
      </w:r>
      <w:r>
        <w:t>a</w:t>
      </w:r>
      <w:r>
        <w:t>ciones no gubernamentales. Efectivamente, muchas o</w:t>
      </w:r>
      <w:r>
        <w:t>r</w:t>
      </w:r>
      <w:r>
        <w:t>ganizaciones femeninas no gubernamentales, han a</w:t>
      </w:r>
      <w:r>
        <w:t>l</w:t>
      </w:r>
      <w:r>
        <w:t xml:space="preserve">canzado un éxito considerable y cooperan activamente con el Gobierno. La oradora asegura al Comité que su país seguirá sus recomendaciones de establecer una cooperación más estrecha con las organizaciones no </w:t>
      </w:r>
      <w:r>
        <w:br/>
        <w:t>g</w:t>
      </w:r>
      <w:r>
        <w:t>u</w:t>
      </w:r>
      <w:r>
        <w:t>bernamentales.</w:t>
      </w:r>
    </w:p>
    <w:p w:rsidR="00372379" w:rsidRDefault="00372379">
      <w:pPr>
        <w:pStyle w:val="DualTxt"/>
      </w:pPr>
      <w:r>
        <w:t>16.</w:t>
      </w:r>
      <w:r>
        <w:tab/>
        <w:t>Respondiendo a las preguntas sobre los derechos de las minorías en la esfera de la educación, la oradora dice que hay 1.489 escuelas en Moldova, de las cuales 1.116 imparten enseñanza en idioma moldovo, 266 di</w:t>
      </w:r>
      <w:r>
        <w:t>c</w:t>
      </w:r>
      <w:r>
        <w:t>tan clases en ruso, y las demás lo hacen en hebreo y otros idiomas. A nivel universitario, el 78 por ciento de las universidades dictan sus clases en moldovo, y el 21,8 por ciento en ruso. Se imparten clases en ucrani</w:t>
      </w:r>
      <w:r>
        <w:t>a</w:t>
      </w:r>
      <w:r>
        <w:t>no en 72 escuelas primarias y 4 escuelas secundarias; los idiomas búlgaro y gagauz también se utilizan en a</w:t>
      </w:r>
      <w:r>
        <w:t>l</w:t>
      </w:r>
      <w:r>
        <w:t>gunas escuelas primarias y secundarias.</w:t>
      </w:r>
    </w:p>
    <w:p w:rsidR="00372379" w:rsidRDefault="00372379">
      <w:pPr>
        <w:pStyle w:val="DualTxt"/>
      </w:pPr>
      <w:r>
        <w:t>17.</w:t>
      </w:r>
      <w:r>
        <w:tab/>
        <w:t>De conformidad con el artículo 35 de la Constit</w:t>
      </w:r>
      <w:r>
        <w:t>u</w:t>
      </w:r>
      <w:r>
        <w:t>ción, la educación es gratuita en todos los niveles. Sin embargo, el sector  de la educación privada se está de</w:t>
      </w:r>
      <w:r>
        <w:t>s</w:t>
      </w:r>
      <w:r>
        <w:t>arrollando con rapidez. En 1990, el 100 por ciento de los estudiantes estaban matriculados en escuelas públ</w:t>
      </w:r>
      <w:r>
        <w:t>i</w:t>
      </w:r>
      <w:r>
        <w:t>cas, mientras que en 1999, el 1,4 por ciento de ellos asistía a escuelas privadas donde las aulas tienen un menor número de alumnos y los niños reciben una m</w:t>
      </w:r>
      <w:r>
        <w:t>e</w:t>
      </w:r>
      <w:r>
        <w:t>jor educación. La situación es distinta en el sector de la educación superior, en el que hay casi tantos centros educativos privados como públicos. Sin embargo, la educación sigue siendo gratuita en los centros públ</w:t>
      </w:r>
      <w:r>
        <w:t>i</w:t>
      </w:r>
      <w:r w:rsidR="00FE7BC1">
        <w:t>cos </w:t>
      </w:r>
      <w:r>
        <w:t>de enseñanza superior, que otorgan becas a los alumnos más destacados. Con respecto a eliminar las imágenes estereotipadas</w:t>
      </w:r>
      <w:r w:rsidR="00FE7BC1">
        <w:t xml:space="preserve"> de los manuales escolares, los </w:t>
      </w:r>
      <w:r>
        <w:t>alumnos usan libros de texto que se imprimen en Rumania, en la Federación de Rusia y en Turquía. El Gobierno podrá ocuparse de la cuestión de las imág</w:t>
      </w:r>
      <w:r>
        <w:t>e</w:t>
      </w:r>
      <w:r>
        <w:t>nes estereotipadas sólo cuando sea mayor el número de libros de texto que se publiquen en la República de Moldova.</w:t>
      </w:r>
    </w:p>
    <w:p w:rsidR="00372379" w:rsidRDefault="00372379">
      <w:pPr>
        <w:pStyle w:val="DualTxt"/>
      </w:pPr>
      <w:r>
        <w:t>18.</w:t>
      </w:r>
      <w:r>
        <w:tab/>
        <w:t>Refiriéndose a los establecimientos preescolares, la oradora reconoce que es cada vez menor el número de niños que participan en los programas preescolares. En 1990, había 126 niños por cada 100 plazas en los establecimientos preescolares; sin embargo, en 1999 sólo había 66 niños por cada 100 plazas. Esa dismin</w:t>
      </w:r>
      <w:r>
        <w:t>u</w:t>
      </w:r>
      <w:r>
        <w:t>ción no se debe a la falta de instalaciones. Se trata, simplemente, de que menos padres pueden hacer frente al pago de los elevados gastos que significa enviar a sus hijos a los programas preescolares y, por lo tanto, prefieren dejarlos en casa. Eso evidentemente plantea la cuestión de si los niños tendrán el mismo tipo de preparación para asistir a la escuela que el que recibían en las instituciones preescolares.</w:t>
      </w:r>
    </w:p>
    <w:p w:rsidR="00372379" w:rsidRDefault="00372379">
      <w:pPr>
        <w:pStyle w:val="DualTxt"/>
      </w:pPr>
      <w:r>
        <w:t>19.</w:t>
      </w:r>
      <w:r>
        <w:tab/>
        <w:t>Con respecto las cuestiones relacionadas con la salud, desde 1994 existen dependencias de planific</w:t>
      </w:r>
      <w:r>
        <w:t>a</w:t>
      </w:r>
      <w:r>
        <w:t>ción de la familia en todas las clínicas y hospitales g</w:t>
      </w:r>
      <w:r>
        <w:t>e</w:t>
      </w:r>
      <w:r>
        <w:t>nerales. Hay 60 de esas dependencias en todo el país, que realizan trabajo profiláctico en relación con enfe</w:t>
      </w:r>
      <w:r>
        <w:t>r</w:t>
      </w:r>
      <w:r>
        <w:t>medades venéreas y de transmisión sexual y prestan también información sobre métodos anticonceptivos en las escuelas secundarias y otros centros educativos. Sin embargo, no se han iniciado todavía cursos especiales para prevenir las enfermedades venéreas y promover estilos de vida sanos, por la falta de fondos.  No ob</w:t>
      </w:r>
      <w:r>
        <w:t>s</w:t>
      </w:r>
      <w:r>
        <w:t>tante, el programa para la promoción de los derechos del niño, aprobado por el Gobierno, prevé la inclusión de 30 cursos en distintas escuelas y establecimientos educacionales. En los últimos años se ha registrado una disminución de la incidencia de enfermedades ven</w:t>
      </w:r>
      <w:r>
        <w:t>é</w:t>
      </w:r>
      <w:r>
        <w:t>reas, incluidas la sífilis y la gonorrea, tras el alto índice registrado durante el período de diez años que terminó en 1996.</w:t>
      </w:r>
    </w:p>
    <w:p w:rsidR="00372379" w:rsidRDefault="00372379">
      <w:pPr>
        <w:pStyle w:val="DualTxt"/>
      </w:pPr>
      <w:r>
        <w:t>20.</w:t>
      </w:r>
      <w:r>
        <w:tab/>
        <w:t>Casi todos los artículos de la Constitución y del proyecto de código de la familia contemplan la igua</w:t>
      </w:r>
      <w:r>
        <w:t>l</w:t>
      </w:r>
      <w:r>
        <w:t>dad del hombre y la mujer en el matrimonio. Los hijos que nacen fuera del matrimonio tienen los mismos d</w:t>
      </w:r>
      <w:r>
        <w:t>e</w:t>
      </w:r>
      <w:r>
        <w:t>rechos que los nacidos dentro del matrimonio, salvo el derecho a la herencia. Si los padres no están casados pero el padre ha reconocido la paternidad, el hijo puede disfrutar de los mismos derechos que los otros hijos, incluido el derecho a heredar los bienes de ambos pr</w:t>
      </w:r>
      <w:r>
        <w:t>o</w:t>
      </w:r>
      <w:r>
        <w:t>genitores. Con respecto a las subvenciones que conc</w:t>
      </w:r>
      <w:r>
        <w:t>e</w:t>
      </w:r>
      <w:r>
        <w:t>de el Estado, no se hacen diferencias entre los hijos de una familia formalmente constituida o de una familia consensual. Con arreglo al nuevo código de la familia, los hombres pueden contraer matrimonio a la edad de 18 años y las mujeres a los 16. En circunstancias e</w:t>
      </w:r>
      <w:r>
        <w:t>x</w:t>
      </w:r>
      <w:r>
        <w:t>cepcionales, la edad mínima de la mujer para el matr</w:t>
      </w:r>
      <w:r>
        <w:t>i</w:t>
      </w:r>
      <w:r>
        <w:t>monio puede rebajarse en dos años solamente.</w:t>
      </w:r>
    </w:p>
    <w:p w:rsidR="00372379" w:rsidRDefault="00372379">
      <w:pPr>
        <w:pStyle w:val="DualTxt"/>
      </w:pPr>
      <w:r>
        <w:t>21.</w:t>
      </w:r>
      <w:r>
        <w:tab/>
        <w:t>Con respecto a la cuestión relativa al artículo 11, la oradora dice que las escuelas rurales cierran temp</w:t>
      </w:r>
      <w:r>
        <w:t>o</w:t>
      </w:r>
      <w:r>
        <w:t xml:space="preserve">ralmente </w:t>
      </w:r>
      <w:r w:rsidRPr="00761D27">
        <w:t xml:space="preserve">durante la temporada de invierno por la falta de combustible para calefacción. </w:t>
      </w:r>
      <w:r>
        <w:t>En esos casos, se pr</w:t>
      </w:r>
      <w:r>
        <w:t>o</w:t>
      </w:r>
      <w:r>
        <w:t>longan las vacaciones de invierno y los alumnos co</w:t>
      </w:r>
      <w:r>
        <w:t>m</w:t>
      </w:r>
      <w:r>
        <w:t>pletan sus cursos de estudio durante el verano. Los maestros no perciben prestaciones por desempleo, ya que no están desempleados. El período de trabajo se</w:t>
      </w:r>
      <w:r>
        <w:t>n</w:t>
      </w:r>
      <w:r>
        <w:t>cillamente se traslada del invierno al verano, y sus s</w:t>
      </w:r>
      <w:r>
        <w:t>a</w:t>
      </w:r>
      <w:r>
        <w:t>larios no se modifican. En el invierno de 2000, Mold</w:t>
      </w:r>
      <w:r>
        <w:t>o</w:t>
      </w:r>
      <w:r>
        <w:t>va recibió una consignación de carbón de los Estados Unidos de América, gran parte de la cual se asignó a las escuelas para aliviar el problema de la paralización de las actividades. También se hizo entrega de carbón a las personas de bajos ingresos que no podían pagar los precios del combustible.</w:t>
      </w:r>
    </w:p>
    <w:p w:rsidR="00372379" w:rsidRDefault="00372379">
      <w:pPr>
        <w:pStyle w:val="DualTxt"/>
      </w:pPr>
      <w:r>
        <w:t>22.</w:t>
      </w:r>
      <w:r>
        <w:tab/>
        <w:t>Respondiendo a las preguntas formuladas en rel</w:t>
      </w:r>
      <w:r>
        <w:t>a</w:t>
      </w:r>
      <w:r>
        <w:t>ción con el artículo 12, la oradora dice que en el dec</w:t>
      </w:r>
      <w:r>
        <w:t>e</w:t>
      </w:r>
      <w:r>
        <w:t>nio anterior el número de abortos se redujo en más de la mitad; la mayoría de los abortos ocurren en mujeres de edades comprendidas entre los 22 y los 34 años. La incidencia de la mortalidad materna también se ha r</w:t>
      </w:r>
      <w:r>
        <w:t>e</w:t>
      </w:r>
      <w:r>
        <w:t>ducido considerablemente, y sólo una mujer murió a consecuencia del parto en 1999. Debido a la insuficie</w:t>
      </w:r>
      <w:r>
        <w:t>n</w:t>
      </w:r>
      <w:r>
        <w:t>te información sobre el tema, muchas mujeres desc</w:t>
      </w:r>
      <w:r>
        <w:t>o</w:t>
      </w:r>
      <w:r>
        <w:t xml:space="preserve">nocen los dañinos efectos que tiene el tabaco sobre la salud, incluidas las mujeres que trabajan en la </w:t>
      </w:r>
      <w:r>
        <w:br/>
        <w:t>industria tabacalera. La oradora está de acuerdo en que el Estado tiene la responsabilidad de informar a las m</w:t>
      </w:r>
      <w:r>
        <w:t>u</w:t>
      </w:r>
      <w:r>
        <w:t>jeres sobre los peligros de fumar, de modo que pu</w:t>
      </w:r>
      <w:r>
        <w:t>e</w:t>
      </w:r>
      <w:r>
        <w:t>dan elegir libremente si desean poner en riesgo su salud y el de las futuras generaciones.</w:t>
      </w:r>
    </w:p>
    <w:p w:rsidR="00372379" w:rsidRDefault="00372379">
      <w:pPr>
        <w:pStyle w:val="DualTxt"/>
      </w:pPr>
      <w:r>
        <w:t>23.</w:t>
      </w:r>
      <w:r>
        <w:tab/>
        <w:t>En el próximo informe se dará respuesta a cua</w:t>
      </w:r>
      <w:r>
        <w:t>l</w:t>
      </w:r>
      <w:r>
        <w:t>quier pregunta pendiente y se proporcionará inform</w:t>
      </w:r>
      <w:r>
        <w:t>a</w:t>
      </w:r>
      <w:r>
        <w:t>ción más amplia sobre las medidas adoptadas tanto por los órganos gubernamentales como no gubernamentales para proteger los derechos de la mujer y alcanzar la igualdad entre los géneros. Por otro lado, el Gobierno de la República de Moldova hará todo lo que esté a su alcance para presentarlo a tiempo.</w:t>
      </w:r>
    </w:p>
    <w:p w:rsidR="00372379" w:rsidRDefault="00372379">
      <w:pPr>
        <w:pStyle w:val="DualTxt"/>
      </w:pPr>
      <w:r>
        <w:t>24.</w:t>
      </w:r>
      <w:r>
        <w:tab/>
      </w:r>
      <w:r>
        <w:rPr>
          <w:b/>
        </w:rPr>
        <w:t>La Presidenta</w:t>
      </w:r>
      <w:r>
        <w:t xml:space="preserve"> elogia al Gobierno de la Repúbl</w:t>
      </w:r>
      <w:r>
        <w:t>i</w:t>
      </w:r>
      <w:r>
        <w:t>ca de Moldova por las francas y completas respuestas dadas a las preguntas del Comité. En el difícil período de transición económica y política por el que atraviesa, la República de Moldova debe hacer frente a patrones de discriminación profundamente arraigados y a los nuevos modelos que emergen con el desarrollo de una economía de mercado. El Gobierno debe cerciorarse de que la transición no se produzca en detrimento de la mujer, o sin su participación. El Comité elogia la labor del club de parlamentarias, y exhorta al Gobierno a considerar la posibilidad de fortalecer los instrumentos nacionales para la mujer tan pronto como disponga de recursos.</w:t>
      </w:r>
    </w:p>
    <w:p w:rsidR="00372379" w:rsidRDefault="00372379">
      <w:pPr>
        <w:pStyle w:val="DualTxt"/>
      </w:pPr>
      <w:r>
        <w:t>25.</w:t>
      </w:r>
      <w:r>
        <w:tab/>
        <w:t>El Gobierno no sólo debe examinar y enmendar la legislación existente, sino también adoptar legisl</w:t>
      </w:r>
      <w:r>
        <w:t>a</w:t>
      </w:r>
      <w:r>
        <w:t>ción para la igualdad de oportunidades, en la que se i</w:t>
      </w:r>
      <w:r>
        <w:t>n</w:t>
      </w:r>
      <w:r>
        <w:t xml:space="preserve">corpore claramente la definición de discriminación que figura en el </w:t>
      </w:r>
      <w:r w:rsidRPr="00761D27">
        <w:t>artículo</w:t>
      </w:r>
      <w:r>
        <w:t xml:space="preserve"> 1 de la Convención, y se estable</w:t>
      </w:r>
      <w:r>
        <w:t>z</w:t>
      </w:r>
      <w:r>
        <w:t>can las diversas esferas en que podría ocurrir discrim</w:t>
      </w:r>
      <w:r>
        <w:t>i</w:t>
      </w:r>
      <w:r>
        <w:t>nación, incluidas la educación, el empleo y la vivienda. Ese tipo de legislación debe incluir disposiciones esp</w:t>
      </w:r>
      <w:r>
        <w:t>e</w:t>
      </w:r>
      <w:r>
        <w:t>cíficas sobre la violencia contra la mujer, el acoso s</w:t>
      </w:r>
      <w:r>
        <w:t>e</w:t>
      </w:r>
      <w:r>
        <w:t>xual y la discriminación en la publicidad. También d</w:t>
      </w:r>
      <w:r>
        <w:t>e</w:t>
      </w:r>
      <w:r>
        <w:t>be estipular medidas especiales de carácter temporal, como las que se definen en el párrafo 1 del artículo 4, para garantizar una adecuada representación de la m</w:t>
      </w:r>
      <w:r>
        <w:t>u</w:t>
      </w:r>
      <w:r>
        <w:t>jer en los foros políticos, los órganos y comisiones g</w:t>
      </w:r>
      <w:r>
        <w:t>u</w:t>
      </w:r>
      <w:r>
        <w:t>bernamentales, la administración pública y la educ</w:t>
      </w:r>
      <w:r>
        <w:t>a</w:t>
      </w:r>
      <w:r>
        <w:t>ción, y determinar también metas, objetivos y calend</w:t>
      </w:r>
      <w:r>
        <w:t>a</w:t>
      </w:r>
      <w:r>
        <w:t>rios al respecto.</w:t>
      </w:r>
    </w:p>
    <w:p w:rsidR="00372379" w:rsidRDefault="00372379">
      <w:pPr>
        <w:pStyle w:val="DualTxt"/>
      </w:pPr>
      <w:r>
        <w:t>26.</w:t>
      </w:r>
      <w:r>
        <w:tab/>
        <w:t>Se debe alentar a la mujer a cursar estudios en las disciplinas no tradicionales, tanto a nivel de escuela secundaria como de universidad, lo que podría hacerse a través de los medios públicos de comunicación y, por lo tanto, no debería ser necesario contar con una asi</w:t>
      </w:r>
      <w:r>
        <w:t>g</w:t>
      </w:r>
      <w:r>
        <w:t>nación presupuestaria adicional. Aunque la creación de la oficina del Defensor del Pueblo requerirá recursos presupuestarios, el Gobierno podría empezar a tomar las medidas del caso para alcanzar ese objetivo. El e</w:t>
      </w:r>
      <w:r>
        <w:t>s</w:t>
      </w:r>
      <w:r>
        <w:t>tablecimiento de una entidad supervisora también es de fundamental importancia. Con el propósito de reducir la doble carga que soportan las mujeres a causa del tr</w:t>
      </w:r>
      <w:r>
        <w:t>a</w:t>
      </w:r>
      <w:r>
        <w:t>bajo y las obligaciones familiares, deberían llevarse a cabo campañas de concienciación para alentar a la g</w:t>
      </w:r>
      <w:r>
        <w:t>e</w:t>
      </w:r>
      <w:r>
        <w:t>neración de hombres más jóvenes a compartir las re</w:t>
      </w:r>
      <w:r>
        <w:t>s</w:t>
      </w:r>
      <w:r>
        <w:t>ponsabilidades del hogar y de la crianza de los hijos. Además, aún cuando los libros de texto sean conserv</w:t>
      </w:r>
      <w:r>
        <w:t>a</w:t>
      </w:r>
      <w:r>
        <w:t>dores o anticuados, los maestros pueden usarlos a m</w:t>
      </w:r>
      <w:r>
        <w:t>o</w:t>
      </w:r>
      <w:r>
        <w:t>do de ejemplo de actitudes tradicionales y estereotip</w:t>
      </w:r>
      <w:r>
        <w:t>a</w:t>
      </w:r>
      <w:r>
        <w:t>das hacia la mujer.</w:t>
      </w:r>
    </w:p>
    <w:p w:rsidR="00372379" w:rsidRDefault="00372379">
      <w:pPr>
        <w:pStyle w:val="DualTxt"/>
      </w:pPr>
      <w:r>
        <w:t>27.</w:t>
      </w:r>
      <w:r>
        <w:tab/>
        <w:t>Observando con satisfacción la participación de las organizaciones no gubernamentales en la prom</w:t>
      </w:r>
      <w:r>
        <w:t>o</w:t>
      </w:r>
      <w:r>
        <w:t>ción de la igualdad de oportunidades en la República de Moldova, el Comité alienta al Gobierno a empezar a definir con mayor claridad las funciones y mandatos de esas entidades, con vistas a proporcionarles apoyo f</w:t>
      </w:r>
      <w:r>
        <w:t>i</w:t>
      </w:r>
      <w:r>
        <w:t>nanciero estatal en el futuro. El Gobierno ha anunciado la adopción de un considerable número de medidas con respecto al párrafo 2 del artículo 4. En una economía de mercado, sin embargo, las prestaciones familiares para la mujer que permanece en el hogar pueden obrar en contra de su situación en el mercado laboral. En su lugar, habría que poner el acento en la elaboración de medidas complementarias, tales como la licencia para los padres.</w:t>
      </w:r>
    </w:p>
    <w:p w:rsidR="00372379" w:rsidRDefault="00372379">
      <w:pPr>
        <w:pStyle w:val="DualTxt"/>
      </w:pPr>
      <w:r>
        <w:t>28.</w:t>
      </w:r>
      <w:r>
        <w:tab/>
        <w:t>La violencia contra la mujer es motivo de pr</w:t>
      </w:r>
      <w:r>
        <w:t>e</w:t>
      </w:r>
      <w:r>
        <w:t>ocupación en Moldova. En los dos últimos decenios se fue llegando al reconocimiento general de que ese tipo de violencia no era una cuestión del ámbito familiar, sino una violación de los derechos humanos de la m</w:t>
      </w:r>
      <w:r>
        <w:t>u</w:t>
      </w:r>
      <w:r>
        <w:t>jer. El Comité exhorta al Gobierno a perseguir y cast</w:t>
      </w:r>
      <w:r>
        <w:t>i</w:t>
      </w:r>
      <w:r>
        <w:t>gar a los transgresores y a prestar asistencia a las ví</w:t>
      </w:r>
      <w:r>
        <w:t>c</w:t>
      </w:r>
      <w:r>
        <w:t>timas. Además, hace un llamamiento al Gobierno para que fortalezca la cooperación internacional con los pa</w:t>
      </w:r>
      <w:r>
        <w:t>í</w:t>
      </w:r>
      <w:r>
        <w:t>ses en los cuales mujeres de la República de Moldova son víctimas de operaciones de trata, y adopte medidas para la reintegración de esas mujeres a la sociedad tras su regreso. Habría que dar los pasos necesarios, as</w:t>
      </w:r>
      <w:r>
        <w:t>i</w:t>
      </w:r>
      <w:r>
        <w:t>mismo, para establecer acuerdos con los países eur</w:t>
      </w:r>
      <w:r>
        <w:t>o</w:t>
      </w:r>
      <w:r>
        <w:t>peos vecinos en los cuales hay ciudadanos de la Rep</w:t>
      </w:r>
      <w:r>
        <w:t>ú</w:t>
      </w:r>
      <w:r>
        <w:t>blica de Moldova que trabajan de manera ilegal.</w:t>
      </w:r>
    </w:p>
    <w:p w:rsidR="00372379" w:rsidRDefault="00372379">
      <w:pPr>
        <w:pStyle w:val="DualTxt"/>
        <w:keepNext/>
        <w:keepLines/>
      </w:pPr>
      <w:r>
        <w:t>29.</w:t>
      </w:r>
      <w:r>
        <w:tab/>
        <w:t>Es preciso examinar la eficacia de la legislación en materia de protección y realizar investigaciones de modo que las medidas para combatir la discriminación puedan orientase a esferas y grupos concretos. Con arreglo al párrafo 1 del artículo 4 de la Convención, los Gobiernos pueden adoptar ese tipo de medidas con c</w:t>
      </w:r>
      <w:r>
        <w:t>a</w:t>
      </w:r>
      <w:r>
        <w:t>rácter temporal, sin temor a ser acusados de discrim</w:t>
      </w:r>
      <w:r>
        <w:t>i</w:t>
      </w:r>
      <w:r>
        <w:t>nación inversa. Una demora de diez meses en el pago al personal de atención de salud parece inaceptable. No obstante, el Comité exhorta al Gobierno a continuar g</w:t>
      </w:r>
      <w:r>
        <w:t>a</w:t>
      </w:r>
      <w:r>
        <w:t>rantizando el acceso a la atención de salud, especia</w:t>
      </w:r>
      <w:r>
        <w:t>l</w:t>
      </w:r>
      <w:r>
        <w:t>mente a las mujeres de las zonas rurales, y a desarrollar un enfoque integral de la salud que abarque todas las etapas de la vida, estrategia que, sin duda, se verá fac</w:t>
      </w:r>
      <w:r>
        <w:t>i</w:t>
      </w:r>
      <w:r>
        <w:t>litada por la preponderancia de mujeres en la atención de salud profesional en Moldova.</w:t>
      </w:r>
    </w:p>
    <w:p w:rsidR="00372379" w:rsidRDefault="00372379">
      <w:pPr>
        <w:pStyle w:val="DualTxt"/>
      </w:pPr>
      <w:r>
        <w:t>30.</w:t>
      </w:r>
      <w:r>
        <w:tab/>
        <w:t>El Gobierno debe tener presentes los objetivos de reducir la tasa de abortos y mejorar el acceso a los se</w:t>
      </w:r>
      <w:r>
        <w:t>r</w:t>
      </w:r>
      <w:r>
        <w:t>vicios de planificación de la familia, aún cuando esos objetivos no puedan alcanzarse de inmediato. La or</w:t>
      </w:r>
      <w:r>
        <w:t>a</w:t>
      </w:r>
      <w:r>
        <w:t>dora exhorta al Gobierno a examinar las recomend</w:t>
      </w:r>
      <w:r>
        <w:t>a</w:t>
      </w:r>
      <w:r>
        <w:t>ciones generales del Comité, hacer uso de los servicios de las organizaciones no gubernamentales en el proc</w:t>
      </w:r>
      <w:r>
        <w:t>e</w:t>
      </w:r>
      <w:r>
        <w:t>so de aplicación, y presentar los informes periódicos segundo y tercero, en forma combinada, lo que tendría que hacerse en marzo de 2003. Por último, acogiendo con beneplácito la intención del Gobierno de la Rep</w:t>
      </w:r>
      <w:r>
        <w:t>ú</w:t>
      </w:r>
      <w:r>
        <w:t>blica de Moldova de firmar el Protocolo Facultativo, lo exhorta a hacerlo cuanto antes y lo alienta a hacer suya la e</w:t>
      </w:r>
      <w:r>
        <w:t>n</w:t>
      </w:r>
      <w:r>
        <w:t>mienda propuesta al artículo 20 de la Convención.</w:t>
      </w:r>
    </w:p>
    <w:p w:rsidR="00372379" w:rsidRDefault="00372379">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12.45 horas.</w:t>
      </w:r>
    </w:p>
    <w:sectPr w:rsidR="00372379">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372379" w:rsidRPr="00761D27" w:rsidRDefault="00372379">
      <w:pPr>
        <w:pStyle w:val="CommentText"/>
        <w:rPr>
          <w:lang w:val="en-US"/>
        </w:rPr>
      </w:pPr>
      <w:r>
        <w:fldChar w:fldCharType="begin"/>
      </w:r>
      <w:r w:rsidRPr="00761D27">
        <w:rPr>
          <w:lang w:val="en-US"/>
        </w:rPr>
        <w:instrText>PAGE \# "'Page: '#'</w:instrText>
      </w:r>
      <w:r w:rsidRPr="00761D27">
        <w:rPr>
          <w:lang w:val="en-US"/>
        </w:rPr>
        <w:br/>
        <w:instrText>'"</w:instrText>
      </w:r>
      <w:r w:rsidRPr="00761D27">
        <w:rPr>
          <w:rStyle w:val="CommentReference"/>
          <w:lang w:val="en-US"/>
        </w:rPr>
        <w:instrText xml:space="preserve">  </w:instrText>
      </w:r>
      <w:r>
        <w:fldChar w:fldCharType="end"/>
      </w:r>
      <w:r>
        <w:rPr>
          <w:rStyle w:val="CommentReference"/>
        </w:rPr>
        <w:annotationRef/>
      </w:r>
      <w:r w:rsidRPr="00761D27">
        <w:rPr>
          <w:lang w:val="en-US"/>
        </w:rPr>
        <w:t>&lt;&lt;ODS JOB NO&gt;&gt;N0050510S&lt;&lt;ODS JOB NO&gt;&gt;</w:t>
      </w:r>
    </w:p>
    <w:p w:rsidR="00372379" w:rsidRPr="00761D27" w:rsidRDefault="00372379">
      <w:pPr>
        <w:pStyle w:val="CommentText"/>
        <w:rPr>
          <w:lang w:val="en-US"/>
        </w:rPr>
      </w:pPr>
      <w:r w:rsidRPr="00761D27">
        <w:rPr>
          <w:lang w:val="en-US"/>
        </w:rPr>
        <w:t>&lt;&lt;ODS DOC SYMBOL1&gt;&gt;CEDAW/C/SR.484&lt;&lt;ODS DOC SYMBOL1&gt;&gt;</w:t>
      </w:r>
    </w:p>
    <w:p w:rsidR="00372379" w:rsidRPr="00761D27" w:rsidRDefault="00372379">
      <w:pPr>
        <w:pStyle w:val="CommentText"/>
        <w:rPr>
          <w:lang w:val="en-US"/>
        </w:rPr>
      </w:pPr>
      <w:r w:rsidRPr="00761D2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F51" w:rsidRDefault="00D37F51">
      <w:r>
        <w:separator/>
      </w:r>
    </w:p>
  </w:endnote>
  <w:endnote w:type="continuationSeparator" w:id="0">
    <w:p w:rsidR="00D37F51" w:rsidRDefault="00D37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72379">
      <w:tblPrEx>
        <w:tblCellMar>
          <w:top w:w="0" w:type="dxa"/>
          <w:bottom w:w="0" w:type="dxa"/>
        </w:tblCellMar>
      </w:tblPrEx>
      <w:tc>
        <w:tcPr>
          <w:tcW w:w="5033" w:type="dxa"/>
          <w:vAlign w:val="bottom"/>
        </w:tcPr>
        <w:p w:rsidR="00372379" w:rsidRDefault="00372379">
          <w:pPr>
            <w:pStyle w:val="Footer"/>
          </w:pPr>
          <w:r>
            <w:fldChar w:fldCharType="begin"/>
          </w:r>
          <w:r>
            <w:instrText xml:space="preserve"> PAGE  \* MERGEFORMAT </w:instrText>
          </w:r>
          <w:r>
            <w:fldChar w:fldCharType="separate"/>
          </w:r>
          <w:r w:rsidR="00C74CAB">
            <w:t>6</w:t>
          </w:r>
          <w:r>
            <w:fldChar w:fldCharType="end"/>
          </w:r>
        </w:p>
      </w:tc>
      <w:tc>
        <w:tcPr>
          <w:tcW w:w="5033" w:type="dxa"/>
          <w:vAlign w:val="bottom"/>
        </w:tcPr>
        <w:p w:rsidR="00372379" w:rsidRDefault="00372379">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FE7BC1">
            <w:rPr>
              <w:b w:val="0"/>
              <w:sz w:val="14"/>
            </w:rPr>
            <w:t>0050510s.doc</w:t>
          </w:r>
          <w:r>
            <w:rPr>
              <w:b w:val="0"/>
              <w:sz w:val="14"/>
            </w:rPr>
            <w:fldChar w:fldCharType="end"/>
          </w:r>
        </w:p>
      </w:tc>
    </w:tr>
  </w:tbl>
  <w:p w:rsidR="00372379" w:rsidRDefault="003723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72379">
      <w:tblPrEx>
        <w:tblCellMar>
          <w:top w:w="0" w:type="dxa"/>
          <w:bottom w:w="0" w:type="dxa"/>
        </w:tblCellMar>
      </w:tblPrEx>
      <w:tc>
        <w:tcPr>
          <w:tcW w:w="5033" w:type="dxa"/>
          <w:vAlign w:val="bottom"/>
        </w:tcPr>
        <w:p w:rsidR="00372379" w:rsidRDefault="00372379">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FE7BC1">
            <w:rPr>
              <w:b w:val="0"/>
              <w:sz w:val="14"/>
            </w:rPr>
            <w:t>0050510s.doc</w:t>
          </w:r>
          <w:r>
            <w:rPr>
              <w:b w:val="0"/>
              <w:sz w:val="14"/>
            </w:rPr>
            <w:fldChar w:fldCharType="end"/>
          </w:r>
        </w:p>
      </w:tc>
      <w:tc>
        <w:tcPr>
          <w:tcW w:w="5033" w:type="dxa"/>
          <w:vAlign w:val="bottom"/>
        </w:tcPr>
        <w:p w:rsidR="00372379" w:rsidRDefault="00372379">
          <w:pPr>
            <w:pStyle w:val="Footer"/>
            <w:jc w:val="right"/>
          </w:pPr>
          <w:r>
            <w:fldChar w:fldCharType="begin"/>
          </w:r>
          <w:r>
            <w:instrText xml:space="preserve"> PAGE  \* MERGEFORMAT </w:instrText>
          </w:r>
          <w:r>
            <w:fldChar w:fldCharType="separate"/>
          </w:r>
          <w:r w:rsidR="00C74CAB">
            <w:t>5</w:t>
          </w:r>
          <w:r>
            <w:fldChar w:fldCharType="end"/>
          </w:r>
        </w:p>
      </w:tc>
    </w:tr>
  </w:tbl>
  <w:p w:rsidR="00372379" w:rsidRDefault="003723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379" w:rsidRDefault="00372379">
    <w:pPr>
      <w:pStyle w:val="Footer"/>
      <w:pBdr>
        <w:top w:val="single" w:sz="2" w:space="1" w:color="auto"/>
      </w:pBdr>
      <w:rPr>
        <w:sz w:val="2"/>
      </w:rPr>
    </w:pPr>
  </w:p>
  <w:p w:rsidR="00372379" w:rsidRDefault="0037237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372379" w:rsidRDefault="0037237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372379" w:rsidRDefault="0037237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372379" w:rsidRDefault="00372379">
    <w:pPr>
      <w:pStyle w:val="FootnoteText"/>
      <w:spacing w:line="120" w:lineRule="exact"/>
      <w:ind w:left="1267" w:right="1267" w:firstLine="0"/>
      <w:rPr>
        <w:sz w:val="10"/>
      </w:rPr>
    </w:pPr>
  </w:p>
  <w:p w:rsidR="00372379" w:rsidRDefault="00372379">
    <w:pPr>
      <w:pStyle w:val="Footer"/>
      <w:rPr>
        <w:b w:val="0"/>
        <w:sz w:val="20"/>
      </w:rPr>
    </w:pPr>
    <w:r>
      <w:rPr>
        <w:b w:val="0"/>
        <w:sz w:val="20"/>
      </w:rPr>
      <w:t>00-50510 (S)</w:t>
    </w:r>
  </w:p>
  <w:p w:rsidR="00372379" w:rsidRPr="00761D27" w:rsidRDefault="00372379" w:rsidP="00761D27">
    <w:pPr>
      <w:pStyle w:val="Footer"/>
      <w:spacing w:before="60"/>
      <w:rPr>
        <w:rFonts w:ascii="Barcode 3 of 9 by request" w:hAnsi="Barcode 3 of 9 by request"/>
        <w:b w:val="0"/>
        <w:sz w:val="24"/>
        <w:szCs w:val="24"/>
      </w:rPr>
    </w:pPr>
    <w:r w:rsidRPr="00761D27">
      <w:rPr>
        <w:rFonts w:ascii="Barcode 3 of 9 by request" w:hAnsi="Barcode 3 of 9 by request"/>
        <w:b w:val="0"/>
        <w:sz w:val="24"/>
        <w:szCs w:val="24"/>
      </w:rPr>
      <w:t>*0050510*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F51" w:rsidRDefault="00D37F51">
      <w:r>
        <w:separator/>
      </w:r>
    </w:p>
  </w:footnote>
  <w:footnote w:type="continuationSeparator" w:id="0">
    <w:p w:rsidR="00D37F51" w:rsidRDefault="00D37F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379" w:rsidRDefault="0037237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72379">
                  <w:tblPrEx>
                    <w:tblCellMar>
                      <w:top w:w="0" w:type="dxa"/>
                      <w:left w:w="0" w:type="dxa"/>
                      <w:bottom w:w="0" w:type="dxa"/>
                      <w:right w:w="0" w:type="dxa"/>
                    </w:tblCellMar>
                  </w:tblPrEx>
                  <w:trPr>
                    <w:trHeight w:hRule="exact" w:val="864"/>
                  </w:trPr>
                  <w:tc>
                    <w:tcPr>
                      <w:tcW w:w="4838" w:type="dxa"/>
                      <w:vAlign w:val="bottom"/>
                    </w:tcPr>
                    <w:p w:rsidR="00372379" w:rsidRDefault="00372379">
                      <w:pPr>
                        <w:pStyle w:val="Header"/>
                        <w:spacing w:after="80"/>
                        <w:rPr>
                          <w:b/>
                        </w:rPr>
                      </w:pPr>
                      <w:r>
                        <w:rPr>
                          <w:b/>
                        </w:rPr>
                        <w:t>CEDAW/C/SR.484</w:t>
                      </w:r>
                    </w:p>
                  </w:tc>
                  <w:tc>
                    <w:tcPr>
                      <w:tcW w:w="5047" w:type="dxa"/>
                      <w:vAlign w:val="bottom"/>
                    </w:tcPr>
                    <w:p w:rsidR="00372379" w:rsidRDefault="00372379">
                      <w:pPr>
                        <w:pStyle w:val="Header"/>
                      </w:pPr>
                    </w:p>
                  </w:tc>
                </w:tr>
              </w:tbl>
              <w:p w:rsidR="00372379" w:rsidRDefault="00372379"/>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379" w:rsidRDefault="0037237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72379">
                  <w:tblPrEx>
                    <w:tblCellMar>
                      <w:top w:w="0" w:type="dxa"/>
                      <w:left w:w="0" w:type="dxa"/>
                      <w:bottom w:w="0" w:type="dxa"/>
                      <w:right w:w="0" w:type="dxa"/>
                    </w:tblCellMar>
                  </w:tblPrEx>
                  <w:trPr>
                    <w:trHeight w:hRule="exact" w:val="864"/>
                  </w:trPr>
                  <w:tc>
                    <w:tcPr>
                      <w:tcW w:w="4838" w:type="dxa"/>
                      <w:vAlign w:val="bottom"/>
                    </w:tcPr>
                    <w:p w:rsidR="00372379" w:rsidRDefault="00372379">
                      <w:pPr>
                        <w:pStyle w:val="Header"/>
                      </w:pPr>
                    </w:p>
                  </w:tc>
                  <w:tc>
                    <w:tcPr>
                      <w:tcW w:w="5047" w:type="dxa"/>
                      <w:vAlign w:val="bottom"/>
                    </w:tcPr>
                    <w:p w:rsidR="00372379" w:rsidRDefault="00372379">
                      <w:pPr>
                        <w:pStyle w:val="Header"/>
                        <w:spacing w:after="80"/>
                        <w:jc w:val="right"/>
                        <w:rPr>
                          <w:b/>
                        </w:rPr>
                      </w:pPr>
                      <w:r>
                        <w:rPr>
                          <w:b/>
                        </w:rPr>
                        <w:t>CEDAW/C/SR.484</w:t>
                      </w:r>
                    </w:p>
                  </w:tc>
                </w:tr>
              </w:tbl>
              <w:p w:rsidR="00372379" w:rsidRDefault="00372379"/>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72379">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372379" w:rsidRDefault="00372379">
          <w:pPr>
            <w:pStyle w:val="Header"/>
            <w:spacing w:after="120"/>
          </w:pPr>
        </w:p>
      </w:tc>
      <w:tc>
        <w:tcPr>
          <w:tcW w:w="2059" w:type="dxa"/>
          <w:tcBorders>
            <w:top w:val="nil"/>
            <w:left w:val="nil"/>
            <w:bottom w:val="nil"/>
            <w:right w:val="nil"/>
          </w:tcBorders>
          <w:vAlign w:val="bottom"/>
        </w:tcPr>
        <w:p w:rsidR="00372379" w:rsidRDefault="00372379">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372379" w:rsidRDefault="00372379">
          <w:pPr>
            <w:pStyle w:val="Header"/>
            <w:spacing w:after="120"/>
          </w:pPr>
        </w:p>
      </w:tc>
      <w:tc>
        <w:tcPr>
          <w:tcW w:w="6523" w:type="dxa"/>
          <w:gridSpan w:val="3"/>
          <w:tcBorders>
            <w:top w:val="nil"/>
            <w:left w:val="nil"/>
            <w:bottom w:val="nil"/>
            <w:right w:val="nil"/>
          </w:tcBorders>
          <w:vAlign w:val="bottom"/>
        </w:tcPr>
        <w:p w:rsidR="00372379" w:rsidRDefault="00372379">
          <w:pPr>
            <w:spacing w:after="80" w:line="240" w:lineRule="auto"/>
            <w:jc w:val="right"/>
            <w:rPr>
              <w:position w:val="-4"/>
            </w:rPr>
          </w:pPr>
          <w:r>
            <w:rPr>
              <w:position w:val="-4"/>
              <w:sz w:val="40"/>
            </w:rPr>
            <w:t>CEDAW</w:t>
          </w:r>
          <w:r>
            <w:rPr>
              <w:position w:val="-4"/>
            </w:rPr>
            <w:t>/C/SR.484</w:t>
          </w:r>
        </w:p>
      </w:tc>
    </w:tr>
    <w:tr w:rsidR="00372379">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372379" w:rsidRDefault="0037237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72379" w:rsidRDefault="00372379">
          <w:pPr>
            <w:pStyle w:val="Header"/>
            <w:spacing w:before="109"/>
          </w:pPr>
        </w:p>
      </w:tc>
      <w:tc>
        <w:tcPr>
          <w:tcW w:w="5227" w:type="dxa"/>
          <w:gridSpan w:val="3"/>
          <w:tcBorders>
            <w:left w:val="nil"/>
            <w:bottom w:val="single" w:sz="12" w:space="0" w:color="auto"/>
            <w:right w:val="nil"/>
          </w:tcBorders>
        </w:tcPr>
        <w:p w:rsidR="00372379" w:rsidRDefault="0037237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372379" w:rsidRPr="00761D27" w:rsidRDefault="00372379">
          <w:pPr>
            <w:pStyle w:val="Header"/>
            <w:spacing w:before="109"/>
            <w:rPr>
              <w:lang w:val="es-ES"/>
            </w:rPr>
          </w:pPr>
        </w:p>
      </w:tc>
      <w:tc>
        <w:tcPr>
          <w:tcW w:w="3180" w:type="dxa"/>
          <w:gridSpan w:val="2"/>
          <w:tcBorders>
            <w:left w:val="nil"/>
            <w:bottom w:val="single" w:sz="12" w:space="0" w:color="auto"/>
            <w:right w:val="nil"/>
          </w:tcBorders>
        </w:tcPr>
        <w:p w:rsidR="00372379" w:rsidRDefault="00372379">
          <w:pPr>
            <w:spacing w:before="240"/>
          </w:pPr>
          <w:r>
            <w:t>Distr. general</w:t>
          </w:r>
        </w:p>
        <w:p w:rsidR="00372379" w:rsidRDefault="00372379">
          <w:r>
            <w:t>23 de junio de 2006</w:t>
          </w:r>
        </w:p>
        <w:p w:rsidR="00372379" w:rsidRDefault="00372379">
          <w:r>
            <w:t>Español</w:t>
          </w:r>
        </w:p>
        <w:p w:rsidR="00372379" w:rsidRDefault="00372379">
          <w:r>
            <w:t>Original: inglés</w:t>
          </w:r>
        </w:p>
      </w:tc>
    </w:tr>
  </w:tbl>
  <w:p w:rsidR="00372379" w:rsidRDefault="0037237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6/06 13:13:35"/>
    <w:docVar w:name="DocCategory" w:val="SROthers"/>
    <w:docVar w:name="DocType" w:val="Final"/>
    <w:docVar w:name="JobNo" w:val="0050510S"/>
    <w:docVar w:name="OandT" w:val=" "/>
    <w:docVar w:name="Symbol1" w:val="CEDAW/C/SR.484"/>
    <w:docVar w:name="Symbol2" w:val="-"/>
  </w:docVars>
  <w:rsids>
    <w:rsidRoot w:val="007A77FF"/>
    <w:rsid w:val="00372379"/>
    <w:rsid w:val="00761D27"/>
    <w:rsid w:val="007A77FF"/>
    <w:rsid w:val="009E4E58"/>
    <w:rsid w:val="00C74CAB"/>
    <w:rsid w:val="00D37F51"/>
    <w:rsid w:val="00FE7B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7A77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3989</Words>
  <Characters>20586</Characters>
  <Application>Microsoft Office Word</Application>
  <DocSecurity>4</DocSecurity>
  <Lines>502</Lines>
  <Paragraphs>51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24524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GACM User</cp:lastModifiedBy>
  <cp:revision>5</cp:revision>
  <cp:lastPrinted>2006-06-22T17:23:00Z</cp:lastPrinted>
  <dcterms:created xsi:type="dcterms:W3CDTF">2006-06-22T17:10:00Z</dcterms:created>
  <dcterms:modified xsi:type="dcterms:W3CDTF">2006-06-22T17:26:00Z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0050510</vt:lpwstr>
  </property>
  <property fmtid="{D5CDD505-2E9C-101B-9397-08002B2CF9AE}" pid="3" name="Symbol1">
    <vt:lpwstr>CEDAW/C/SR.484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EXTERNAL</vt:lpwstr>
  </property>
  <property fmtid="{D5CDD505-2E9C-101B-9397-08002B2CF9AE}" pid="8" name="Operator">
    <vt:lpwstr>S. Burgos</vt:lpwstr>
  </property>
</Properties>
</file>