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rPr>
          <w:rFonts w:hint="eastAsia"/>
        </w:rPr>
        <w:t>消除对妇女歧视委员会</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会前工作组</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第三十四届会议</w:t>
      </w:r>
    </w:p>
    <w:p w:rsidR="00000000" w:rsidRDefault="00000000">
      <w:pPr>
        <w:pStyle w:val="SingleTxt"/>
        <w:ind w:left="0"/>
        <w:rPr>
          <w:rFonts w:hint="eastAsia"/>
        </w:rPr>
      </w:pPr>
      <w:r>
        <w:rPr>
          <w:rFonts w:hint="eastAsia"/>
        </w:rPr>
        <w:t>2006年1月16日至2月3日</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在审议各项报告中提出的事项和问题清单</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厄立特里亚</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导言</w:t>
      </w:r>
    </w:p>
    <w:p w:rsidR="00000000" w:rsidRDefault="00000000">
      <w:pPr>
        <w:pStyle w:val="SingleTxt"/>
        <w:spacing w:after="0" w:line="120" w:lineRule="exact"/>
        <w:rPr>
          <w:sz w:val="10"/>
        </w:rPr>
      </w:pPr>
    </w:p>
    <w:p w:rsidR="00000000" w:rsidRDefault="00000000">
      <w:pPr>
        <w:pStyle w:val="SingleTxt"/>
        <w:spacing w:line="340" w:lineRule="exact"/>
        <w:rPr>
          <w:rFonts w:hint="eastAsia"/>
        </w:rPr>
      </w:pPr>
      <w:r>
        <w:rPr>
          <w:rFonts w:hint="eastAsia"/>
        </w:rPr>
        <w:t>1.</w:t>
      </w:r>
      <w:r>
        <w:rPr>
          <w:rFonts w:hint="eastAsia"/>
        </w:rPr>
        <w:tab/>
        <w:t>会前工作组审查了合并的厄立特里亚初次、第二次和第三次定期报告(CEDAW/C/ERI/1-2和CEDAW/C/ERI/1-3/Corr.1)。</w:t>
      </w:r>
    </w:p>
    <w:p w:rsidR="00000000" w:rsidRDefault="00000000">
      <w:pPr>
        <w:pStyle w:val="SingleTxt"/>
        <w:spacing w:line="340" w:lineRule="exact"/>
        <w:rPr>
          <w:rFonts w:ascii="SimHei" w:eastAsia="SimHei" w:hint="eastAsia"/>
          <w:color w:val="FF0000"/>
        </w:rPr>
      </w:pPr>
      <w:r>
        <w:rPr>
          <w:rFonts w:ascii="SimHei" w:eastAsia="SimHei" w:hint="eastAsia"/>
          <w:color w:val="FF0000"/>
        </w:rPr>
        <w:t>第1和第2条</w:t>
      </w:r>
    </w:p>
    <w:p w:rsidR="00000000" w:rsidRDefault="00000000">
      <w:pPr>
        <w:pStyle w:val="SingleTxt"/>
        <w:spacing w:line="340" w:lineRule="exact"/>
        <w:rPr>
          <w:rFonts w:hint="eastAsia"/>
        </w:rPr>
      </w:pPr>
      <w:r>
        <w:rPr>
          <w:rFonts w:hint="eastAsia"/>
        </w:rPr>
        <w:t>2.</w:t>
      </w:r>
      <w:r>
        <w:rPr>
          <w:rFonts w:hint="eastAsia"/>
        </w:rPr>
        <w:tab/>
        <w:t>报告指出，1997年成立了一个法律改革委员会，对殖民时期的《民法典》和《刑法典》进行改革或废除，并实施一部《过渡法典》，其中要求废除所有歧视条款和歧视含义，列入保护性的法律措施（同上，见第7段）。《过渡法典》的现况如何？它对政府履行《公约》的义务有何作用？</w:t>
      </w:r>
    </w:p>
    <w:p w:rsidR="00000000" w:rsidRDefault="00000000">
      <w:pPr>
        <w:pStyle w:val="SingleTxt"/>
        <w:spacing w:line="340" w:lineRule="exact"/>
        <w:rPr>
          <w:rFonts w:hint="eastAsia"/>
        </w:rPr>
      </w:pPr>
      <w:r>
        <w:rPr>
          <w:rFonts w:hint="eastAsia"/>
        </w:rPr>
        <w:t>3.</w:t>
      </w:r>
      <w:r>
        <w:rPr>
          <w:rFonts w:hint="eastAsia"/>
        </w:rPr>
        <w:tab/>
        <w:t>请说明《公约》在国家法律制度中的现况。在《公约》规定与国家法律规定相冲突的情况下，以哪一个规定为准？</w:t>
      </w:r>
    </w:p>
    <w:p w:rsidR="00000000" w:rsidRDefault="00000000">
      <w:pPr>
        <w:pStyle w:val="SingleTxt"/>
        <w:spacing w:line="340" w:lineRule="exact"/>
        <w:rPr>
          <w:rFonts w:hint="eastAsia"/>
        </w:rPr>
      </w:pPr>
      <w:r>
        <w:rPr>
          <w:rFonts w:hint="eastAsia"/>
        </w:rPr>
        <w:t>4.</w:t>
      </w:r>
      <w:r>
        <w:rPr>
          <w:rFonts w:hint="eastAsia"/>
        </w:rPr>
        <w:tab/>
        <w:t>请叙述对声称遭受性别歧视的妇女提供了什么机制和补救手段，包括独立机制（例如监察员）。</w:t>
      </w:r>
    </w:p>
    <w:p w:rsidR="00000000" w:rsidRDefault="00000000">
      <w:pPr>
        <w:pStyle w:val="SingleTxt"/>
        <w:spacing w:line="340" w:lineRule="exact"/>
        <w:rPr>
          <w:rFonts w:ascii="SimHei" w:eastAsia="SimHei" w:hint="eastAsia"/>
          <w:color w:val="FF0000"/>
        </w:rPr>
      </w:pPr>
      <w:r>
        <w:rPr>
          <w:rFonts w:ascii="SimHei" w:eastAsia="SimHei" w:hint="eastAsia"/>
          <w:color w:val="FF0000"/>
        </w:rPr>
        <w:t>第3条</w:t>
      </w:r>
    </w:p>
    <w:p w:rsidR="00000000" w:rsidRDefault="00000000">
      <w:pPr>
        <w:pStyle w:val="SingleTxt"/>
        <w:spacing w:line="340" w:lineRule="exact"/>
        <w:rPr>
          <w:rFonts w:hint="eastAsia"/>
        </w:rPr>
      </w:pPr>
      <w:r>
        <w:rPr>
          <w:rFonts w:hint="eastAsia"/>
        </w:rPr>
        <w:t>5.</w:t>
      </w:r>
      <w:r>
        <w:rPr>
          <w:rFonts w:hint="eastAsia"/>
        </w:rPr>
        <w:tab/>
        <w:t>报告提到需要采取一贯的综合做法，建立收集按性别分列的统计数据的系统，把政府的各个部委、私营部门、非政府组织和其他有关机构都包括在内（同上，见第6页）。迄今有否采取这样的做法或政策，将如何使用这种按性别分类的统计数据加强《公约》的实施工作？</w:t>
      </w:r>
    </w:p>
    <w:p w:rsidR="00000000" w:rsidRDefault="00000000">
      <w:pPr>
        <w:pStyle w:val="SingleTxt"/>
        <w:spacing w:line="340" w:lineRule="exact"/>
        <w:rPr>
          <w:rFonts w:hint="eastAsia"/>
        </w:rPr>
      </w:pPr>
      <w:r>
        <w:rPr>
          <w:rFonts w:hint="eastAsia"/>
        </w:rPr>
        <w:t>6.</w:t>
      </w:r>
      <w:r>
        <w:rPr>
          <w:rFonts w:hint="eastAsia"/>
        </w:rPr>
        <w:tab/>
        <w:t>厄立特里亚全国妇女联盟是一个非政府组织，其任务是作为提高妇女地位包括进行与实施《公约》有关的工作的全国性机制（同上，见第5页）。报告指出，全国妇联目前还“在体制上还没有得到授权，在监督政府和其他机构是否有效地开展将性别纳入主流的活动方面发挥广泛的作用”（同上，见第12页）。《行动纲领》为全国机制确定了范畴。是否有计划按照《北京宣言》和《行动纲领》规定的路线创建也负有支持《公约》实施责任的全国性机制？</w:t>
      </w:r>
    </w:p>
    <w:p w:rsidR="00000000" w:rsidRDefault="00000000">
      <w:pPr>
        <w:pStyle w:val="SingleTxt"/>
        <w:spacing w:line="340" w:lineRule="exact"/>
        <w:rPr>
          <w:rFonts w:hint="eastAsia"/>
        </w:rPr>
      </w:pPr>
      <w:r>
        <w:rPr>
          <w:rFonts w:hint="eastAsia"/>
        </w:rPr>
        <w:t>7.</w:t>
      </w:r>
      <w:r>
        <w:rPr>
          <w:rFonts w:hint="eastAsia"/>
        </w:rPr>
        <w:tab/>
        <w:t>报告表示厄立特里亚全国妇女联盟提出了一个性别平等发展的五年国家行动计划（同上，见第5页）。目前这一国家计划的实施情况如何？请说明有否把《公约》的规范和规定纳入这一国家计划的框架。</w:t>
      </w:r>
    </w:p>
    <w:p w:rsidR="00000000" w:rsidRDefault="00000000">
      <w:pPr>
        <w:pStyle w:val="SingleTxt"/>
        <w:spacing w:line="340" w:lineRule="exact"/>
        <w:rPr>
          <w:rFonts w:ascii="SimHei" w:eastAsia="SimHei" w:hint="eastAsia"/>
          <w:color w:val="FF0000"/>
        </w:rPr>
      </w:pPr>
      <w:r>
        <w:rPr>
          <w:rFonts w:ascii="SimHei" w:eastAsia="SimHei" w:hint="eastAsia"/>
          <w:color w:val="FF0000"/>
        </w:rPr>
        <w:t>第4条</w:t>
      </w:r>
    </w:p>
    <w:p w:rsidR="00000000" w:rsidRDefault="00000000">
      <w:pPr>
        <w:pStyle w:val="SingleTxt"/>
        <w:spacing w:line="340" w:lineRule="exact"/>
        <w:rPr>
          <w:rFonts w:hint="eastAsia"/>
        </w:rPr>
      </w:pPr>
      <w:r>
        <w:rPr>
          <w:rFonts w:hint="eastAsia"/>
        </w:rPr>
        <w:t>8.</w:t>
      </w:r>
      <w:r>
        <w:rPr>
          <w:rFonts w:hint="eastAsia"/>
        </w:rPr>
        <w:tab/>
        <w:t>报告表示，政府正在计划“制定一个跨部门和跨机构的综合国家性别政策框架和相应的行动计划，以通过积极行动贯彻性别主流化的方针”（同上，见第10页）。请根据委员会一般性建议第25条，详细说明政府对“积极行动”的理解，并说明目前正在考虑什么样的特殊临时措施。</w:t>
      </w:r>
    </w:p>
    <w:p w:rsidR="00000000" w:rsidRDefault="00000000">
      <w:pPr>
        <w:pStyle w:val="SingleTxt"/>
        <w:spacing w:line="340" w:lineRule="exact"/>
        <w:rPr>
          <w:rFonts w:ascii="SimHei" w:eastAsia="SimHei" w:hint="eastAsia"/>
          <w:color w:val="FF0000"/>
        </w:rPr>
      </w:pPr>
      <w:r>
        <w:rPr>
          <w:rFonts w:ascii="SimHei" w:eastAsia="SimHei" w:hint="eastAsia"/>
          <w:color w:val="FF0000"/>
        </w:rPr>
        <w:t>第5条</w:t>
      </w:r>
    </w:p>
    <w:p w:rsidR="00000000" w:rsidRDefault="00000000">
      <w:pPr>
        <w:pStyle w:val="SingleTxt"/>
        <w:spacing w:line="340" w:lineRule="exact"/>
        <w:rPr>
          <w:rFonts w:hint="eastAsia"/>
        </w:rPr>
      </w:pPr>
      <w:r>
        <w:rPr>
          <w:rFonts w:hint="eastAsia"/>
        </w:rPr>
        <w:t>9.</w:t>
      </w:r>
      <w:r>
        <w:rPr>
          <w:rFonts w:hint="eastAsia"/>
        </w:rPr>
        <w:tab/>
        <w:t>报告指出了文化上根深蒂固的刻板观念对妇女享有《公约》保护的权利所造成的普遍影响（同上，见第10和11页），并指出需要有一个有充裕预算资金的跨部门长期计划，打击性别方面的刻板观念（同上，见第12页）。请说明采取了哪些具体步骤制定和实施这一计划。</w:t>
      </w:r>
    </w:p>
    <w:p w:rsidR="00000000" w:rsidRDefault="00000000">
      <w:pPr>
        <w:pStyle w:val="SingleTxt"/>
        <w:spacing w:line="340" w:lineRule="exact"/>
        <w:rPr>
          <w:rFonts w:hint="eastAsia"/>
        </w:rPr>
      </w:pPr>
      <w:r>
        <w:rPr>
          <w:rFonts w:hint="eastAsia"/>
        </w:rPr>
        <w:t>10.</w:t>
      </w:r>
      <w:r>
        <w:rPr>
          <w:rFonts w:hint="eastAsia"/>
        </w:rPr>
        <w:tab/>
        <w:t>对妇女暴力及其原因和后果问题特别报告员的报告(E/CN.4/2003/75/</w:t>
      </w:r>
      <w:r>
        <w:t xml:space="preserve">  </w:t>
      </w:r>
      <w:r>
        <w:rPr>
          <w:rFonts w:hint="eastAsia"/>
        </w:rPr>
        <w:t>Add.1)指出，对妇女的暴力在厄立特里亚是很普遍的。报告所提供的对妇女的暴力的资料不多。请提供详细的资料说明厄立特里亚境内对妇女暴力的形式和程度，特别是家庭暴力。请说明是否有一个全面的多层面战略，打击各种形式的对妇女的暴力，如果有，请予以描述。</w:t>
      </w:r>
    </w:p>
    <w:p w:rsidR="00000000" w:rsidRDefault="00000000">
      <w:pPr>
        <w:pStyle w:val="SingleTxt"/>
        <w:spacing w:line="340" w:lineRule="exact"/>
        <w:rPr>
          <w:rFonts w:hint="eastAsia"/>
        </w:rPr>
      </w:pPr>
      <w:r>
        <w:rPr>
          <w:rFonts w:hint="eastAsia"/>
        </w:rPr>
        <w:t>11.</w:t>
      </w:r>
      <w:r>
        <w:rPr>
          <w:rFonts w:hint="eastAsia"/>
        </w:rPr>
        <w:tab/>
        <w:t>报告指出，强奸犯为了使自己免受强奸罪的刑事起诉而与受害者结婚，而且关于强奸的定义没有包括婚内强奸（同上，见第65页）。请说明有否采取任何行动，包括立法行动来处理这一问题。</w:t>
      </w:r>
    </w:p>
    <w:p w:rsidR="00000000" w:rsidRDefault="00000000">
      <w:pPr>
        <w:pStyle w:val="SingleTxt"/>
        <w:spacing w:line="340" w:lineRule="exact"/>
        <w:rPr>
          <w:rFonts w:ascii="SimHei" w:eastAsia="SimHei" w:hint="eastAsia"/>
          <w:color w:val="FF0000"/>
        </w:rPr>
      </w:pPr>
      <w:r>
        <w:rPr>
          <w:rFonts w:ascii="SimHei" w:eastAsia="SimHei" w:hint="eastAsia"/>
          <w:color w:val="FF0000"/>
        </w:rPr>
        <w:t>第6条</w:t>
      </w:r>
    </w:p>
    <w:p w:rsidR="00000000" w:rsidRDefault="00000000">
      <w:pPr>
        <w:pStyle w:val="SingleTxt"/>
        <w:spacing w:line="340" w:lineRule="exact"/>
        <w:rPr>
          <w:rFonts w:hint="eastAsia"/>
        </w:rPr>
      </w:pPr>
      <w:r>
        <w:rPr>
          <w:rFonts w:hint="eastAsia"/>
        </w:rPr>
        <w:t>12.</w:t>
      </w:r>
      <w:r>
        <w:rPr>
          <w:rFonts w:hint="eastAsia"/>
        </w:rPr>
        <w:tab/>
        <w:t>根据报告，贩卖和“习惯性利用他人不道德行为”是非法的，可以受到惩处（同上，见第14页）。请提供数据，并讨论根据《刑法典》第604和605条起诉的案件所呈现的趋势。对贩卖受害者有何保护措施？</w:t>
      </w:r>
    </w:p>
    <w:p w:rsidR="00000000" w:rsidRDefault="00000000">
      <w:pPr>
        <w:pStyle w:val="SingleTxt"/>
        <w:spacing w:line="340" w:lineRule="exact"/>
        <w:rPr>
          <w:rFonts w:hint="eastAsia"/>
        </w:rPr>
      </w:pPr>
    </w:p>
    <w:p w:rsidR="00000000" w:rsidRDefault="00000000">
      <w:pPr>
        <w:pStyle w:val="SingleTxt"/>
        <w:spacing w:line="340" w:lineRule="exact"/>
        <w:rPr>
          <w:rFonts w:ascii="SimHei" w:eastAsia="SimHei" w:hint="eastAsia"/>
          <w:color w:val="FF0000"/>
        </w:rPr>
      </w:pPr>
      <w:r>
        <w:rPr>
          <w:rFonts w:ascii="SimHei" w:eastAsia="SimHei" w:hint="eastAsia"/>
          <w:color w:val="FF0000"/>
        </w:rPr>
        <w:t>第7条</w:t>
      </w:r>
    </w:p>
    <w:p w:rsidR="00000000" w:rsidRDefault="00000000">
      <w:pPr>
        <w:pStyle w:val="SingleTxt"/>
        <w:spacing w:line="340" w:lineRule="exact"/>
        <w:rPr>
          <w:rFonts w:hint="eastAsia"/>
        </w:rPr>
      </w:pPr>
      <w:r>
        <w:rPr>
          <w:rFonts w:hint="eastAsia"/>
        </w:rPr>
        <w:t>13.</w:t>
      </w:r>
      <w:r>
        <w:rPr>
          <w:rFonts w:hint="eastAsia"/>
        </w:rPr>
        <w:tab/>
        <w:t>报告指出，从政的和担任公务的高层领导岗位上的妇女人数非常少（同上，见第16页）。除了实行配额制，要求妇女在地方议会和国家议会中占据30％的席位外，还采取了哪些措施以便在考虑委员会关于《公约》第4条第1款的一般性建议第25条和关于妇女参与共同生活的一般性建议第23条的情况下，使妇女能在内阁、政治局和中央委员会以及地区和乡村等各级政府中全面和平等地参加担任职务。</w:t>
      </w:r>
    </w:p>
    <w:p w:rsidR="00000000" w:rsidRDefault="00000000">
      <w:pPr>
        <w:pStyle w:val="SingleTxt"/>
        <w:spacing w:line="340" w:lineRule="exact"/>
        <w:rPr>
          <w:rFonts w:ascii="SimHei" w:eastAsia="SimHei" w:hint="eastAsia"/>
          <w:color w:val="FF0000"/>
        </w:rPr>
      </w:pPr>
      <w:r>
        <w:rPr>
          <w:rFonts w:ascii="SimHei" w:eastAsia="SimHei" w:hint="eastAsia"/>
          <w:color w:val="FF0000"/>
        </w:rPr>
        <w:t>第8条</w:t>
      </w:r>
    </w:p>
    <w:p w:rsidR="00000000" w:rsidRDefault="00000000">
      <w:pPr>
        <w:pStyle w:val="SingleTxt"/>
        <w:spacing w:line="340" w:lineRule="exact"/>
        <w:rPr>
          <w:rFonts w:hint="eastAsia"/>
        </w:rPr>
      </w:pPr>
      <w:r>
        <w:rPr>
          <w:rFonts w:hint="eastAsia"/>
        </w:rPr>
        <w:t>14.</w:t>
      </w:r>
      <w:r>
        <w:rPr>
          <w:rFonts w:hint="eastAsia"/>
        </w:rPr>
        <w:tab/>
        <w:t>报告指出，妇女在本国从事国际事务工作的人数过低，尤其没有在高层管理和外交使团中担任高级职位，而且妇女通常不参加并不在各种国际论坛和代表团中代表政府（同上，见第18页）。请说明正在采取哪些措施，增加妇女在这些领域中的参与。</w:t>
      </w:r>
    </w:p>
    <w:p w:rsidR="00000000" w:rsidRDefault="00000000">
      <w:pPr>
        <w:pStyle w:val="SingleTxt"/>
        <w:spacing w:line="340" w:lineRule="exact"/>
        <w:rPr>
          <w:rFonts w:ascii="SimHei" w:eastAsia="SimHei" w:hint="eastAsia"/>
          <w:color w:val="FF0000"/>
        </w:rPr>
      </w:pPr>
      <w:r>
        <w:rPr>
          <w:rFonts w:ascii="SimHei" w:eastAsia="SimHei" w:hint="eastAsia"/>
          <w:color w:val="FF0000"/>
        </w:rPr>
        <w:t>第10条</w:t>
      </w:r>
    </w:p>
    <w:p w:rsidR="00000000" w:rsidRDefault="00000000">
      <w:pPr>
        <w:pStyle w:val="SingleTxt"/>
        <w:spacing w:line="340" w:lineRule="exact"/>
        <w:rPr>
          <w:rFonts w:hint="eastAsia"/>
        </w:rPr>
      </w:pPr>
      <w:r>
        <w:rPr>
          <w:rFonts w:hint="eastAsia"/>
        </w:rPr>
        <w:t>15.</w:t>
      </w:r>
      <w:r>
        <w:rPr>
          <w:rFonts w:hint="eastAsia"/>
        </w:rPr>
        <w:tab/>
      </w:r>
      <w:r>
        <w:rPr>
          <w:rFonts w:hint="eastAsia"/>
          <w:spacing w:val="4"/>
        </w:rPr>
        <w:t>报告指出：52％的妇女没有受过教育（同上，见第20页）；乡村女孩的入学率比城镇的女孩入学率低得多（同上，见第21页）；女生在大学生中只占13-14％</w:t>
      </w:r>
      <w:r>
        <w:rPr>
          <w:rFonts w:hint="eastAsia"/>
        </w:rPr>
        <w:t>（同上，见第25页）；女生上技术教育课程的人数仅占14％（同上，见第27页）。报告进一步指出，一个由联合国儿童基金会（儿童基金会）支持的项目正在进行，目的是制定关于女生教育的国家政策（同上，见第28页）。请说明这一政策的现状以及打算采取何种措施，以增加妇女获得各级教育和各学科教育的机会。</w:t>
      </w:r>
    </w:p>
    <w:p w:rsidR="00000000" w:rsidRDefault="00000000">
      <w:pPr>
        <w:pStyle w:val="SingleTxt"/>
        <w:spacing w:line="340" w:lineRule="exact"/>
        <w:rPr>
          <w:rFonts w:hint="eastAsia"/>
        </w:rPr>
      </w:pPr>
      <w:r>
        <w:rPr>
          <w:rFonts w:hint="eastAsia"/>
        </w:rPr>
        <w:t>16.</w:t>
      </w:r>
      <w:r>
        <w:rPr>
          <w:rFonts w:hint="eastAsia"/>
        </w:rPr>
        <w:tab/>
        <w:t>报告指出，教育部已采取具体步骤，通过修订学校课程和开展对性别问题敏感的训练，与教育系统中存在的性别定型观念作斗争（同上，见第12页和25页）。请详细说明这些措施的影响，并表明有否采取其他全面步骤，克服教育系统中的性别定型观念。</w:t>
      </w:r>
    </w:p>
    <w:p w:rsidR="00000000" w:rsidRDefault="00000000">
      <w:pPr>
        <w:pStyle w:val="SingleTxt"/>
        <w:spacing w:line="340" w:lineRule="exact"/>
        <w:rPr>
          <w:rFonts w:ascii="SimHei" w:eastAsia="SimHei" w:hint="eastAsia"/>
          <w:color w:val="FF0000"/>
        </w:rPr>
      </w:pPr>
      <w:r>
        <w:rPr>
          <w:rFonts w:ascii="SimHei" w:eastAsia="SimHei" w:hint="eastAsia"/>
          <w:color w:val="FF0000"/>
        </w:rPr>
        <w:t>第11条</w:t>
      </w:r>
    </w:p>
    <w:p w:rsidR="00000000" w:rsidRDefault="00000000">
      <w:pPr>
        <w:pStyle w:val="SingleTxt"/>
        <w:spacing w:line="340" w:lineRule="exact"/>
        <w:rPr>
          <w:rFonts w:hint="eastAsia"/>
        </w:rPr>
      </w:pPr>
      <w:r>
        <w:rPr>
          <w:rFonts w:hint="eastAsia"/>
        </w:rPr>
        <w:t>17.</w:t>
      </w:r>
      <w:r>
        <w:rPr>
          <w:rFonts w:hint="eastAsia"/>
        </w:rPr>
        <w:tab/>
      </w:r>
      <w:r>
        <w:rPr>
          <w:rFonts w:hint="eastAsia"/>
          <w:spacing w:val="2"/>
        </w:rPr>
        <w:t>报告指出，在积极参与经济活动的人群中，女性所占的比例很小（专业和技术领域为5.1％，行政和管理职位为0.2％，政府和文书职位为5％，销售为5.7％，</w:t>
      </w:r>
      <w:r>
        <w:rPr>
          <w:rFonts w:hint="eastAsia"/>
        </w:rPr>
        <w:t>服务行业为17.3％，农业为50％，生产及相关工作为15.5％）（同上，见第31页）。采取了哪些包括临时特殊措施和提供职业培训在内的步骤，以确保就业领域中的平等？</w:t>
      </w:r>
    </w:p>
    <w:p w:rsidR="00000000" w:rsidRDefault="00000000">
      <w:pPr>
        <w:pStyle w:val="SingleTxt"/>
        <w:spacing w:line="340" w:lineRule="exact"/>
        <w:rPr>
          <w:rFonts w:hint="eastAsia"/>
        </w:rPr>
      </w:pPr>
      <w:r>
        <w:rPr>
          <w:rFonts w:hint="eastAsia"/>
        </w:rPr>
        <w:t>18.</w:t>
      </w:r>
      <w:r>
        <w:rPr>
          <w:rFonts w:hint="eastAsia"/>
        </w:rPr>
        <w:tab/>
        <w:t>请提供资料说明妇女参与非正规经济部门的情况，包括在非正规经济就业的妇女人数与正规经济相比的情况，还有妇女比例最大的非正规经济部门。</w:t>
      </w:r>
    </w:p>
    <w:p w:rsidR="00000000" w:rsidRDefault="00000000">
      <w:pPr>
        <w:pStyle w:val="SingleTxt"/>
        <w:spacing w:line="340" w:lineRule="exact"/>
        <w:rPr>
          <w:rFonts w:hint="eastAsia"/>
        </w:rPr>
      </w:pPr>
      <w:r>
        <w:rPr>
          <w:rFonts w:hint="eastAsia"/>
        </w:rPr>
        <w:t>19.</w:t>
      </w:r>
      <w:r>
        <w:rPr>
          <w:rFonts w:hint="eastAsia"/>
        </w:rPr>
        <w:tab/>
        <w:t>报告指出，根据第118/2001号劳动通告规定，就业机会、待遇和报酬上的性别歧视是明令禁止的，妇女可向部长投诉任何歧视行为，并有权对劳工部的决定向高级法院提出上诉（同上，见第33页）。报告还指出，在实际情况中，男性雇员的收入比女性雇员高，并在涨工资和晋升方面比女性雇员更受益（同上，见第35页）。请说明妇女有否利用第118/2001号劳动通告成功地挑战这种歧视作法，并说明还制定了哪些措施有效强制和实施这一声明。</w:t>
      </w:r>
    </w:p>
    <w:p w:rsidR="00000000" w:rsidRDefault="00000000">
      <w:pPr>
        <w:pStyle w:val="SingleTxt"/>
        <w:spacing w:line="340" w:lineRule="exact"/>
        <w:rPr>
          <w:rFonts w:ascii="SimHei" w:eastAsia="SimHei" w:hint="eastAsia"/>
          <w:color w:val="FF0000"/>
        </w:rPr>
      </w:pPr>
      <w:r>
        <w:rPr>
          <w:rFonts w:ascii="SimHei" w:eastAsia="SimHei" w:hint="eastAsia"/>
          <w:color w:val="FF0000"/>
        </w:rPr>
        <w:t>第12条</w:t>
      </w:r>
    </w:p>
    <w:p w:rsidR="00000000" w:rsidRDefault="00000000">
      <w:pPr>
        <w:pStyle w:val="SingleTxt"/>
        <w:spacing w:line="340" w:lineRule="exact"/>
        <w:rPr>
          <w:rFonts w:hint="eastAsia"/>
        </w:rPr>
      </w:pPr>
      <w:r>
        <w:rPr>
          <w:rFonts w:hint="eastAsia"/>
        </w:rPr>
        <w:t>20.</w:t>
      </w:r>
      <w:r>
        <w:rPr>
          <w:rFonts w:hint="eastAsia"/>
        </w:rPr>
        <w:tab/>
        <w:t>报告指出，估计每10万个产妇，就有998个死亡（同上，见第43页），很多妇女无法享用提供接生服务的医疗设施（同上，见第40页和第49页）。为了改善农村和边远地区妇女的产后和产期照料，开展了培训传统接生员的方案，但效果不很理想（同上，见第40页）。是否有其他计划和政策改善妇女在保健设施接受产前、产期和产后照料的机会？</w:t>
      </w:r>
    </w:p>
    <w:p w:rsidR="00000000" w:rsidRDefault="00000000">
      <w:pPr>
        <w:pStyle w:val="SingleTxt"/>
        <w:spacing w:line="340" w:lineRule="exact"/>
        <w:rPr>
          <w:rFonts w:hint="eastAsia"/>
        </w:rPr>
      </w:pPr>
      <w:r>
        <w:rPr>
          <w:rFonts w:hint="eastAsia"/>
        </w:rPr>
        <w:t>21.</w:t>
      </w:r>
      <w:r>
        <w:rPr>
          <w:rFonts w:hint="eastAsia"/>
        </w:rPr>
        <w:tab/>
        <w:t>报告指出，89％的妇女施行女性割礼，并指出有必要在各利益有关者中掀起一个协调良好的跨部门综合运动，（同上，见第45页）。请说明为此采取了什么措施，包括立法和提高认识的措施。</w:t>
      </w:r>
    </w:p>
    <w:p w:rsidR="00000000" w:rsidRDefault="00000000">
      <w:pPr>
        <w:pStyle w:val="SingleTxt"/>
        <w:spacing w:line="340" w:lineRule="exact"/>
        <w:rPr>
          <w:rFonts w:hint="eastAsia"/>
        </w:rPr>
      </w:pPr>
      <w:r>
        <w:rPr>
          <w:rFonts w:hint="eastAsia"/>
        </w:rPr>
        <w:t>22.</w:t>
      </w:r>
      <w:r>
        <w:rPr>
          <w:rFonts w:hint="eastAsia"/>
        </w:rPr>
        <w:tab/>
        <w:t>报告指出，人们对计划生育方法了解甚少（同上，见第44页）；少女怀孕的比例较高（同上，见第44页）；除非有严格的医学方面的原因，堕胎是犯罪行为（同上，见第44页）；非法堕胎是导致产妇死亡率高的一个原因（同上，见第42页）。请提供详细资料，说明制定的措施，以确保妇女和男子都能够得到关于避孕和计划生育的资料，并增加得到和使用计划生育的机会。</w:t>
      </w:r>
    </w:p>
    <w:p w:rsidR="00000000" w:rsidRDefault="00000000">
      <w:pPr>
        <w:pStyle w:val="SingleTxt"/>
        <w:spacing w:line="340" w:lineRule="exact"/>
        <w:rPr>
          <w:rFonts w:hint="eastAsia"/>
        </w:rPr>
      </w:pPr>
      <w:r>
        <w:rPr>
          <w:rFonts w:hint="eastAsia"/>
        </w:rPr>
        <w:t>23.</w:t>
      </w:r>
      <w:r>
        <w:rPr>
          <w:rFonts w:hint="eastAsia"/>
        </w:rPr>
        <w:tab/>
        <w:t>请说明现有的防治艾滋病毒/艾滋病的方案有否纳入性别观点，有否制定针对妇女的特殊的预防措施。</w:t>
      </w:r>
    </w:p>
    <w:p w:rsidR="00000000" w:rsidRDefault="00000000">
      <w:pPr>
        <w:pStyle w:val="SingleTxt"/>
        <w:spacing w:line="340" w:lineRule="exact"/>
        <w:rPr>
          <w:rFonts w:ascii="SimHei" w:eastAsia="SimHei" w:hint="eastAsia"/>
          <w:color w:val="FF0000"/>
        </w:rPr>
      </w:pPr>
      <w:r>
        <w:rPr>
          <w:rFonts w:ascii="SimHei" w:eastAsia="SimHei" w:hint="eastAsia"/>
          <w:color w:val="FF0000"/>
        </w:rPr>
        <w:t>第13条</w:t>
      </w:r>
    </w:p>
    <w:p w:rsidR="00000000" w:rsidRDefault="00000000">
      <w:pPr>
        <w:pStyle w:val="SingleTxt"/>
        <w:spacing w:line="340" w:lineRule="exact"/>
        <w:rPr>
          <w:rFonts w:hint="eastAsia"/>
        </w:rPr>
      </w:pPr>
      <w:r>
        <w:rPr>
          <w:rFonts w:hint="eastAsia"/>
        </w:rPr>
        <w:t>24.</w:t>
      </w:r>
      <w:r>
        <w:rPr>
          <w:rFonts w:hint="eastAsia"/>
        </w:rPr>
        <w:tab/>
        <w:t>报告指出，政府和非政府组织的小额信贷计划是在人人机会平等的基础上执行的，有时还优待妇女（同上，见第53页）。但是，报告没有清楚地说明对女企业家提供了哪些方案支助和实际帮助这一问题。现有什么措施支持多种部门和非传统部门的女企业家？</w:t>
      </w:r>
    </w:p>
    <w:p w:rsidR="00000000" w:rsidRDefault="00000000">
      <w:pPr>
        <w:pStyle w:val="SingleTxt"/>
        <w:spacing w:line="340" w:lineRule="exact"/>
        <w:rPr>
          <w:rFonts w:ascii="SimHei" w:eastAsia="SimHei" w:hint="eastAsia"/>
          <w:color w:val="FF0000"/>
        </w:rPr>
      </w:pPr>
      <w:r>
        <w:rPr>
          <w:rFonts w:ascii="SimHei" w:eastAsia="SimHei" w:hint="eastAsia"/>
          <w:color w:val="FF0000"/>
        </w:rPr>
        <w:t>第14条</w:t>
      </w:r>
    </w:p>
    <w:p w:rsidR="00000000" w:rsidRDefault="00000000">
      <w:pPr>
        <w:pStyle w:val="SingleTxt"/>
        <w:spacing w:line="340" w:lineRule="exact"/>
        <w:rPr>
          <w:rFonts w:hint="eastAsia"/>
        </w:rPr>
      </w:pPr>
      <w:r>
        <w:rPr>
          <w:rFonts w:hint="eastAsia"/>
        </w:rPr>
        <w:t>25.</w:t>
      </w:r>
      <w:r>
        <w:rPr>
          <w:rFonts w:hint="eastAsia"/>
        </w:rPr>
        <w:tab/>
        <w:t>报告指出，厄立特里亚社区恢复基金开展了若干发展乡村社区的活动，提交本报告时正计划评估这些方案对农村妇女的影响（同上，见第50页）。这一评估有否进行？若然，请说明结果。</w:t>
      </w:r>
    </w:p>
    <w:p w:rsidR="00000000" w:rsidRDefault="00000000">
      <w:pPr>
        <w:pStyle w:val="SingleTxt"/>
        <w:spacing w:line="340" w:lineRule="exact"/>
        <w:rPr>
          <w:rFonts w:hint="eastAsia"/>
        </w:rPr>
      </w:pPr>
      <w:r>
        <w:rPr>
          <w:rFonts w:hint="eastAsia"/>
        </w:rPr>
        <w:t>26.</w:t>
      </w:r>
      <w:r>
        <w:rPr>
          <w:rFonts w:hint="eastAsia"/>
        </w:rPr>
        <w:tab/>
        <w:t>报告指出，根据土地改革的政策，妇女在法律上得到了为农业、住房和投资目的土地使用的机会。然而，“观念上的障碍”使这些规定难以实施（同上，见第51页）。请叙述在对妇女平等适用土地改革政策方面遇到的困难，并说明采取了哪些措施克服这些障碍。</w:t>
      </w:r>
    </w:p>
    <w:p w:rsidR="00000000" w:rsidRDefault="00000000">
      <w:pPr>
        <w:pStyle w:val="SingleTxt"/>
        <w:spacing w:line="340" w:lineRule="exact"/>
        <w:rPr>
          <w:rFonts w:hint="eastAsia"/>
        </w:rPr>
      </w:pPr>
      <w:r>
        <w:rPr>
          <w:rFonts w:hint="eastAsia"/>
        </w:rPr>
        <w:t>27.</w:t>
      </w:r>
      <w:r>
        <w:rPr>
          <w:rFonts w:hint="eastAsia"/>
        </w:rPr>
        <w:tab/>
        <w:t>报告指出，需要让女农民参加农民咨询服务处举办的培训班，并建议厄立特里亚全国妇联和其他利益有关者参加协调咨询服务处的工作，以取得更好的效果（同上，见第53页）。有没有采取步骤使妇联和其他妇女组织参加咨询服务处的活动，确保农村妇女得益于这些咨询和培训服务，增加农村妇女参与决策的机会？</w:t>
      </w:r>
    </w:p>
    <w:p w:rsidR="00000000" w:rsidRDefault="00000000">
      <w:pPr>
        <w:pStyle w:val="SingleTxt"/>
        <w:spacing w:line="340" w:lineRule="exact"/>
        <w:rPr>
          <w:rFonts w:ascii="SimHei" w:eastAsia="SimHei" w:hint="eastAsia"/>
          <w:color w:val="FF0000"/>
        </w:rPr>
      </w:pPr>
      <w:r>
        <w:rPr>
          <w:rFonts w:ascii="SimHei" w:eastAsia="SimHei" w:hint="eastAsia"/>
          <w:color w:val="FF0000"/>
        </w:rPr>
        <w:t>第15条</w:t>
      </w:r>
    </w:p>
    <w:p w:rsidR="00000000" w:rsidRDefault="00000000">
      <w:pPr>
        <w:pStyle w:val="SingleTxt"/>
        <w:spacing w:line="340" w:lineRule="exact"/>
        <w:rPr>
          <w:rFonts w:hint="eastAsia"/>
        </w:rPr>
      </w:pPr>
      <w:r>
        <w:rPr>
          <w:rFonts w:hint="eastAsia"/>
        </w:rPr>
        <w:t>28.</w:t>
      </w:r>
      <w:r>
        <w:rPr>
          <w:rFonts w:hint="eastAsia"/>
        </w:rPr>
        <w:tab/>
        <w:t>报告指出，尽管妇女有着与男人相同的法律身份，但她们缺乏对权利和法定能力的了解。厄立特里亚全国妇联成立了法律咨询单位，使人们更多的了解有关妇女事务的法律条款（同上，见第60页）。法律咨询单位是否得到厄立特里亚政府的资金和帮助，其提高认识的方案是否深入到农村妇女？</w:t>
      </w:r>
    </w:p>
    <w:p w:rsidR="00000000" w:rsidRDefault="00000000">
      <w:pPr>
        <w:pStyle w:val="SingleTxt"/>
        <w:spacing w:line="340" w:lineRule="exact"/>
        <w:rPr>
          <w:rFonts w:ascii="SimHei" w:eastAsia="SimHei" w:hint="eastAsia"/>
          <w:color w:val="FF0000"/>
        </w:rPr>
      </w:pPr>
      <w:r>
        <w:rPr>
          <w:rFonts w:ascii="SimHei" w:eastAsia="SimHei" w:hint="eastAsia"/>
          <w:color w:val="FF0000"/>
        </w:rPr>
        <w:t>第16条</w:t>
      </w:r>
    </w:p>
    <w:p w:rsidR="00000000" w:rsidRDefault="00000000">
      <w:pPr>
        <w:pStyle w:val="SingleTxt"/>
        <w:spacing w:line="340" w:lineRule="exact"/>
        <w:rPr>
          <w:rFonts w:hint="eastAsia"/>
        </w:rPr>
      </w:pPr>
      <w:r>
        <w:rPr>
          <w:rFonts w:hint="eastAsia"/>
        </w:rPr>
        <w:t>29.</w:t>
      </w:r>
      <w:r>
        <w:rPr>
          <w:rFonts w:hint="eastAsia"/>
        </w:rPr>
        <w:tab/>
        <w:t>报告指出，尽管男女的法定结婚年龄都是18岁，而且需要双方的同意，但低龄结婚、受威逼利诱结婚和订婚一直是个普遍的做法（同上，见第60和63页）。请提供详细的资料，说明这种做法的普遍性，并说明为杜绝早婚和逼婚，加强遵守《公约》而开展的提高认识的活动和其他方案。</w:t>
      </w:r>
    </w:p>
    <w:p w:rsidR="00000000" w:rsidRDefault="00000000">
      <w:pPr>
        <w:pStyle w:val="SingleTxt"/>
        <w:spacing w:line="340" w:lineRule="exact"/>
        <w:rPr>
          <w:rFonts w:hint="eastAsia"/>
        </w:rPr>
      </w:pPr>
      <w:r>
        <w:rPr>
          <w:rFonts w:hint="eastAsia"/>
        </w:rPr>
        <w:t>30.</w:t>
      </w:r>
      <w:r>
        <w:rPr>
          <w:rFonts w:hint="eastAsia"/>
        </w:rPr>
        <w:tab/>
        <w:t>报告指出，习惯法婚姻和宗教仪式婚姻均受到承认（同上，见第61页），而这种婚姻的结婚和离婚规定都是对妇女不利的（同上，见第62-64页）。目前进行了哪些努力，对宗教仪式婚姻和习惯法婚姻适用《过渡法典》中的家庭法规定，并保证遵守《公约》？</w:t>
      </w:r>
    </w:p>
    <w:p w:rsidR="00000000" w:rsidRDefault="00000000">
      <w:pPr>
        <w:pStyle w:val="SingleTxt"/>
        <w:spacing w:after="0" w:line="240" w:lineRule="auto"/>
        <w:rPr>
          <w:sz w:val="20"/>
        </w:rPr>
      </w:pPr>
      <w:r>
        <w:rPr>
          <w:noProof/>
          <w:sz w:val="20"/>
        </w:rPr>
        <w:pict>
          <v:line id="_x0000_s2050" style="position:absolute;left:0;text-align:left;z-index:1;mso-position-horizontal:center" from="0,30pt" to="1in,30pt" strokeweight=".25pt"/>
        </w:pict>
      </w:r>
    </w:p>
    <w:sectPr w:rsidR="00000000">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NO&gt;&gt;N0545823C&lt;&lt;ODS JOB NO&gt;&gt;</w:t>
      </w:r>
    </w:p>
    <w:p w:rsidR="00000000" w:rsidRDefault="00000000">
      <w:pPr>
        <w:pStyle w:val="CommentText"/>
      </w:pPr>
      <w:r>
        <w:t>&lt;&lt;ODS DOC SYMBOL1&gt;&gt;CEDAW/C/ERI/Q/1-3&lt;&lt;ODS DOC SYMBOL1&gt;&gt;</w:t>
      </w:r>
    </w:p>
    <w:p w:rsidR="00000000" w:rsidRDefault="00000000">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SimHei">
    <w:altName w:val="黑体"/>
    <w:panose1 w:val="02010600030101010101"/>
    <w:charset w:val="86"/>
    <w:family w:val="modern"/>
    <w:notTrueType/>
    <w:pitch w:val="fixed"/>
    <w:sig w:usb0="00000001" w:usb1="080E0000" w:usb2="00000010" w:usb3="00000000" w:csb0="00040000" w:csb1="00000000"/>
  </w:font>
  <w:font w:name="KaiTi_GB2312">
    <w:charset w:val="86"/>
    <w:family w:val="modern"/>
    <w:pitch w:val="fixed"/>
    <w:sig w:usb0="00000001" w:usb1="080E0000" w:usb2="00000010" w:usb3="00000000" w:csb0="00040000" w:csb1="00000000"/>
  </w:font>
  <w:font w:name="Courier New">
    <w:panose1 w:val="02070309020205020404"/>
    <w:charset w:val="00"/>
    <w:family w:val="modern"/>
    <w:pitch w:val="fixed"/>
    <w:sig w:usb0="20002A87" w:usb1="80000000" w:usb2="00000008"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insideH w:val="single" w:sz="4" w:space="0" w:color="auto"/>
      </w:tblBorders>
      <w:tblLayout w:type="fixed"/>
      <w:tblLook w:val="000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fldSimple w:instr=" PAGE  \* MERGEFORMAT ">
            <w:r>
              <w:t>4</w:t>
            </w:r>
          </w:fldSimple>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insideH w:val="single" w:sz="4" w:space="0" w:color="auto"/>
      </w:tblBorders>
      <w:tblLayout w:type="fixed"/>
      <w:tblLook w:val="000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fldSimple w:instr=" PAGE  \* MERGEFORMAT ">
            <w:r>
              <w:t>5</w:t>
            </w:r>
          </w:fldSimple>
        </w:p>
      </w:tc>
    </w:tr>
  </w:tbl>
  <w:p w:rsidR="00000000" w:rsidRDefault="0000000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rPr>
        <w:b w:val="0"/>
        <w:sz w:val="21"/>
      </w:rPr>
    </w:pPr>
    <w:r>
      <w:rPr>
        <w:b w:val="0"/>
        <w:sz w:val="21"/>
      </w:rPr>
      <w:t>05-45823 (C)</w:t>
    </w:r>
  </w:p>
  <w:p w:rsidR="00000000" w:rsidRDefault="00000000">
    <w:pPr>
      <w:spacing w:before="60" w:line="200" w:lineRule="exact"/>
      <w:rPr>
        <w:rFonts w:ascii="Barcode 3 of 9 by request" w:hAnsi="Barcode 3 of 9 by request"/>
        <w:b/>
      </w:rPr>
    </w:pPr>
    <w:r>
      <w:rPr>
        <w:rFonts w:ascii="Barcode 3 of 9 by request" w:hAnsi="Barcode 3 of 9 by request"/>
        <w:b/>
      </w:rPr>
      <w:t>*0545823*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CEDAW/C/ERI/Q/1-3</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CEDAW/C/ERI/Q/1-3</w:t>
                      </w:r>
                    </w:p>
                  </w:tc>
                </w:tr>
              </w:tbl>
              <w:p w:rsidR="00000000" w:rsidRDefault="00000000"/>
            </w:txbxContent>
          </v:textbox>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eader"/>
            <w:spacing w:after="120"/>
          </w:pP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/C/ERI/Q/1-3</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p>
      </w:tc>
      <w:tc>
        <w:tcPr>
          <w:tcW w:w="5227" w:type="dxa"/>
          <w:gridSpan w:val="3"/>
          <w:tcBorders>
            <w:left w:val="nil"/>
            <w:bottom w:val="single" w:sz="12" w:space="0" w:color="auto"/>
            <w:right w:val="nil"/>
          </w:tcBorders>
        </w:tcPr>
        <w:p w:rsidR="00000000" w:rsidRDefault="00000000">
          <w:pPr>
            <w:pStyle w:val="Header"/>
            <w:spacing w:before="109"/>
          </w:pP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p>
        <w:p w:rsidR="00000000" w:rsidRDefault="00000000">
          <w:pPr>
            <w:spacing w:line="240" w:lineRule="exact"/>
            <w:rPr>
              <w:rFonts w:ascii="Times New Roman"/>
            </w:rPr>
          </w:pPr>
          <w:r>
            <w:rPr>
              <w:rFonts w:ascii="Times New Roman"/>
            </w:rPr>
            <w:t>29 July 2005</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hideGrammaticalErrors/>
  <w:activeWritingStyle w:appName="MSWord" w:lang="zh-CN" w:vendorID="64" w:dllVersion="131077" w:nlCheck="1" w:checkStyle="1"/>
  <w:proofState w:spelling="clean"/>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CreationDt" w:val="02/11/2005 8:42: PM"/>
    <w:docVar w:name="DocCategory" w:val="PlainDoc"/>
    <w:docVar w:name="DocType" w:val="Final"/>
    <w:docVar w:name="JobNo" w:val="0545823C"/>
    <w:docVar w:name="OandT" w:val=" "/>
    <w:docVar w:name="Symbol1" w:val="CEDAW/C/ERI/Q/1-3"/>
    <w:docVar w:name="Symbol2" w:val="-"/>
  </w:docVar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rFonts w:ascii="SimHei" w:eastAsia="SimHei"/>
      <w:color w:val="FF0000"/>
      <w:sz w:val="24"/>
    </w:rPr>
  </w:style>
  <w:style w:type="paragraph" w:customStyle="1" w:styleId="HCh">
    <w:name w:val="_ H _Ch"/>
    <w:basedOn w:val="H1"/>
    <w:next w:val="SingleTxt"/>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SingleTxt"/>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basedOn w:val="DefaultParagraphFont"/>
    <w:semiHidden/>
    <w:rPr>
      <w:color w:val="FF00FF"/>
      <w:spacing w:val="0"/>
      <w:w w:val="150"/>
      <w:position w:val="0"/>
      <w:vertAlign w:val="superscript"/>
    </w:rPr>
  </w:style>
  <w:style w:type="character" w:styleId="EndnoteReference">
    <w:name w:val="endnote reference"/>
    <w:basedOn w:val="FootnoteReference"/>
    <w:semiHidden/>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basedOn w:val="DefaultParagraphFont"/>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basedOn w:val="DefaultParagraphFont"/>
    <w:semiHidden/>
    <w:rPr>
      <w:sz w:val="14"/>
    </w:rPr>
  </w:style>
  <w:style w:type="paragraph" w:styleId="Header">
    <w:name w:val="header"/>
    <w:semiHidden/>
    <w:pPr>
      <w:tabs>
        <w:tab w:val="center" w:pos="4320"/>
        <w:tab w:val="right" w:pos="8640"/>
      </w:tabs>
    </w:pPr>
    <w:rPr>
      <w:noProof/>
      <w:sz w:val="18"/>
      <w:lang w:eastAsia="zh-CN"/>
    </w:rPr>
  </w:style>
  <w:style w:type="paragraph" w:styleId="Footer">
    <w:name w:val="footer"/>
    <w:semiHidden/>
    <w:pPr>
      <w:tabs>
        <w:tab w:val="center" w:pos="4320"/>
        <w:tab w:val="right" w:pos="8640"/>
      </w:tabs>
    </w:pPr>
    <w:rPr>
      <w:b/>
      <w:noProof/>
      <w:sz w:val="17"/>
      <w:lang w:eastAsia="zh-CN"/>
    </w:rPr>
  </w:style>
  <w:style w:type="paragraph" w:styleId="CommentText">
    <w:name w:val="annotation text"/>
    <w:basedOn w:val="Normal"/>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94</TotalTime>
  <Pages>1</Pages>
  <Words>565</Words>
  <Characters>3226</Characters>
  <Application>Microsoft Office Outlook</Application>
  <DocSecurity>4</DocSecurity>
  <Lines>26</Lines>
  <Paragraphs>6</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3961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CTPU.530</dc:creator>
  <cp:keywords/>
  <dc:description/>
  <cp:lastModifiedBy>CTPU.530</cp:lastModifiedBy>
  <cp:revision>8</cp:revision>
  <cp:lastPrinted>2005-11-02T21:50:00Z</cp:lastPrinted>
  <dcterms:created xsi:type="dcterms:W3CDTF">2005-11-02T19:42:00Z</dcterms:created>
  <dcterms:modified xsi:type="dcterms:W3CDTF">2005-11-02T21:54:00Z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0545823</vt:lpwstr>
  </property>
  <property fmtid="{D5CDD505-2E9C-101B-9397-08002B2CF9AE}" pid="3" name="Symbol1">
    <vt:lpwstr>CEDAW/C/ERI/Q/1-3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