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B1739AC" w14:textId="77777777" w:rsidTr="00CA1AEA">
        <w:trPr>
          <w:cantSplit/>
          <w:trHeight w:hRule="exact" w:val="851"/>
        </w:trPr>
        <w:tc>
          <w:tcPr>
            <w:tcW w:w="1276" w:type="dxa"/>
            <w:tcBorders>
              <w:bottom w:val="single" w:sz="4" w:space="0" w:color="auto"/>
            </w:tcBorders>
            <w:vAlign w:val="bottom"/>
          </w:tcPr>
          <w:p w14:paraId="5B1544AE" w14:textId="77777777" w:rsidR="00165C15" w:rsidRDefault="00165C15" w:rsidP="00CA1AEA">
            <w:pPr>
              <w:spacing w:after="80"/>
            </w:pPr>
          </w:p>
        </w:tc>
        <w:tc>
          <w:tcPr>
            <w:tcW w:w="2268" w:type="dxa"/>
            <w:tcBorders>
              <w:bottom w:val="single" w:sz="4" w:space="0" w:color="auto"/>
            </w:tcBorders>
            <w:vAlign w:val="bottom"/>
          </w:tcPr>
          <w:p w14:paraId="59F89DE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CE86D4" w14:textId="3F52EEFA" w:rsidR="00165C15" w:rsidRPr="00D47EEA" w:rsidRDefault="004B3CCE" w:rsidP="004B3CCE">
            <w:pPr>
              <w:suppressAutoHyphens w:val="0"/>
              <w:spacing w:after="20"/>
              <w:jc w:val="right"/>
            </w:pPr>
            <w:r w:rsidRPr="003D0B6C">
              <w:rPr>
                <w:sz w:val="40"/>
              </w:rPr>
              <w:t>CCPR</w:t>
            </w:r>
            <w:r w:rsidRPr="003D0B6C">
              <w:t>/C/136/2/Add.1</w:t>
            </w:r>
          </w:p>
        </w:tc>
      </w:tr>
      <w:tr w:rsidR="00165C15" w14:paraId="7464240E" w14:textId="77777777" w:rsidTr="00CA1AEA">
        <w:trPr>
          <w:cantSplit/>
          <w:trHeight w:hRule="exact" w:val="2835"/>
        </w:trPr>
        <w:tc>
          <w:tcPr>
            <w:tcW w:w="1276" w:type="dxa"/>
            <w:tcBorders>
              <w:top w:val="single" w:sz="4" w:space="0" w:color="auto"/>
              <w:bottom w:val="single" w:sz="12" w:space="0" w:color="auto"/>
            </w:tcBorders>
          </w:tcPr>
          <w:p w14:paraId="250C6057" w14:textId="77777777" w:rsidR="00165C15" w:rsidRDefault="00165C15" w:rsidP="00CA1AEA">
            <w:pPr>
              <w:spacing w:before="120"/>
            </w:pPr>
            <w:r>
              <w:rPr>
                <w:noProof/>
                <w:lang w:val="fr-CH" w:eastAsia="fr-CH"/>
              </w:rPr>
              <w:drawing>
                <wp:inline distT="0" distB="0" distL="0" distR="0" wp14:anchorId="3B7FE330" wp14:editId="343B87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D8AFD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781C597" w14:textId="77777777" w:rsidR="004B3CCE" w:rsidRPr="0042389E" w:rsidRDefault="004B3CCE" w:rsidP="004B3CCE">
            <w:pPr>
              <w:suppressAutoHyphens w:val="0"/>
              <w:spacing w:before="240"/>
            </w:pPr>
            <w:r w:rsidRPr="0042389E">
              <w:t xml:space="preserve">Distr.: </w:t>
            </w:r>
            <w:r>
              <w:t>General</w:t>
            </w:r>
          </w:p>
          <w:p w14:paraId="28861C08" w14:textId="77777777" w:rsidR="004B3CCE" w:rsidRPr="0042389E" w:rsidRDefault="004B3CCE" w:rsidP="004B3CCE">
            <w:pPr>
              <w:suppressAutoHyphens w:val="0"/>
            </w:pPr>
            <w:r>
              <w:t>5</w:t>
            </w:r>
            <w:r w:rsidRPr="0042389E">
              <w:t xml:space="preserve"> </w:t>
            </w:r>
            <w:r>
              <w:t>December</w:t>
            </w:r>
            <w:r w:rsidRPr="0042389E">
              <w:t xml:space="preserve"> 2022</w:t>
            </w:r>
          </w:p>
          <w:p w14:paraId="3BEE2125" w14:textId="77777777" w:rsidR="004B3CCE" w:rsidRPr="0042389E" w:rsidRDefault="004B3CCE" w:rsidP="004B3CCE">
            <w:pPr>
              <w:suppressAutoHyphens w:val="0"/>
            </w:pPr>
          </w:p>
          <w:p w14:paraId="5C925217" w14:textId="397A51CC" w:rsidR="004B3CCE" w:rsidRDefault="004B3CCE" w:rsidP="004B3CCE">
            <w:pPr>
              <w:suppressAutoHyphens w:val="0"/>
            </w:pPr>
            <w:r w:rsidRPr="0042389E">
              <w:t>Original: English</w:t>
            </w:r>
          </w:p>
        </w:tc>
      </w:tr>
    </w:tbl>
    <w:p w14:paraId="108B8EDC" w14:textId="77777777" w:rsidR="004B3CCE" w:rsidRPr="0042389E" w:rsidRDefault="004B3CCE" w:rsidP="004B3CCE">
      <w:pPr>
        <w:spacing w:before="120"/>
        <w:jc w:val="both"/>
      </w:pPr>
      <w:r w:rsidRPr="0042389E">
        <w:rPr>
          <w:b/>
          <w:bCs/>
          <w:sz w:val="24"/>
          <w:szCs w:val="24"/>
        </w:rPr>
        <w:t>Human Rights Committee</w:t>
      </w:r>
    </w:p>
    <w:p w14:paraId="54F448AA" w14:textId="39573E17" w:rsidR="004B3CCE" w:rsidRPr="0042389E" w:rsidRDefault="004B3CCE" w:rsidP="004B3CCE">
      <w:pPr>
        <w:pStyle w:val="HChG"/>
        <w:rPr>
          <w:b w:val="0"/>
          <w:bCs/>
        </w:rPr>
      </w:pPr>
      <w:r w:rsidRPr="0042389E">
        <w:tab/>
      </w:r>
      <w:r w:rsidRPr="0042389E">
        <w:tab/>
      </w:r>
      <w:bookmarkStart w:id="0" w:name="_Toc506807534"/>
      <w:r w:rsidRPr="0042389E">
        <w:t>Report on follow-up to the concluding observations of the Human Rights Committee</w:t>
      </w:r>
      <w:bookmarkEnd w:id="0"/>
      <w:r w:rsidRPr="00826161">
        <w:rPr>
          <w:b w:val="0"/>
          <w:bCs/>
          <w:sz w:val="20"/>
        </w:rPr>
        <w:footnoteReference w:customMarkFollows="1" w:id="1"/>
        <w:t>*</w:t>
      </w:r>
    </w:p>
    <w:p w14:paraId="3A948B2F" w14:textId="77777777" w:rsidR="004B3CCE" w:rsidRPr="0042389E" w:rsidRDefault="004B3CCE" w:rsidP="004B3CCE">
      <w:pPr>
        <w:pStyle w:val="H23G"/>
        <w:spacing w:before="120"/>
        <w:jc w:val="both"/>
        <w:rPr>
          <w:rFonts w:eastAsia="SimSun"/>
          <w:lang w:eastAsia="zh-CN"/>
        </w:rPr>
      </w:pPr>
      <w:r w:rsidRPr="0042389E">
        <w:tab/>
      </w:r>
      <w:r w:rsidRPr="0042389E">
        <w:tab/>
      </w:r>
      <w:r w:rsidRPr="0042389E">
        <w:rPr>
          <w:rFonts w:eastAsia="SimSun"/>
          <w:lang w:eastAsia="zh-CN"/>
        </w:rPr>
        <w:t>Addendum</w:t>
      </w:r>
    </w:p>
    <w:p w14:paraId="6FAC535A" w14:textId="77777777" w:rsidR="004B3CCE" w:rsidRPr="0042389E" w:rsidRDefault="004B3CCE" w:rsidP="004B3CCE">
      <w:pPr>
        <w:pStyle w:val="HChG"/>
      </w:pPr>
      <w:r w:rsidRPr="0042389E">
        <w:rPr>
          <w:rFonts w:eastAsia="SimSun"/>
          <w:lang w:eastAsia="zh-CN"/>
        </w:rPr>
        <w:tab/>
      </w:r>
      <w:r w:rsidRPr="0042389E">
        <w:rPr>
          <w:rFonts w:eastAsia="SimSun"/>
          <w:lang w:eastAsia="zh-CN"/>
        </w:rPr>
        <w:tab/>
      </w:r>
      <w:r w:rsidRPr="0042389E">
        <w:t xml:space="preserve">Evaluation of the information on follow-up to the concluding observations </w:t>
      </w:r>
      <w:proofErr w:type="gramStart"/>
      <w:r w:rsidRPr="0042389E">
        <w:t>on</w:t>
      </w:r>
      <w:proofErr w:type="gramEnd"/>
      <w:r w:rsidRPr="0042389E">
        <w:t xml:space="preserve"> Algeria</w:t>
      </w:r>
    </w:p>
    <w:p w14:paraId="41069643" w14:textId="77777777" w:rsidR="004B3CCE" w:rsidRPr="0042389E" w:rsidRDefault="004B3CCE" w:rsidP="004B3CCE">
      <w:pPr>
        <w:spacing w:after="120"/>
        <w:ind w:left="4536" w:right="1134" w:hanging="3402"/>
        <w:rPr>
          <w:rFonts w:eastAsia="SimSun"/>
          <w:lang w:eastAsia="zh-CN"/>
        </w:rPr>
      </w:pPr>
      <w:r w:rsidRPr="0042389E">
        <w:rPr>
          <w:rFonts w:eastAsiaTheme="minorEastAsia"/>
          <w:i/>
          <w:iCs/>
          <w:lang w:eastAsia="zh-CN"/>
        </w:rPr>
        <w:t>Concluding observations (123rd session):</w:t>
      </w:r>
      <w:r w:rsidRPr="0042389E">
        <w:rPr>
          <w:rFonts w:eastAsiaTheme="minorEastAsia"/>
          <w:i/>
          <w:lang w:eastAsia="zh-CN"/>
        </w:rPr>
        <w:tab/>
      </w:r>
      <w:hyperlink r:id="rId9" w:history="1">
        <w:r w:rsidRPr="006E7A13">
          <w:rPr>
            <w:rStyle w:val="Hyperlink"/>
          </w:rPr>
          <w:t>CCPR/C/DZA/CO/4</w:t>
        </w:r>
      </w:hyperlink>
      <w:hyperlink r:id="rId10" w:history="1"/>
      <w:r w:rsidRPr="0042389E">
        <w:rPr>
          <w:rFonts w:eastAsiaTheme="minorEastAsia"/>
          <w:lang w:eastAsia="zh-CN"/>
        </w:rPr>
        <w:t>,</w:t>
      </w:r>
      <w:r w:rsidRPr="006E7A13">
        <w:rPr>
          <w:rFonts w:eastAsiaTheme="minorEastAsia"/>
          <w:lang w:eastAsia="zh-CN"/>
        </w:rPr>
        <w:t xml:space="preserve"> </w:t>
      </w:r>
      <w:r w:rsidRPr="006E7A13">
        <w:t>20</w:t>
      </w:r>
      <w:r w:rsidRPr="0042389E">
        <w:t xml:space="preserve"> July 2018</w:t>
      </w:r>
    </w:p>
    <w:p w14:paraId="34BF57D7" w14:textId="77777777" w:rsidR="004B3CCE" w:rsidRPr="0042389E" w:rsidRDefault="004B3CCE" w:rsidP="004B3CCE">
      <w:pPr>
        <w:spacing w:after="120"/>
        <w:ind w:left="4536" w:right="1134" w:hanging="3402"/>
        <w:rPr>
          <w:rFonts w:eastAsia="SimSun"/>
          <w:lang w:eastAsia="zh-CN"/>
        </w:rPr>
      </w:pPr>
      <w:r w:rsidRPr="0042389E">
        <w:rPr>
          <w:rFonts w:eastAsiaTheme="minorEastAsia"/>
          <w:i/>
          <w:iCs/>
          <w:lang w:eastAsia="zh-CN"/>
        </w:rPr>
        <w:t>Follow-up paragraphs:</w:t>
      </w:r>
      <w:r w:rsidRPr="0042389E">
        <w:rPr>
          <w:rFonts w:eastAsiaTheme="minorEastAsia"/>
          <w:i/>
          <w:iCs/>
          <w:lang w:eastAsia="zh-CN"/>
        </w:rPr>
        <w:tab/>
      </w:r>
      <w:r w:rsidRPr="0042389E">
        <w:rPr>
          <w:bCs/>
        </w:rPr>
        <w:t>30, 38 and 46</w:t>
      </w:r>
    </w:p>
    <w:p w14:paraId="2B99A23B" w14:textId="75CD0DD5" w:rsidR="004B3CCE" w:rsidRPr="0042389E" w:rsidRDefault="004B3CCE" w:rsidP="004B3CCE">
      <w:pPr>
        <w:spacing w:after="120"/>
        <w:ind w:left="4536" w:right="1134" w:hanging="3402"/>
        <w:rPr>
          <w:rFonts w:eastAsia="SimSun"/>
          <w:lang w:eastAsia="zh-CN"/>
        </w:rPr>
      </w:pPr>
      <w:r w:rsidRPr="0042389E">
        <w:rPr>
          <w:rFonts w:eastAsia="SimSun"/>
          <w:i/>
          <w:iCs/>
          <w:lang w:eastAsia="zh-CN"/>
        </w:rPr>
        <w:t xml:space="preserve">Information received from State party: </w:t>
      </w:r>
      <w:r w:rsidRPr="0042389E">
        <w:rPr>
          <w:rFonts w:eastAsia="SimSun"/>
          <w:lang w:eastAsia="zh-CN"/>
        </w:rPr>
        <w:tab/>
      </w:r>
      <w:hyperlink r:id="rId11" w:history="1">
        <w:r w:rsidRPr="0042389E">
          <w:rPr>
            <w:rStyle w:val="Hyperlink"/>
            <w:lang w:eastAsia="zh-CN"/>
          </w:rPr>
          <w:t>CCPR/C/DZA/FCO/4</w:t>
        </w:r>
      </w:hyperlink>
      <w:r w:rsidRPr="0042389E">
        <w:rPr>
          <w:rFonts w:eastAsia="SimSun"/>
          <w:lang w:eastAsia="zh-CN"/>
        </w:rPr>
        <w:t xml:space="preserve">, </w:t>
      </w:r>
      <w:r w:rsidRPr="0042389E">
        <w:rPr>
          <w:rStyle w:val="Hyperlink"/>
          <w:color w:val="auto"/>
          <w:shd w:val="clear" w:color="auto" w:fill="FFFFFF"/>
        </w:rPr>
        <w:t>25 June</w:t>
      </w:r>
      <w:r w:rsidR="003D0B6C">
        <w:rPr>
          <w:rStyle w:val="Hyperlink"/>
          <w:color w:val="auto"/>
          <w:shd w:val="clear" w:color="auto" w:fill="FFFFFF"/>
        </w:rPr>
        <w:t xml:space="preserve"> </w:t>
      </w:r>
      <w:r w:rsidRPr="0042389E">
        <w:rPr>
          <w:rStyle w:val="Hyperlink"/>
          <w:color w:val="auto"/>
          <w:shd w:val="clear" w:color="auto" w:fill="FFFFFF"/>
        </w:rPr>
        <w:t>2021</w:t>
      </w:r>
    </w:p>
    <w:p w14:paraId="3FF18414" w14:textId="77777777" w:rsidR="004B3CCE" w:rsidRPr="0042389E" w:rsidRDefault="004B3CCE" w:rsidP="004B3CCE">
      <w:pPr>
        <w:spacing w:after="120"/>
        <w:ind w:left="4536" w:right="1134" w:hanging="3402"/>
        <w:rPr>
          <w:shd w:val="clear" w:color="auto" w:fill="FFFFFF"/>
        </w:rPr>
      </w:pPr>
      <w:r w:rsidRPr="0042389E">
        <w:rPr>
          <w:rStyle w:val="Hyperlink"/>
          <w:i/>
          <w:iCs/>
          <w:color w:val="auto"/>
          <w:shd w:val="clear" w:color="auto" w:fill="FFFFFF"/>
        </w:rPr>
        <w:t>Information received from stakeholders:</w:t>
      </w:r>
      <w:r w:rsidRPr="00DD17A2">
        <w:tab/>
      </w:r>
      <w:hyperlink r:id="rId12" w:history="1">
        <w:r>
          <w:rPr>
            <w:rStyle w:val="Hyperlink"/>
          </w:rPr>
          <w:t>Cairo Institute for Human Rights Studies</w:t>
        </w:r>
      </w:hyperlink>
      <w:r w:rsidRPr="0042389E">
        <w:rPr>
          <w:rStyle w:val="Hyperlink"/>
          <w:color w:val="auto"/>
          <w:shd w:val="clear" w:color="auto" w:fill="FFFFFF"/>
        </w:rPr>
        <w:t>,</w:t>
      </w:r>
      <w:r w:rsidRPr="0042389E">
        <w:t xml:space="preserve"> </w:t>
      </w:r>
      <w:r w:rsidRPr="0042389E">
        <w:rPr>
          <w:rStyle w:val="Hyperlink"/>
          <w:color w:val="auto"/>
          <w:shd w:val="clear" w:color="auto" w:fill="FFFFFF"/>
        </w:rPr>
        <w:t>18 July 2022</w:t>
      </w:r>
      <w:r>
        <w:rPr>
          <w:rStyle w:val="Hyperlink"/>
          <w:color w:val="auto"/>
          <w:shd w:val="clear" w:color="auto" w:fill="FFFFFF"/>
        </w:rPr>
        <w:t xml:space="preserve">; </w:t>
      </w:r>
      <w:hyperlink r:id="rId13" w:history="1">
        <w:proofErr w:type="spellStart"/>
        <w:r>
          <w:rPr>
            <w:rStyle w:val="Hyperlink"/>
            <w:shd w:val="clear" w:color="auto" w:fill="FFFFFF"/>
          </w:rPr>
          <w:t>Collectif</w:t>
        </w:r>
        <w:proofErr w:type="spellEnd"/>
        <w:r>
          <w:rPr>
            <w:rStyle w:val="Hyperlink"/>
            <w:shd w:val="clear" w:color="auto" w:fill="FFFFFF"/>
          </w:rPr>
          <w:t xml:space="preserve"> des </w:t>
        </w:r>
        <w:proofErr w:type="spellStart"/>
        <w:r>
          <w:rPr>
            <w:rStyle w:val="Hyperlink"/>
            <w:shd w:val="clear" w:color="auto" w:fill="FFFFFF"/>
          </w:rPr>
          <w:t>Familles</w:t>
        </w:r>
        <w:proofErr w:type="spellEnd"/>
        <w:r>
          <w:rPr>
            <w:rStyle w:val="Hyperlink"/>
            <w:shd w:val="clear" w:color="auto" w:fill="FFFFFF"/>
          </w:rPr>
          <w:t xml:space="preserve"> de </w:t>
        </w:r>
        <w:proofErr w:type="spellStart"/>
        <w:r>
          <w:rPr>
            <w:rStyle w:val="Hyperlink"/>
            <w:shd w:val="clear" w:color="auto" w:fill="FFFFFF"/>
          </w:rPr>
          <w:t>Disparu</w:t>
        </w:r>
        <w:proofErr w:type="spellEnd"/>
        <w:r>
          <w:rPr>
            <w:rStyle w:val="Hyperlink"/>
            <w:shd w:val="clear" w:color="auto" w:fill="FFFFFF"/>
          </w:rPr>
          <w:t xml:space="preserve">(e)s </w:t>
        </w:r>
        <w:proofErr w:type="spellStart"/>
        <w:r>
          <w:rPr>
            <w:rStyle w:val="Hyperlink"/>
            <w:shd w:val="clear" w:color="auto" w:fill="FFFFFF"/>
          </w:rPr>
          <w:t>en</w:t>
        </w:r>
        <w:proofErr w:type="spellEnd"/>
        <w:r>
          <w:rPr>
            <w:rStyle w:val="Hyperlink"/>
            <w:shd w:val="clear" w:color="auto" w:fill="FFFFFF"/>
          </w:rPr>
          <w:t xml:space="preserve"> </w:t>
        </w:r>
        <w:proofErr w:type="spellStart"/>
        <w:r>
          <w:rPr>
            <w:rStyle w:val="Hyperlink"/>
            <w:shd w:val="clear" w:color="auto" w:fill="FFFFFF"/>
          </w:rPr>
          <w:t>Algérie</w:t>
        </w:r>
        <w:proofErr w:type="spellEnd"/>
      </w:hyperlink>
      <w:r>
        <w:rPr>
          <w:rStyle w:val="Hyperlink"/>
          <w:color w:val="auto"/>
          <w:shd w:val="clear" w:color="auto" w:fill="FFFFFF"/>
        </w:rPr>
        <w:t>, 20 September 2022</w:t>
      </w:r>
    </w:p>
    <w:p w14:paraId="2F64DA85" w14:textId="193CA571" w:rsidR="004B3CCE" w:rsidRPr="0042389E" w:rsidRDefault="004B3CCE" w:rsidP="004B3CCE">
      <w:pPr>
        <w:spacing w:after="120"/>
        <w:ind w:left="4536" w:right="1134" w:hanging="3402"/>
        <w:rPr>
          <w:rFonts w:eastAsia="SimSun"/>
          <w:lang w:eastAsia="zh-CN"/>
        </w:rPr>
      </w:pPr>
      <w:r w:rsidRPr="0042389E">
        <w:rPr>
          <w:rFonts w:eastAsia="SimSun"/>
          <w:i/>
          <w:iCs/>
          <w:lang w:eastAsia="zh-CN"/>
        </w:rPr>
        <w:t>Committee</w:t>
      </w:r>
      <w:r w:rsidR="00385E50">
        <w:rPr>
          <w:rFonts w:eastAsia="SimSun"/>
          <w:i/>
          <w:iCs/>
          <w:lang w:eastAsia="zh-CN"/>
        </w:rPr>
        <w:t>’</w:t>
      </w:r>
      <w:r w:rsidRPr="0042389E">
        <w:rPr>
          <w:rFonts w:eastAsia="SimSun"/>
          <w:i/>
          <w:iCs/>
          <w:lang w:eastAsia="zh-CN"/>
        </w:rPr>
        <w:t>s evaluation:</w:t>
      </w:r>
      <w:r w:rsidRPr="0042389E">
        <w:rPr>
          <w:rFonts w:eastAsia="SimSun"/>
          <w:lang w:eastAsia="zh-CN"/>
        </w:rPr>
        <w:t xml:space="preserve"> </w:t>
      </w:r>
      <w:r w:rsidRPr="0042389E">
        <w:rPr>
          <w:rFonts w:eastAsia="SimSun"/>
          <w:lang w:eastAsia="zh-CN"/>
        </w:rPr>
        <w:tab/>
      </w:r>
      <w:r w:rsidRPr="0042389E">
        <w:rPr>
          <w:bCs/>
        </w:rPr>
        <w:t>30</w:t>
      </w:r>
      <w:r w:rsidRPr="0042389E">
        <w:rPr>
          <w:rFonts w:eastAsia="SimSun"/>
          <w:lang w:eastAsia="zh-CN"/>
        </w:rPr>
        <w:t xml:space="preserve"> [</w:t>
      </w:r>
      <w:r>
        <w:rPr>
          <w:rFonts w:eastAsia="SimSun"/>
          <w:lang w:eastAsia="zh-CN"/>
        </w:rPr>
        <w:t>E</w:t>
      </w:r>
      <w:r w:rsidRPr="0042389E">
        <w:rPr>
          <w:rFonts w:eastAsia="SimSun"/>
          <w:lang w:eastAsia="zh-CN"/>
        </w:rPr>
        <w:t xml:space="preserve">], </w:t>
      </w:r>
      <w:r w:rsidRPr="0042389E">
        <w:rPr>
          <w:bCs/>
        </w:rPr>
        <w:t xml:space="preserve">38 </w:t>
      </w:r>
      <w:r w:rsidRPr="0042389E">
        <w:rPr>
          <w:rFonts w:eastAsia="SimSun"/>
          <w:lang w:eastAsia="zh-CN"/>
        </w:rPr>
        <w:t>[C]</w:t>
      </w:r>
      <w:r>
        <w:rPr>
          <w:rFonts w:eastAsia="SimSun"/>
          <w:lang w:eastAsia="zh-CN"/>
        </w:rPr>
        <w:t>[D]</w:t>
      </w:r>
      <w:r w:rsidRPr="0042389E">
        <w:rPr>
          <w:rFonts w:eastAsia="SimSun"/>
          <w:lang w:eastAsia="zh-CN"/>
        </w:rPr>
        <w:t xml:space="preserve"> and </w:t>
      </w:r>
      <w:r w:rsidRPr="0042389E">
        <w:rPr>
          <w:bCs/>
        </w:rPr>
        <w:t>46</w:t>
      </w:r>
      <w:r w:rsidRPr="0042389E">
        <w:rPr>
          <w:rFonts w:eastAsia="SimSun"/>
          <w:lang w:eastAsia="zh-CN"/>
        </w:rPr>
        <w:t xml:space="preserve"> [C]</w:t>
      </w:r>
      <w:r>
        <w:rPr>
          <w:rFonts w:eastAsia="SimSun"/>
          <w:lang w:eastAsia="zh-CN"/>
        </w:rPr>
        <w:t>[D]</w:t>
      </w:r>
    </w:p>
    <w:p w14:paraId="4B1FDF55" w14:textId="77777777" w:rsidR="004B3CCE" w:rsidRPr="0042389E" w:rsidRDefault="004B3CCE" w:rsidP="004B3CCE">
      <w:pPr>
        <w:pStyle w:val="H1G"/>
        <w:jc w:val="both"/>
        <w:rPr>
          <w:bCs/>
        </w:rPr>
      </w:pPr>
      <w:r w:rsidRPr="0042389E">
        <w:rPr>
          <w:rFonts w:eastAsiaTheme="minorEastAsia"/>
        </w:rPr>
        <w:tab/>
      </w:r>
      <w:r w:rsidRPr="0042389E">
        <w:rPr>
          <w:rFonts w:eastAsiaTheme="minorEastAsia"/>
        </w:rPr>
        <w:tab/>
      </w:r>
      <w:r w:rsidRPr="0042389E">
        <w:rPr>
          <w:rFonts w:eastAsiaTheme="minorEastAsia"/>
        </w:rPr>
        <w:tab/>
        <w:t xml:space="preserve">Paragraph 30: </w:t>
      </w:r>
      <w:bookmarkStart w:id="1" w:name="_Toc529980685"/>
      <w:r w:rsidRPr="0042389E">
        <w:t>Enforced disappearance</w:t>
      </w:r>
      <w:bookmarkEnd w:id="1"/>
    </w:p>
    <w:p w14:paraId="20C79081" w14:textId="77777777" w:rsidR="004B3CCE" w:rsidRPr="00EE4E69" w:rsidRDefault="004B3CCE" w:rsidP="004B3CCE">
      <w:pPr>
        <w:pStyle w:val="SingleTxtG"/>
        <w:rPr>
          <w:b/>
          <w:bCs/>
        </w:rPr>
      </w:pPr>
      <w:r w:rsidRPr="00EE4E69">
        <w:rPr>
          <w:b/>
          <w:bCs/>
        </w:rPr>
        <w:t xml:space="preserve">The State party should take all necessary action to (a) ensure that disappeared persons and their families have access to an effective remedy, including for those families who have declared </w:t>
      </w:r>
      <w:r>
        <w:rPr>
          <w:b/>
          <w:bCs/>
        </w:rPr>
        <w:t>–</w:t>
      </w:r>
      <w:r w:rsidRPr="00EE4E69">
        <w:rPr>
          <w:b/>
          <w:bCs/>
        </w:rPr>
        <w:t xml:space="preserve"> for purposes of being able to receive compensation </w:t>
      </w:r>
      <w:r>
        <w:rPr>
          <w:b/>
          <w:bCs/>
        </w:rPr>
        <w:t>–</w:t>
      </w:r>
      <w:r w:rsidRPr="00EE4E69">
        <w:rPr>
          <w:b/>
          <w:bCs/>
        </w:rPr>
        <w:t xml:space="preserve"> that their disappeared family member was dead; (b) ensure that thorough and independent investigations are launched into all allegations of enforced disappearance; (c) guarantee access to the truth for families of victims, such as by arranging for the exhumation of unmarked graves and mass graves and by having remains identified through scientific means, such as DNA testing; (d) guarantee the right to comprehensive reparation for all victims; (e) put in place guarantees to prevent enforced disappearance from reoccurring; and (f) implement the relevant Views adopted by the Committee under the Optional Protocol, provide any information that may be useful in resolving the cases pending before the Working Group on Enforced or Involuntary Disappearances and organize as promptly as possible the country visit referred to in the invitation extended in December 2013 by the State party to the Working Group. The State party should also take all necessary action to ratify the International Convention for the Protection of All Persons from Enforced Disappearance, which it signed in 2007.</w:t>
      </w:r>
    </w:p>
    <w:p w14:paraId="22FF696D" w14:textId="77777777" w:rsidR="004B3CCE" w:rsidRPr="0042389E" w:rsidRDefault="004B3CCE" w:rsidP="004B3CCE">
      <w:pPr>
        <w:pStyle w:val="H23G"/>
        <w:rPr>
          <w:rFonts w:eastAsiaTheme="minorEastAsia"/>
        </w:rPr>
      </w:pPr>
      <w:r w:rsidRPr="0042389E">
        <w:lastRenderedPageBreak/>
        <w:tab/>
      </w:r>
      <w:r w:rsidRPr="0042389E">
        <w:tab/>
      </w:r>
      <w:r w:rsidRPr="0042389E">
        <w:rPr>
          <w:rFonts w:eastAsiaTheme="minorEastAsia"/>
        </w:rPr>
        <w:t>Summary of the information received from the State party</w:t>
      </w:r>
    </w:p>
    <w:p w14:paraId="3B7C35CB" w14:textId="0F7BAFE5" w:rsidR="004B3CCE" w:rsidRDefault="004B3CCE" w:rsidP="004B3CCE">
      <w:pPr>
        <w:pStyle w:val="SingleTxtG"/>
        <w:ind w:left="1138" w:right="1138"/>
      </w:pPr>
      <w:r w:rsidRPr="0042389E">
        <w:t xml:space="preserve">Algeria </w:t>
      </w:r>
      <w:r>
        <w:t xml:space="preserve">has already </w:t>
      </w:r>
      <w:r w:rsidRPr="0042389E">
        <w:t xml:space="preserve">submitted information about enforced disappearances </w:t>
      </w:r>
      <w:r>
        <w:t>that occurred in</w:t>
      </w:r>
      <w:r w:rsidRPr="0042389E">
        <w:t xml:space="preserve"> the 1990s and compensation </w:t>
      </w:r>
      <w:r>
        <w:t>that</w:t>
      </w:r>
      <w:r w:rsidRPr="0042389E">
        <w:t xml:space="preserve"> victims </w:t>
      </w:r>
      <w:r>
        <w:t xml:space="preserve">received </w:t>
      </w:r>
      <w:r w:rsidRPr="0042389E">
        <w:t xml:space="preserve">in </w:t>
      </w:r>
      <w:r>
        <w:t>its fourth periodic report</w:t>
      </w:r>
      <w:r w:rsidRPr="00752F98">
        <w:rPr>
          <w:rStyle w:val="FootnoteReference"/>
        </w:rPr>
        <w:footnoteReference w:id="2"/>
      </w:r>
      <w:r w:rsidRPr="0042389E">
        <w:t xml:space="preserve"> and </w:t>
      </w:r>
      <w:r w:rsidRPr="00F6634A">
        <w:t>its rep</w:t>
      </w:r>
      <w:r w:rsidRPr="00111F12">
        <w:t>lies</w:t>
      </w:r>
      <w:r w:rsidRPr="00F6634A">
        <w:t xml:space="preserve"> </w:t>
      </w:r>
      <w:r w:rsidRPr="00111F12">
        <w:t xml:space="preserve">to the </w:t>
      </w:r>
      <w:r w:rsidRPr="00F6634A">
        <w:t>Committee</w:t>
      </w:r>
      <w:r w:rsidR="00385E50">
        <w:t>’</w:t>
      </w:r>
      <w:r w:rsidRPr="00BF2C1C">
        <w:t xml:space="preserve">s </w:t>
      </w:r>
      <w:r w:rsidRPr="00111F12">
        <w:t>list of issues</w:t>
      </w:r>
      <w:r w:rsidRPr="00F6634A">
        <w:t>.</w:t>
      </w:r>
      <w:r w:rsidRPr="00752F98">
        <w:rPr>
          <w:rStyle w:val="FootnoteReference"/>
        </w:rPr>
        <w:footnoteReference w:id="3"/>
      </w:r>
      <w:r w:rsidRPr="0042389E">
        <w:t xml:space="preserve"> At the previous review, the delegation stressed that, under Algerian law, it </w:t>
      </w:r>
      <w:r>
        <w:t>i</w:t>
      </w:r>
      <w:r w:rsidRPr="0042389E">
        <w:t xml:space="preserve">s not lawful to pardon or commute the sentences of persons convicted of rape, torture, bombings in public places, premeditated murder or abduction, or to terminate their prosecution. According to the Charter </w:t>
      </w:r>
      <w:r>
        <w:t xml:space="preserve">for </w:t>
      </w:r>
      <w:r w:rsidRPr="0042389E">
        <w:t>Peace and National Reconciliation, courts c</w:t>
      </w:r>
      <w:r>
        <w:t>an</w:t>
      </w:r>
      <w:r w:rsidRPr="0042389E">
        <w:t xml:space="preserve"> try criminal cases and </w:t>
      </w:r>
      <w:r>
        <w:t xml:space="preserve">consider </w:t>
      </w:r>
      <w:r w:rsidRPr="0042389E">
        <w:t xml:space="preserve">alleged human rights violations, except where </w:t>
      </w:r>
      <w:r>
        <w:t xml:space="preserve">the </w:t>
      </w:r>
      <w:r w:rsidRPr="0042389E">
        <w:t xml:space="preserve">alleged perpetrators </w:t>
      </w:r>
      <w:r>
        <w:t>a</w:t>
      </w:r>
      <w:r w:rsidRPr="0042389E">
        <w:t xml:space="preserve">re law enforcement officials or persons engaged in counter-terrorism operations. Individuals therefore have the right of appeal if the acts were unrelated to public order, security or counter-terrorism operations. The Charter was adopted by </w:t>
      </w:r>
      <w:r>
        <w:t>P</w:t>
      </w:r>
      <w:r w:rsidRPr="0042389E">
        <w:t>arliament and submitted to a referendum</w:t>
      </w:r>
      <w:r>
        <w:t>.</w:t>
      </w:r>
      <w:r w:rsidRPr="0042389E">
        <w:t xml:space="preserve"> </w:t>
      </w:r>
      <w:r>
        <w:t>It can</w:t>
      </w:r>
      <w:r w:rsidRPr="0042389E">
        <w:t xml:space="preserve"> be amended only following the same process.</w:t>
      </w:r>
      <w:r w:rsidRPr="00752F98">
        <w:rPr>
          <w:rStyle w:val="FootnoteReference"/>
        </w:rPr>
        <w:footnoteReference w:id="4"/>
      </w:r>
    </w:p>
    <w:p w14:paraId="27287341" w14:textId="5605FAEF" w:rsidR="004B3CCE" w:rsidRDefault="00D87F8E" w:rsidP="00D87F8E">
      <w:pPr>
        <w:pStyle w:val="H23G"/>
      </w:pPr>
      <w:r>
        <w:rPr>
          <w:rFonts w:eastAsiaTheme="minorEastAsia"/>
        </w:rPr>
        <w:tab/>
      </w:r>
      <w:r>
        <w:rPr>
          <w:rFonts w:eastAsiaTheme="minorEastAsia"/>
        </w:rPr>
        <w:tab/>
      </w:r>
      <w:r w:rsidR="004B3CCE" w:rsidRPr="000B39A4">
        <w:rPr>
          <w:rFonts w:eastAsiaTheme="minorEastAsia"/>
        </w:rPr>
        <w:t>Summary of the i</w:t>
      </w:r>
      <w:r w:rsidR="004B3CCE" w:rsidRPr="000B39A4">
        <w:t>nformation received from stakeholders</w:t>
      </w:r>
    </w:p>
    <w:p w14:paraId="55DA5B87" w14:textId="326F939C" w:rsidR="004B3CCE" w:rsidRPr="00111F12" w:rsidRDefault="00D87F8E" w:rsidP="00D87F8E">
      <w:pPr>
        <w:pStyle w:val="H4G"/>
        <w:rPr>
          <w:rStyle w:val="Hyperlink"/>
          <w:bCs/>
          <w:iCs/>
          <w:color w:val="auto"/>
          <w:shd w:val="clear" w:color="auto" w:fill="FFFFFF"/>
          <w:lang w:val="fr-CH"/>
        </w:rPr>
      </w:pPr>
      <w:r>
        <w:rPr>
          <w:rStyle w:val="Hyperlink"/>
          <w:bCs/>
          <w:iCs/>
          <w:color w:val="auto"/>
          <w:shd w:val="clear" w:color="auto" w:fill="FFFFFF"/>
          <w:lang w:val="fr-CH"/>
        </w:rPr>
        <w:tab/>
      </w:r>
      <w:r>
        <w:rPr>
          <w:rStyle w:val="Hyperlink"/>
          <w:bCs/>
          <w:iCs/>
          <w:color w:val="auto"/>
          <w:shd w:val="clear" w:color="auto" w:fill="FFFFFF"/>
          <w:lang w:val="fr-CH"/>
        </w:rPr>
        <w:tab/>
      </w:r>
      <w:r w:rsidR="004B3CCE" w:rsidRPr="00111F12">
        <w:rPr>
          <w:rStyle w:val="Hyperlink"/>
          <w:bCs/>
          <w:iCs/>
          <w:color w:val="auto"/>
          <w:shd w:val="clear" w:color="auto" w:fill="FFFFFF"/>
          <w:lang w:val="fr-CH"/>
        </w:rPr>
        <w:t xml:space="preserve">Collectif des </w:t>
      </w:r>
      <w:r w:rsidR="004B3CCE">
        <w:rPr>
          <w:rStyle w:val="Hyperlink"/>
          <w:bCs/>
          <w:iCs/>
          <w:color w:val="auto"/>
          <w:shd w:val="clear" w:color="auto" w:fill="FFFFFF"/>
          <w:lang w:val="fr-CH"/>
        </w:rPr>
        <w:t>F</w:t>
      </w:r>
      <w:r w:rsidR="004B3CCE" w:rsidRPr="00111F12">
        <w:rPr>
          <w:rStyle w:val="Hyperlink"/>
          <w:bCs/>
          <w:iCs/>
          <w:color w:val="auto"/>
          <w:shd w:val="clear" w:color="auto" w:fill="FFFFFF"/>
          <w:lang w:val="fr-CH"/>
        </w:rPr>
        <w:t>amilles de Disparu</w:t>
      </w:r>
      <w:r w:rsidR="004B3CCE">
        <w:rPr>
          <w:rStyle w:val="Hyperlink"/>
          <w:bCs/>
          <w:iCs/>
          <w:color w:val="auto"/>
          <w:shd w:val="clear" w:color="auto" w:fill="FFFFFF"/>
          <w:lang w:val="fr-CH"/>
        </w:rPr>
        <w:t>(e)</w:t>
      </w:r>
      <w:r w:rsidR="004B3CCE" w:rsidRPr="00111F12">
        <w:rPr>
          <w:rStyle w:val="Hyperlink"/>
          <w:bCs/>
          <w:iCs/>
          <w:color w:val="auto"/>
          <w:shd w:val="clear" w:color="auto" w:fill="FFFFFF"/>
          <w:lang w:val="fr-CH"/>
        </w:rPr>
        <w:t>s en Algérie</w:t>
      </w:r>
    </w:p>
    <w:p w14:paraId="34F63EDB" w14:textId="77777777" w:rsidR="004B3CCE" w:rsidRPr="0042389E" w:rsidRDefault="004B3CCE" w:rsidP="004B3CCE">
      <w:pPr>
        <w:pStyle w:val="SingleTxtG"/>
        <w:ind w:left="1138" w:right="1138"/>
      </w:pPr>
      <w:r>
        <w:t>Algeria</w:t>
      </w:r>
      <w:r w:rsidRPr="00FA23E9">
        <w:t xml:space="preserve"> has taken </w:t>
      </w:r>
      <w:r>
        <w:t>no</w:t>
      </w:r>
      <w:r w:rsidRPr="00FA23E9">
        <w:t xml:space="preserve"> new legislative measures to guarantee missing persons and their families </w:t>
      </w:r>
      <w:r w:rsidRPr="00847074">
        <w:t xml:space="preserve">access to an </w:t>
      </w:r>
      <w:r w:rsidRPr="00FA23E9">
        <w:t>effective remed</w:t>
      </w:r>
      <w:r>
        <w:t xml:space="preserve">y. </w:t>
      </w:r>
      <w:r w:rsidRPr="00FA23E9">
        <w:t xml:space="preserve">No progress has been made </w:t>
      </w:r>
      <w:r>
        <w:t>o</w:t>
      </w:r>
      <w:r w:rsidRPr="00FA23E9">
        <w:t>n implementing effective or independent investiga</w:t>
      </w:r>
      <w:r>
        <w:t>tions. The authorities</w:t>
      </w:r>
      <w:r w:rsidRPr="00FA23E9">
        <w:t xml:space="preserve"> remain total</w:t>
      </w:r>
      <w:r>
        <w:t>ly</w:t>
      </w:r>
      <w:r w:rsidRPr="00FA23E9">
        <w:t xml:space="preserve"> in denial </w:t>
      </w:r>
      <w:r>
        <w:t>about</w:t>
      </w:r>
      <w:r w:rsidRPr="00FA23E9">
        <w:t xml:space="preserve"> the scourge</w:t>
      </w:r>
      <w:r>
        <w:t>;</w:t>
      </w:r>
      <w:r w:rsidRPr="00FA23E9">
        <w:t xml:space="preserve"> </w:t>
      </w:r>
      <w:r>
        <w:t>they</w:t>
      </w:r>
      <w:r w:rsidRPr="00FA23E9">
        <w:t xml:space="preserve"> </w:t>
      </w:r>
      <w:r>
        <w:t>urge</w:t>
      </w:r>
      <w:r w:rsidRPr="00FA23E9">
        <w:t xml:space="preserve"> families to declare their loved </w:t>
      </w:r>
      <w:proofErr w:type="gramStart"/>
      <w:r w:rsidRPr="00FA23E9">
        <w:t>ones</w:t>
      </w:r>
      <w:proofErr w:type="gramEnd"/>
      <w:r w:rsidRPr="00FA23E9">
        <w:t xml:space="preserve"> dead</w:t>
      </w:r>
      <w:r>
        <w:t>. They</w:t>
      </w:r>
      <w:r w:rsidRPr="00FA23E9">
        <w:t xml:space="preserve"> </w:t>
      </w:r>
      <w:r>
        <w:t>state</w:t>
      </w:r>
      <w:r w:rsidRPr="00FA23E9">
        <w:t xml:space="preserve"> </w:t>
      </w:r>
      <w:r>
        <w:t xml:space="preserve">that the problem had </w:t>
      </w:r>
      <w:r w:rsidRPr="00FA23E9">
        <w:t>already been resolved</w:t>
      </w:r>
      <w:r>
        <w:t>, deny</w:t>
      </w:r>
      <w:r w:rsidRPr="00FA23E9">
        <w:t xml:space="preserve"> the existence of certain mass graves</w:t>
      </w:r>
      <w:r>
        <w:t xml:space="preserve"> and refuse</w:t>
      </w:r>
      <w:r w:rsidRPr="00FA23E9">
        <w:t xml:space="preserve"> to </w:t>
      </w:r>
      <w:r>
        <w:t>conduct exhumations</w:t>
      </w:r>
      <w:r w:rsidRPr="00FA23E9">
        <w:t xml:space="preserve"> </w:t>
      </w:r>
      <w:r>
        <w:t xml:space="preserve">at </w:t>
      </w:r>
      <w:r w:rsidRPr="00FA23E9">
        <w:t xml:space="preserve">known </w:t>
      </w:r>
      <w:r>
        <w:t xml:space="preserve">burial </w:t>
      </w:r>
      <w:r w:rsidRPr="00FA23E9">
        <w:t>sites</w:t>
      </w:r>
      <w:r>
        <w:t>.</w:t>
      </w:r>
      <w:r w:rsidRPr="000B39A4">
        <w:t xml:space="preserve"> </w:t>
      </w:r>
      <w:r w:rsidRPr="00FA23E9">
        <w:t xml:space="preserve">No new system for reparations has been </w:t>
      </w:r>
      <w:r>
        <w:t>established. R</w:t>
      </w:r>
      <w:r w:rsidRPr="00FA23E9">
        <w:t>eparation</w:t>
      </w:r>
      <w:r>
        <w:t xml:space="preserve"> is</w:t>
      </w:r>
      <w:r w:rsidRPr="00FA23E9">
        <w:t xml:space="preserve"> possible </w:t>
      </w:r>
      <w:r>
        <w:t>only</w:t>
      </w:r>
      <w:r w:rsidRPr="00FA23E9">
        <w:t xml:space="preserve"> when </w:t>
      </w:r>
      <w:r>
        <w:t>a</w:t>
      </w:r>
      <w:r w:rsidRPr="00FA23E9">
        <w:t xml:space="preserve"> missing </w:t>
      </w:r>
      <w:r>
        <w:t xml:space="preserve">person </w:t>
      </w:r>
      <w:r w:rsidRPr="00FA23E9">
        <w:t>is declared</w:t>
      </w:r>
      <w:r w:rsidRPr="001B53DD">
        <w:t xml:space="preserve"> </w:t>
      </w:r>
      <w:r w:rsidRPr="00FA23E9">
        <w:t>dea</w:t>
      </w:r>
      <w:r>
        <w:t>d. A</w:t>
      </w:r>
      <w:r w:rsidRPr="00FA23E9">
        <w:t xml:space="preserve">ctivists </w:t>
      </w:r>
      <w:r>
        <w:t>for</w:t>
      </w:r>
      <w:r w:rsidRPr="00FA23E9">
        <w:t xml:space="preserve"> the disappeared</w:t>
      </w:r>
      <w:r>
        <w:t xml:space="preserve"> are</w:t>
      </w:r>
      <w:r w:rsidRPr="00FA23E9">
        <w:t xml:space="preserve"> intimidate</w:t>
      </w:r>
      <w:r>
        <w:t>d</w:t>
      </w:r>
      <w:r w:rsidRPr="00FA23E9">
        <w:t xml:space="preserve"> and repress</w:t>
      </w:r>
      <w:r>
        <w:t xml:space="preserve">ed and have been </w:t>
      </w:r>
      <w:r w:rsidRPr="00FA23E9">
        <w:t>victims of blackmail by the authorities</w:t>
      </w:r>
      <w:r>
        <w:t>.</w:t>
      </w:r>
      <w:r w:rsidRPr="00FA23E9">
        <w:t xml:space="preserve"> </w:t>
      </w:r>
      <w:r>
        <w:t>S</w:t>
      </w:r>
      <w:r w:rsidRPr="00FA23E9">
        <w:t>ome relatives of the disappeared have been harassed by the police</w:t>
      </w:r>
      <w:r>
        <w:t xml:space="preserve"> and </w:t>
      </w:r>
      <w:r w:rsidRPr="00FA23E9">
        <w:t xml:space="preserve">threatened with </w:t>
      </w:r>
      <w:r>
        <w:t>im</w:t>
      </w:r>
      <w:r w:rsidRPr="00FA23E9">
        <w:t>prison</w:t>
      </w:r>
      <w:r>
        <w:t>ment. A</w:t>
      </w:r>
      <w:r w:rsidRPr="00FA23E9">
        <w:t>ssociations, including those of the families of the disappeared, are under s</w:t>
      </w:r>
      <w:r>
        <w:t>ignificant</w:t>
      </w:r>
      <w:r w:rsidRPr="00FA23E9">
        <w:t xml:space="preserve"> pressure from the authorities</w:t>
      </w:r>
      <w:r>
        <w:t>.</w:t>
      </w:r>
    </w:p>
    <w:p w14:paraId="65D63837" w14:textId="00785D68" w:rsidR="004B3CCE" w:rsidRPr="0042389E" w:rsidRDefault="00C5401F" w:rsidP="00C5401F">
      <w:pPr>
        <w:pStyle w:val="H23G"/>
        <w:rPr>
          <w:rFonts w:eastAsiaTheme="minorEastAsia"/>
        </w:rPr>
      </w:pPr>
      <w:r>
        <w:rPr>
          <w:rFonts w:eastAsiaTheme="minorEastAsia"/>
        </w:rPr>
        <w:tab/>
      </w:r>
      <w:r>
        <w:rPr>
          <w:rFonts w:eastAsiaTheme="minorEastAsia"/>
        </w:rPr>
        <w:tab/>
      </w:r>
      <w:r w:rsidR="004B3CCE" w:rsidRPr="0042389E">
        <w:rPr>
          <w:rFonts w:eastAsiaTheme="minorEastAsia"/>
        </w:rPr>
        <w:t>Committee</w:t>
      </w:r>
      <w:r w:rsidR="00385E50">
        <w:rPr>
          <w:rFonts w:eastAsiaTheme="minorEastAsia"/>
        </w:rPr>
        <w:t>’</w:t>
      </w:r>
      <w:r w:rsidR="004B3CCE" w:rsidRPr="0042389E">
        <w:rPr>
          <w:rFonts w:eastAsiaTheme="minorEastAsia"/>
        </w:rPr>
        <w:t>s evaluation</w:t>
      </w:r>
    </w:p>
    <w:p w14:paraId="66377BF5" w14:textId="77777777" w:rsidR="004B3CCE" w:rsidRPr="00DC787E" w:rsidRDefault="004B3CCE" w:rsidP="004B3CCE">
      <w:pPr>
        <w:pStyle w:val="SingleTxtG"/>
      </w:pPr>
      <w:r w:rsidRPr="00111F12">
        <w:t>[E]</w:t>
      </w:r>
    </w:p>
    <w:p w14:paraId="799B4802" w14:textId="3C11484B" w:rsidR="004B3CCE" w:rsidRPr="002B5D49" w:rsidRDefault="004B3CCE" w:rsidP="004B3CCE">
      <w:pPr>
        <w:pStyle w:val="SingleTxtG"/>
      </w:pPr>
      <w:r w:rsidRPr="0042389E">
        <w:t xml:space="preserve">While </w:t>
      </w:r>
      <w:r>
        <w:t xml:space="preserve">taking </w:t>
      </w:r>
      <w:r w:rsidRPr="0042389E">
        <w:t>not</w:t>
      </w:r>
      <w:r>
        <w:t>e of</w:t>
      </w:r>
      <w:r w:rsidRPr="0042389E">
        <w:t xml:space="preserve"> the information provided, the Committee</w:t>
      </w:r>
      <w:r>
        <w:t xml:space="preserve"> notes that the State party has repeated information and </w:t>
      </w:r>
      <w:proofErr w:type="gramStart"/>
      <w:r>
        <w:t>replies</w:t>
      </w:r>
      <w:proofErr w:type="gramEnd"/>
      <w:r>
        <w:t xml:space="preserve"> it had already submitted prior to the Committee</w:t>
      </w:r>
      <w:r w:rsidR="00385E50">
        <w:t>’</w:t>
      </w:r>
      <w:r>
        <w:t>s adoption of its concluding observations, and which thus formed the basis of its specific and detailed recommendation. It therefore finds that the information reflects the State party</w:t>
      </w:r>
      <w:r w:rsidR="00385E50">
        <w:t>’</w:t>
      </w:r>
      <w:r>
        <w:t xml:space="preserve">s rejection of its recommendation. The Committee strongly </w:t>
      </w:r>
      <w:r w:rsidRPr="0042389E">
        <w:t>reiterates its recommendation</w:t>
      </w:r>
      <w:r>
        <w:t xml:space="preserve"> and requests further information on allegations of intimidation of and threats against relatives of the disappeared and on activists advocating for the rights of the disappeared and their relatives</w:t>
      </w:r>
      <w:r w:rsidRPr="0042389E">
        <w:t>.</w:t>
      </w:r>
    </w:p>
    <w:p w14:paraId="5526650B" w14:textId="77777777" w:rsidR="004B3CCE" w:rsidRPr="0042389E" w:rsidRDefault="004B3CCE" w:rsidP="004B3CCE">
      <w:pPr>
        <w:pStyle w:val="H1G"/>
        <w:rPr>
          <w:sz w:val="20"/>
          <w:szCs w:val="24"/>
        </w:rPr>
      </w:pPr>
      <w:r w:rsidRPr="0042389E">
        <w:tab/>
      </w:r>
      <w:r w:rsidRPr="0042389E">
        <w:tab/>
        <w:t xml:space="preserve">Paragraph 38: </w:t>
      </w:r>
      <w:bookmarkStart w:id="2" w:name="_Toc529980694"/>
      <w:r w:rsidRPr="0042389E">
        <w:t>Refugees, asylum</w:t>
      </w:r>
      <w:r>
        <w:t>-</w:t>
      </w:r>
      <w:r w:rsidRPr="0042389E">
        <w:t>seekers and migrants</w:t>
      </w:r>
      <w:bookmarkEnd w:id="2"/>
    </w:p>
    <w:p w14:paraId="3CFF3BA0" w14:textId="77777777" w:rsidR="004B3CCE" w:rsidRPr="0042389E" w:rsidRDefault="004B3CCE" w:rsidP="004B3CCE">
      <w:pPr>
        <w:pStyle w:val="SingleTxtG"/>
      </w:pPr>
      <w:r w:rsidRPr="0042389E">
        <w:rPr>
          <w:b/>
          <w:bCs/>
        </w:rPr>
        <w:t>The State party should take the necessary steps to promptly adopt asylum legislation that is consistent with the Covenant and international standards and provides protection to asylum</w:t>
      </w:r>
      <w:r>
        <w:rPr>
          <w:b/>
          <w:bCs/>
        </w:rPr>
        <w:t>-</w:t>
      </w:r>
      <w:r w:rsidRPr="0042389E">
        <w:rPr>
          <w:b/>
          <w:bCs/>
        </w:rPr>
        <w:t>seekers and refugees, in particular with regard to procedures for entering the country, requesting asylum and lodging appeals. It should also (a) refrain from conducting mass arrests of migrants and asylum</w:t>
      </w:r>
      <w:r>
        <w:rPr>
          <w:b/>
          <w:bCs/>
        </w:rPr>
        <w:t>-</w:t>
      </w:r>
      <w:r w:rsidRPr="0042389E">
        <w:rPr>
          <w:b/>
          <w:bCs/>
        </w:rPr>
        <w:t>seekers; (b) refrain from subjecting migrants and asylum</w:t>
      </w:r>
      <w:r>
        <w:rPr>
          <w:b/>
          <w:bCs/>
        </w:rPr>
        <w:t>-</w:t>
      </w:r>
      <w:r w:rsidRPr="0042389E">
        <w:rPr>
          <w:b/>
          <w:bCs/>
        </w:rPr>
        <w:t>seekers to arbitrary detention and ensure that they have access to counsel and to information about their rights; (c) refrain from conducting, under any circumstances whatsoever, collective expulsions of migrants and asylum</w:t>
      </w:r>
      <w:r>
        <w:rPr>
          <w:b/>
          <w:bCs/>
        </w:rPr>
        <w:t>-</w:t>
      </w:r>
      <w:r w:rsidRPr="0042389E">
        <w:rPr>
          <w:b/>
          <w:bCs/>
        </w:rPr>
        <w:t>seekers, a fortiori in inhumane and degrading conditions; and (d) arrange for training programmes on the Covenant, international asylum and refugee standards and human rights standards to be organized for immigration and border control officials.</w:t>
      </w:r>
    </w:p>
    <w:p w14:paraId="269F40CB" w14:textId="60D3B324" w:rsidR="004B3CCE" w:rsidRPr="0042389E" w:rsidRDefault="00236AA8" w:rsidP="00236AA8">
      <w:pPr>
        <w:pStyle w:val="H23G"/>
        <w:rPr>
          <w:rFonts w:eastAsiaTheme="minorEastAsia"/>
        </w:rPr>
      </w:pPr>
      <w:r>
        <w:rPr>
          <w:rFonts w:eastAsiaTheme="minorEastAsia"/>
        </w:rPr>
        <w:lastRenderedPageBreak/>
        <w:tab/>
      </w:r>
      <w:r>
        <w:rPr>
          <w:rFonts w:eastAsiaTheme="minorEastAsia"/>
        </w:rPr>
        <w:tab/>
      </w:r>
      <w:r w:rsidR="004B3CCE" w:rsidRPr="0042389E">
        <w:rPr>
          <w:rFonts w:eastAsiaTheme="minorEastAsia"/>
        </w:rPr>
        <w:t xml:space="preserve">Summary of </w:t>
      </w:r>
      <w:r w:rsidR="004B3CCE" w:rsidRPr="0042389E">
        <w:rPr>
          <w:rFonts w:eastAsiaTheme="minorEastAsia"/>
          <w:bCs/>
        </w:rPr>
        <w:t xml:space="preserve">the </w:t>
      </w:r>
      <w:r w:rsidR="004B3CCE" w:rsidRPr="0042389E">
        <w:rPr>
          <w:rFonts w:eastAsiaTheme="minorEastAsia"/>
        </w:rPr>
        <w:t>information received from the State party</w:t>
      </w:r>
    </w:p>
    <w:p w14:paraId="46857327" w14:textId="77777777" w:rsidR="004B3CCE" w:rsidRPr="0042389E" w:rsidRDefault="004B3CCE" w:rsidP="004B3CCE">
      <w:pPr>
        <w:pStyle w:val="SingleTxtG"/>
      </w:pPr>
      <w:r w:rsidRPr="0042389E">
        <w:t>A new law is being drafted to better address the situation of refugees and stateless persons.</w:t>
      </w:r>
    </w:p>
    <w:p w14:paraId="089F7CFB" w14:textId="77777777" w:rsidR="004B3CCE" w:rsidRPr="0042389E" w:rsidRDefault="004B3CCE" w:rsidP="004B3CCE">
      <w:pPr>
        <w:pStyle w:val="SingleTxtG"/>
      </w:pPr>
      <w:r w:rsidRPr="0042389E">
        <w:t>(a)</w:t>
      </w:r>
      <w:r w:rsidRPr="0042389E">
        <w:tab/>
        <w:t xml:space="preserve">Members of </w:t>
      </w:r>
      <w:r>
        <w:t xml:space="preserve">the </w:t>
      </w:r>
      <w:r w:rsidRPr="0042389E">
        <w:t xml:space="preserve">security services arrest foreigners </w:t>
      </w:r>
      <w:r>
        <w:t>in an irregular situation</w:t>
      </w:r>
      <w:r w:rsidRPr="0042389E">
        <w:t xml:space="preserve"> in accordance with legal provisions and procedures that safeguard their fundamental rights and protect them from unlawful expulsion or deportation.</w:t>
      </w:r>
    </w:p>
    <w:p w14:paraId="698A6C8B" w14:textId="77777777" w:rsidR="004B3CCE" w:rsidRPr="0042389E" w:rsidRDefault="004B3CCE" w:rsidP="004B3CCE">
      <w:pPr>
        <w:pStyle w:val="SingleTxtG"/>
      </w:pPr>
      <w:r w:rsidRPr="0042389E">
        <w:t>(b)</w:t>
      </w:r>
      <w:r w:rsidRPr="0042389E">
        <w:tab/>
        <w:t>Under article 32 of Act No. 08-11 on the Conditions of Admission, Stay and Movement of Foreign Nationals in Algeria, foreign</w:t>
      </w:r>
      <w:r>
        <w:t xml:space="preserve"> national</w:t>
      </w:r>
      <w:r w:rsidRPr="0042389E">
        <w:t>s subject to deportation may contact their diplomatic or consular representation and, if necessary, receive assistance from a lawyer and an interpreter.</w:t>
      </w:r>
      <w:r>
        <w:t xml:space="preserve"> </w:t>
      </w:r>
      <w:r w:rsidRPr="0042389E">
        <w:t>Since 2019, repatriations have been organized in cooperation with the Internatio</w:t>
      </w:r>
      <w:r>
        <w:t>nal Organization for Migration</w:t>
      </w:r>
      <w:r w:rsidRPr="0042389E">
        <w:t xml:space="preserve"> </w:t>
      </w:r>
      <w:r>
        <w:t xml:space="preserve">(IOM) </w:t>
      </w:r>
      <w:r w:rsidRPr="0042389E">
        <w:t xml:space="preserve">and </w:t>
      </w:r>
      <w:r>
        <w:t xml:space="preserve">the </w:t>
      </w:r>
      <w:r w:rsidRPr="0042389E">
        <w:t xml:space="preserve">countries of origin. Migrants </w:t>
      </w:r>
      <w:r>
        <w:t xml:space="preserve">in an </w:t>
      </w:r>
      <w:r w:rsidRPr="0042389E">
        <w:t xml:space="preserve">irregular </w:t>
      </w:r>
      <w:r>
        <w:t>situation</w:t>
      </w:r>
      <w:r w:rsidRPr="0042389E">
        <w:t xml:space="preserve"> </w:t>
      </w:r>
      <w:r>
        <w:t>(</w:t>
      </w:r>
      <w:r w:rsidRPr="0042389E">
        <w:t>not to be confused with asylum</w:t>
      </w:r>
      <w:r>
        <w:t>-</w:t>
      </w:r>
      <w:r w:rsidRPr="0042389E">
        <w:t>seekers</w:t>
      </w:r>
      <w:r>
        <w:t>)</w:t>
      </w:r>
      <w:r w:rsidRPr="0042389E">
        <w:t xml:space="preserve"> are not arbitrarily detained</w:t>
      </w:r>
      <w:r>
        <w:t>.</w:t>
      </w:r>
      <w:r w:rsidRPr="0042389E">
        <w:t xml:space="preserve"> </w:t>
      </w:r>
      <w:r>
        <w:t>I</w:t>
      </w:r>
      <w:r w:rsidRPr="0042389E">
        <w:t xml:space="preserve">n </w:t>
      </w:r>
      <w:r>
        <w:t xml:space="preserve">the event </w:t>
      </w:r>
      <w:r w:rsidRPr="0042389E">
        <w:t xml:space="preserve">of repatriation, they are held in reception centres pending the completion of identification procedures and the issuance of </w:t>
      </w:r>
      <w:r>
        <w:t xml:space="preserve">the </w:t>
      </w:r>
      <w:r w:rsidRPr="0042389E">
        <w:t>necessary laissez-passer by their consular offices.</w:t>
      </w:r>
      <w:r>
        <w:t xml:space="preserve"> </w:t>
      </w:r>
      <w:r w:rsidRPr="0042389E">
        <w:t>The</w:t>
      </w:r>
      <w:r>
        <w:t>y</w:t>
      </w:r>
      <w:r w:rsidRPr="0042389E">
        <w:t xml:space="preserve"> </w:t>
      </w:r>
      <w:r>
        <w:t>are</w:t>
      </w:r>
      <w:r w:rsidRPr="0042389E">
        <w:t xml:space="preserve"> notified of the expulsion decision and may file an appeal with suspensive effect. </w:t>
      </w:r>
      <w:r>
        <w:t>The u</w:t>
      </w:r>
      <w:r w:rsidRPr="0042389E">
        <w:t xml:space="preserve">rgent applications judge may </w:t>
      </w:r>
      <w:r>
        <w:t xml:space="preserve">order the </w:t>
      </w:r>
      <w:r w:rsidRPr="0042389E">
        <w:t>provisional suspen</w:t>
      </w:r>
      <w:r>
        <w:t>sion of</w:t>
      </w:r>
      <w:r w:rsidRPr="0042389E">
        <w:t xml:space="preserve"> the </w:t>
      </w:r>
      <w:r>
        <w:t>implementation</w:t>
      </w:r>
      <w:r w:rsidRPr="0042389E">
        <w:t xml:space="preserve"> of expulsion orders in </w:t>
      </w:r>
      <w:r>
        <w:t>the event</w:t>
      </w:r>
      <w:r w:rsidRPr="0042389E">
        <w:t xml:space="preserve"> of force majeure</w:t>
      </w:r>
      <w:r>
        <w:t>, particularly</w:t>
      </w:r>
      <w:r w:rsidRPr="0042389E">
        <w:t xml:space="preserve"> in cases involving minors and pregnant women.</w:t>
      </w:r>
    </w:p>
    <w:p w14:paraId="7E72F5A5" w14:textId="77777777" w:rsidR="004B3CCE" w:rsidRPr="0042389E" w:rsidRDefault="004B3CCE" w:rsidP="004B3CCE">
      <w:pPr>
        <w:pStyle w:val="SingleTxtG"/>
      </w:pPr>
      <w:r w:rsidRPr="0042389E">
        <w:t>(c)</w:t>
      </w:r>
      <w:r w:rsidRPr="0042389E">
        <w:tab/>
        <w:t xml:space="preserve">Algeria does not conduct collective expulsions of foreigners </w:t>
      </w:r>
      <w:r>
        <w:t xml:space="preserve">in an </w:t>
      </w:r>
      <w:r w:rsidRPr="0042389E">
        <w:t xml:space="preserve">irregular </w:t>
      </w:r>
      <w:r>
        <w:t>situation</w:t>
      </w:r>
      <w:r w:rsidRPr="0042389E">
        <w:t xml:space="preserve">. Their removal is </w:t>
      </w:r>
      <w:r>
        <w:t>carried out</w:t>
      </w:r>
      <w:r w:rsidRPr="0042389E">
        <w:t xml:space="preserve"> in consultation with the official representation of their country of origin and at the expense of Algeria.</w:t>
      </w:r>
    </w:p>
    <w:p w14:paraId="1B46C363" w14:textId="77777777" w:rsidR="004B3CCE" w:rsidRPr="0042389E" w:rsidRDefault="004B3CCE" w:rsidP="004B3CCE">
      <w:pPr>
        <w:pStyle w:val="SingleTxtG"/>
      </w:pPr>
      <w:r w:rsidRPr="0042389E">
        <w:t>(d)</w:t>
      </w:r>
      <w:r w:rsidRPr="0042389E">
        <w:tab/>
      </w:r>
      <w:r>
        <w:t>No i</w:t>
      </w:r>
      <w:r w:rsidRPr="0042389E">
        <w:t>nformation is provided.</w:t>
      </w:r>
    </w:p>
    <w:p w14:paraId="04C27DF7" w14:textId="77777777" w:rsidR="004B3CCE" w:rsidRPr="0042389E" w:rsidRDefault="004B3CCE" w:rsidP="004B3CCE">
      <w:pPr>
        <w:pStyle w:val="H23G"/>
      </w:pPr>
      <w:r w:rsidRPr="0042389E">
        <w:tab/>
      </w:r>
      <w:r w:rsidRPr="0042389E">
        <w:tab/>
      </w:r>
      <w:r w:rsidRPr="0042389E">
        <w:rPr>
          <w:rFonts w:eastAsiaTheme="minorEastAsia"/>
        </w:rPr>
        <w:t>Summary of the i</w:t>
      </w:r>
      <w:r w:rsidRPr="0042389E">
        <w:t>nformation received from stakeholders</w:t>
      </w:r>
    </w:p>
    <w:p w14:paraId="34672DC5" w14:textId="0477C8E2" w:rsidR="004B3CCE" w:rsidRPr="0042389E" w:rsidRDefault="00236AA8" w:rsidP="00236AA8">
      <w:pPr>
        <w:pStyle w:val="H4G"/>
      </w:pPr>
      <w:r>
        <w:rPr>
          <w:rFonts w:eastAsiaTheme="minorEastAsia"/>
        </w:rPr>
        <w:tab/>
      </w:r>
      <w:r>
        <w:rPr>
          <w:rFonts w:eastAsiaTheme="minorEastAsia"/>
        </w:rPr>
        <w:tab/>
      </w:r>
      <w:r w:rsidR="004B3CCE" w:rsidRPr="0042389E">
        <w:rPr>
          <w:rFonts w:eastAsiaTheme="minorEastAsia"/>
        </w:rPr>
        <w:t>Cairo Institute for Human Rights Studies</w:t>
      </w:r>
    </w:p>
    <w:p w14:paraId="7553AB84" w14:textId="5F7C69F1" w:rsidR="004B3CCE" w:rsidRPr="0042389E" w:rsidRDefault="004B3CCE" w:rsidP="004B3CCE">
      <w:pPr>
        <w:pStyle w:val="SingleTxtG"/>
      </w:pPr>
      <w:r w:rsidRPr="0042389E">
        <w:t xml:space="preserve">Algeria has not </w:t>
      </w:r>
      <w:r>
        <w:t xml:space="preserve">yet </w:t>
      </w:r>
      <w:r w:rsidRPr="0042389E">
        <w:t>adopted asylum legislation</w:t>
      </w:r>
      <w:r>
        <w:t>. It does not recognize</w:t>
      </w:r>
      <w:r w:rsidRPr="0042389E">
        <w:t xml:space="preserve"> the refugee status granted by the </w:t>
      </w:r>
      <w:r w:rsidRPr="00942F66">
        <w:t xml:space="preserve">Office of the United Nations High Commissioner for Refugees </w:t>
      </w:r>
      <w:r>
        <w:t>(</w:t>
      </w:r>
      <w:r w:rsidRPr="0042389E">
        <w:t>UNHCR</w:t>
      </w:r>
      <w:r>
        <w:t>)</w:t>
      </w:r>
      <w:r w:rsidRPr="0042389E">
        <w:t xml:space="preserve"> and continue</w:t>
      </w:r>
      <w:r>
        <w:t>s</w:t>
      </w:r>
      <w:r w:rsidRPr="0042389E">
        <w:t xml:space="preserve"> </w:t>
      </w:r>
      <w:r>
        <w:t xml:space="preserve">to </w:t>
      </w:r>
      <w:r w:rsidRPr="0042389E">
        <w:t>forcibl</w:t>
      </w:r>
      <w:r>
        <w:t>y</w:t>
      </w:r>
      <w:r w:rsidRPr="0042389E">
        <w:t xml:space="preserve"> return asylum</w:t>
      </w:r>
      <w:r>
        <w:t>-</w:t>
      </w:r>
      <w:r w:rsidRPr="0042389E">
        <w:t xml:space="preserve">seekers. A crackdown on civic space has hindered the work of </w:t>
      </w:r>
      <w:r>
        <w:t xml:space="preserve">organizations that </w:t>
      </w:r>
      <w:r w:rsidRPr="0042389E">
        <w:t>defend migrant</w:t>
      </w:r>
      <w:r>
        <w:t>s</w:t>
      </w:r>
      <w:r w:rsidR="00385E50">
        <w:t>’</w:t>
      </w:r>
      <w:r w:rsidRPr="0042389E">
        <w:t xml:space="preserve"> rights, including the </w:t>
      </w:r>
      <w:r w:rsidRPr="00D24161">
        <w:t xml:space="preserve">Ligue </w:t>
      </w:r>
      <w:proofErr w:type="spellStart"/>
      <w:r w:rsidRPr="00D24161">
        <w:t>algérienne</w:t>
      </w:r>
      <w:proofErr w:type="spellEnd"/>
      <w:r w:rsidRPr="00D24161">
        <w:t xml:space="preserve"> de </w:t>
      </w:r>
      <w:proofErr w:type="spellStart"/>
      <w:r w:rsidRPr="00D24161">
        <w:t>défense</w:t>
      </w:r>
      <w:proofErr w:type="spellEnd"/>
      <w:r w:rsidRPr="00D24161">
        <w:t xml:space="preserve"> des droits de </w:t>
      </w:r>
      <w:proofErr w:type="spellStart"/>
      <w:r w:rsidRPr="00D24161">
        <w:t>l</w:t>
      </w:r>
      <w:r w:rsidR="00385E50">
        <w:t>’</w:t>
      </w:r>
      <w:r w:rsidRPr="00D24161">
        <w:t>homme</w:t>
      </w:r>
      <w:proofErr w:type="spellEnd"/>
      <w:r w:rsidRPr="00D24161">
        <w:t xml:space="preserve"> </w:t>
      </w:r>
      <w:r>
        <w:t>(</w:t>
      </w:r>
      <w:r w:rsidRPr="0042389E">
        <w:t>Algerian League for the Defence of Human Rights</w:t>
      </w:r>
      <w:r>
        <w:t>)</w:t>
      </w:r>
      <w:r w:rsidRPr="0042389E">
        <w:t>.</w:t>
      </w:r>
    </w:p>
    <w:p w14:paraId="25E7D5B3" w14:textId="6983BCD8" w:rsidR="004B3CCE" w:rsidRPr="0042389E" w:rsidRDefault="004B3CCE" w:rsidP="004B3CCE">
      <w:pPr>
        <w:pStyle w:val="SingleTxtG"/>
        <w:tabs>
          <w:tab w:val="clear" w:pos="1701"/>
          <w:tab w:val="left" w:pos="1530"/>
        </w:tabs>
        <w:ind w:left="1170"/>
      </w:pPr>
      <w:r>
        <w:t xml:space="preserve">(a) and </w:t>
      </w:r>
      <w:r w:rsidRPr="0042389E">
        <w:t>(b)</w:t>
      </w:r>
      <w:r w:rsidRPr="0042389E">
        <w:tab/>
        <w:t xml:space="preserve">Migrants </w:t>
      </w:r>
      <w:r>
        <w:t>are subjected to</w:t>
      </w:r>
      <w:r w:rsidRPr="0042389E">
        <w:t xml:space="preserve"> violent raids, mass expulsions, deportations and arbitrary detention in inhuman and degrading conditions, based on racial profiling and without individual assessment or due process. Police apprehend black migrants without verifying their identity and status and detain them in “refoulement centres” or camps in </w:t>
      </w:r>
      <w:r>
        <w:t>unsanitary</w:t>
      </w:r>
      <w:r w:rsidRPr="0042389E">
        <w:t xml:space="preserve"> conditions. Children are often separated from their families and detained with adults.</w:t>
      </w:r>
      <w:r>
        <w:t xml:space="preserve"> Pursuant to Act No.</w:t>
      </w:r>
      <w:r w:rsidRPr="0042389E">
        <w:t xml:space="preserve"> 11-08</w:t>
      </w:r>
      <w:r>
        <w:t>,</w:t>
      </w:r>
      <w:r w:rsidRPr="0042389E">
        <w:t xml:space="preserve"> illegal entry and exit</w:t>
      </w:r>
      <w:r w:rsidRPr="004F2FD4">
        <w:t xml:space="preserve"> </w:t>
      </w:r>
      <w:r w:rsidRPr="0042389E">
        <w:t xml:space="preserve">continue to </w:t>
      </w:r>
      <w:r>
        <w:t>be criminalized and are</w:t>
      </w:r>
      <w:r w:rsidRPr="0042389E">
        <w:t xml:space="preserve"> punishable </w:t>
      </w:r>
      <w:r>
        <w:t xml:space="preserve">by </w:t>
      </w:r>
      <w:r w:rsidRPr="0042389E">
        <w:t>up to five years</w:t>
      </w:r>
      <w:r w:rsidR="00385E50">
        <w:t>’</w:t>
      </w:r>
      <w:r w:rsidRPr="0042389E">
        <w:t xml:space="preserve"> imprisonment. </w:t>
      </w:r>
      <w:r>
        <w:t>A total</w:t>
      </w:r>
      <w:r w:rsidRPr="0042389E">
        <w:t xml:space="preserve"> of 10,889</w:t>
      </w:r>
      <w:r>
        <w:t xml:space="preserve"> </w:t>
      </w:r>
      <w:r w:rsidRPr="0042389E">
        <w:t xml:space="preserve">migrants </w:t>
      </w:r>
      <w:r>
        <w:t xml:space="preserve">in an </w:t>
      </w:r>
      <w:r w:rsidRPr="0042389E">
        <w:t xml:space="preserve">irregular </w:t>
      </w:r>
      <w:r>
        <w:t xml:space="preserve">situation were </w:t>
      </w:r>
      <w:r w:rsidRPr="0042389E">
        <w:t xml:space="preserve">arrested in 2021, compared </w:t>
      </w:r>
      <w:r>
        <w:t>with</w:t>
      </w:r>
      <w:r w:rsidRPr="0042389E">
        <w:t xml:space="preserve"> 5,825 in 2020. Individuals </w:t>
      </w:r>
      <w:r>
        <w:t xml:space="preserve">who are </w:t>
      </w:r>
      <w:r w:rsidRPr="0042389E">
        <w:t xml:space="preserve">arrested, including asylum-seekers, are held in detention </w:t>
      </w:r>
      <w:r>
        <w:t>a</w:t>
      </w:r>
      <w:r w:rsidRPr="0042389E">
        <w:t>waiting trial while simultaneously going through an expulsion procedure. They can be detained for up to 30 days</w:t>
      </w:r>
      <w:r>
        <w:t>. That limit is</w:t>
      </w:r>
      <w:r w:rsidRPr="0042389E">
        <w:t xml:space="preserve"> renewable indefinitely. Expulsion decisions are often implemented too </w:t>
      </w:r>
      <w:r>
        <w:t>quick</w:t>
      </w:r>
      <w:r w:rsidRPr="0042389E">
        <w:t xml:space="preserve">ly for migrants to </w:t>
      </w:r>
      <w:r>
        <w:t xml:space="preserve">have the opportunity to </w:t>
      </w:r>
      <w:r w:rsidRPr="0042389E">
        <w:t xml:space="preserve">contact </w:t>
      </w:r>
      <w:r>
        <w:t xml:space="preserve">a </w:t>
      </w:r>
      <w:r w:rsidRPr="0042389E">
        <w:t xml:space="preserve">lawyer or UNHCR to </w:t>
      </w:r>
      <w:r>
        <w:t>bring</w:t>
      </w:r>
      <w:r w:rsidRPr="0042389E">
        <w:t xml:space="preserve"> a suspensive appeal within </w:t>
      </w:r>
      <w:r>
        <w:t xml:space="preserve">the </w:t>
      </w:r>
      <w:r w:rsidRPr="0042389E">
        <w:t>five days provided by law. Migrants are not informed of their rights or given access to interpretation.</w:t>
      </w:r>
    </w:p>
    <w:p w14:paraId="49FDF97C" w14:textId="77777777" w:rsidR="004B3CCE" w:rsidRPr="0042389E" w:rsidRDefault="004B3CCE" w:rsidP="004B3CCE">
      <w:pPr>
        <w:pStyle w:val="SingleTxtG"/>
      </w:pPr>
      <w:r w:rsidRPr="0042389E">
        <w:t>(c)</w:t>
      </w:r>
      <w:r w:rsidRPr="0042389E">
        <w:tab/>
        <w:t xml:space="preserve">Migrants </w:t>
      </w:r>
      <w:r>
        <w:t xml:space="preserve">do not </w:t>
      </w:r>
      <w:r w:rsidRPr="0042389E">
        <w:t xml:space="preserve">have </w:t>
      </w:r>
      <w:r>
        <w:t>an</w:t>
      </w:r>
      <w:r w:rsidRPr="0042389E">
        <w:t xml:space="preserve"> opportunity to </w:t>
      </w:r>
      <w:r>
        <w:t>appeal</w:t>
      </w:r>
      <w:r w:rsidRPr="0042389E">
        <w:t xml:space="preserve"> </w:t>
      </w:r>
      <w:r>
        <w:t xml:space="preserve">decisions concerning </w:t>
      </w:r>
      <w:r w:rsidRPr="0042389E">
        <w:t>summary expulsions and are n</w:t>
      </w:r>
      <w:r>
        <w:t>ot</w:t>
      </w:r>
      <w:r w:rsidRPr="0042389E">
        <w:t xml:space="preserve"> </w:t>
      </w:r>
      <w:r>
        <w:t>given</w:t>
      </w:r>
      <w:r w:rsidRPr="0042389E">
        <w:t xml:space="preserve"> a </w:t>
      </w:r>
      <w:r>
        <w:t>reason</w:t>
      </w:r>
      <w:r w:rsidRPr="0042389E">
        <w:t xml:space="preserve"> for their arrest and deportation</w:t>
      </w:r>
      <w:r>
        <w:t>. They do not have</w:t>
      </w:r>
      <w:r w:rsidRPr="0042389E">
        <w:t xml:space="preserve"> access to a lawyer, </w:t>
      </w:r>
      <w:r>
        <w:t xml:space="preserve">a </w:t>
      </w:r>
      <w:r w:rsidRPr="0042389E">
        <w:t xml:space="preserve">translator or </w:t>
      </w:r>
      <w:r>
        <w:t xml:space="preserve">the contacts details of the </w:t>
      </w:r>
      <w:r w:rsidRPr="0042389E">
        <w:t>embassy</w:t>
      </w:r>
      <w:r>
        <w:t xml:space="preserve"> of their country of origin</w:t>
      </w:r>
      <w:r w:rsidRPr="0042389E">
        <w:t xml:space="preserve">. There </w:t>
      </w:r>
      <w:r>
        <w:t>have been</w:t>
      </w:r>
      <w:r w:rsidRPr="0042389E">
        <w:t xml:space="preserve"> reports of </w:t>
      </w:r>
      <w:r>
        <w:t xml:space="preserve">migrants being </w:t>
      </w:r>
      <w:r w:rsidRPr="0042389E">
        <w:t>beat</w:t>
      </w:r>
      <w:r>
        <w:t xml:space="preserve">en and </w:t>
      </w:r>
      <w:r w:rsidRPr="0042389E">
        <w:t>physical</w:t>
      </w:r>
      <w:r>
        <w:t>ly</w:t>
      </w:r>
      <w:r w:rsidRPr="0042389E">
        <w:t xml:space="preserve"> and sexual</w:t>
      </w:r>
      <w:r>
        <w:t>ly</w:t>
      </w:r>
      <w:r w:rsidRPr="0042389E">
        <w:t xml:space="preserve"> assault</w:t>
      </w:r>
      <w:r>
        <w:t>ed</w:t>
      </w:r>
      <w:r w:rsidRPr="0042389E">
        <w:t xml:space="preserve">, including in detention. </w:t>
      </w:r>
      <w:r>
        <w:t xml:space="preserve">Some citizens of the </w:t>
      </w:r>
      <w:r w:rsidRPr="0042389E">
        <w:t xml:space="preserve">Niger </w:t>
      </w:r>
      <w:r>
        <w:t>have been</w:t>
      </w:r>
      <w:r w:rsidRPr="0042389E">
        <w:t xml:space="preserve"> crammed into trucks or buses and handed over to </w:t>
      </w:r>
      <w:r>
        <w:t>the</w:t>
      </w:r>
      <w:r w:rsidRPr="0042389E">
        <w:t xml:space="preserve"> army </w:t>
      </w:r>
      <w:r>
        <w:t xml:space="preserve">of the </w:t>
      </w:r>
      <w:r w:rsidRPr="0042389E">
        <w:t xml:space="preserve">Niger </w:t>
      </w:r>
      <w:r>
        <w:t>and</w:t>
      </w:r>
      <w:r w:rsidRPr="0042389E">
        <w:t xml:space="preserve"> others </w:t>
      </w:r>
      <w:r>
        <w:t>have been</w:t>
      </w:r>
      <w:r w:rsidRPr="0042389E">
        <w:t xml:space="preserve"> abandoned in the desert. In 2021, the</w:t>
      </w:r>
      <w:r>
        <w:t xml:space="preserve">re were an </w:t>
      </w:r>
      <w:r w:rsidRPr="0042389E">
        <w:t xml:space="preserve">estimated 25,396 summary expulsions to </w:t>
      </w:r>
      <w:r>
        <w:t xml:space="preserve">the </w:t>
      </w:r>
      <w:r w:rsidRPr="0042389E">
        <w:t xml:space="preserve">Niger, compared </w:t>
      </w:r>
      <w:r>
        <w:t>with</w:t>
      </w:r>
      <w:r w:rsidRPr="0042389E">
        <w:t xml:space="preserve"> 22,631 in 2020.</w:t>
      </w:r>
    </w:p>
    <w:p w14:paraId="2F58F280" w14:textId="77777777" w:rsidR="004B3CCE" w:rsidRPr="0042389E" w:rsidRDefault="004B3CCE" w:rsidP="004B3CCE">
      <w:pPr>
        <w:pStyle w:val="SingleTxtG"/>
      </w:pPr>
      <w:r w:rsidRPr="0042389E">
        <w:t>(d)</w:t>
      </w:r>
      <w:r w:rsidRPr="0042389E">
        <w:tab/>
      </w:r>
      <w:r>
        <w:t xml:space="preserve">The </w:t>
      </w:r>
      <w:r w:rsidRPr="0042389E">
        <w:t>I</w:t>
      </w:r>
      <w:r>
        <w:t>nstitute</w:t>
      </w:r>
      <w:r w:rsidRPr="0042389E">
        <w:t xml:space="preserve"> </w:t>
      </w:r>
      <w:r>
        <w:t>has no knowledge</w:t>
      </w:r>
      <w:r w:rsidRPr="0042389E">
        <w:t xml:space="preserve"> of any such training.</w:t>
      </w:r>
    </w:p>
    <w:p w14:paraId="025BD3EC" w14:textId="11160518" w:rsidR="004B3CCE" w:rsidRPr="0042389E" w:rsidRDefault="004B3CCE" w:rsidP="004B3CCE">
      <w:pPr>
        <w:pStyle w:val="H23G"/>
      </w:pPr>
      <w:r w:rsidRPr="0042389E">
        <w:lastRenderedPageBreak/>
        <w:tab/>
      </w:r>
      <w:r w:rsidRPr="0042389E">
        <w:tab/>
        <w:t>Committee</w:t>
      </w:r>
      <w:r w:rsidR="00385E50">
        <w:t>’</w:t>
      </w:r>
      <w:r w:rsidRPr="0042389E">
        <w:t>s evaluation</w:t>
      </w:r>
    </w:p>
    <w:p w14:paraId="17DDB9C9" w14:textId="77777777" w:rsidR="004B3CCE" w:rsidRPr="0042389E" w:rsidRDefault="004B3CCE" w:rsidP="004B3CCE">
      <w:pPr>
        <w:pStyle w:val="SingleTxtG"/>
        <w:keepNext/>
        <w:ind w:left="1138" w:right="1138"/>
        <w:rPr>
          <w:b/>
          <w:bCs/>
        </w:rPr>
      </w:pPr>
      <w:r w:rsidRPr="00111F12">
        <w:t>[C]</w:t>
      </w:r>
      <w:r w:rsidRPr="0042389E">
        <w:rPr>
          <w:bCs/>
        </w:rPr>
        <w:t>:</w:t>
      </w:r>
      <w:r w:rsidRPr="0042389E">
        <w:rPr>
          <w:b/>
          <w:bCs/>
        </w:rPr>
        <w:t xml:space="preserve"> </w:t>
      </w:r>
      <w:r w:rsidRPr="0042389E">
        <w:rPr>
          <w:bCs/>
        </w:rPr>
        <w:t>(a), (b)</w:t>
      </w:r>
      <w:r>
        <w:rPr>
          <w:bCs/>
        </w:rPr>
        <w:t xml:space="preserve"> and</w:t>
      </w:r>
      <w:r w:rsidRPr="0042389E">
        <w:rPr>
          <w:bCs/>
        </w:rPr>
        <w:t xml:space="preserve"> (c)</w:t>
      </w:r>
    </w:p>
    <w:p w14:paraId="302D1E94" w14:textId="016221B6" w:rsidR="004B3CCE" w:rsidRPr="0042389E" w:rsidRDefault="004B3CCE" w:rsidP="004B3CCE">
      <w:pPr>
        <w:pStyle w:val="SingleTxtG"/>
      </w:pPr>
      <w:r w:rsidRPr="0042389E">
        <w:t xml:space="preserve">While </w:t>
      </w:r>
      <w:r>
        <w:t xml:space="preserve">taking </w:t>
      </w:r>
      <w:r w:rsidRPr="0042389E">
        <w:t>not</w:t>
      </w:r>
      <w:r>
        <w:t>e</w:t>
      </w:r>
      <w:r w:rsidRPr="0042389E">
        <w:t xml:space="preserve"> </w:t>
      </w:r>
      <w:r>
        <w:t xml:space="preserve">of </w:t>
      </w:r>
      <w:r w:rsidRPr="0042389E">
        <w:t xml:space="preserve">the </w:t>
      </w:r>
      <w:r>
        <w:t xml:space="preserve">information on the </w:t>
      </w:r>
      <w:r w:rsidRPr="0042389E">
        <w:t>drafting of asylum legislation, the Committee regrets the lack of progress since the adoption of the concluding observations.</w:t>
      </w:r>
      <w:r>
        <w:t xml:space="preserve"> </w:t>
      </w:r>
      <w:r w:rsidRPr="00384A3E">
        <w:t xml:space="preserve">While </w:t>
      </w:r>
      <w:r>
        <w:t>taking note of</w:t>
      </w:r>
      <w:r w:rsidRPr="00384A3E">
        <w:t xml:space="preserve"> the information </w:t>
      </w:r>
      <w:r w:rsidRPr="0042389E">
        <w:t>provided, the Committee regrets the lack of specific information on measures taken to refrain from conducting mass arrests of migrants and asylum</w:t>
      </w:r>
      <w:r>
        <w:t>-</w:t>
      </w:r>
      <w:r w:rsidRPr="0042389E">
        <w:t xml:space="preserve">seekers. It reiterates its recommendation and requests further information on steps taken to address the increased number of arrests of migrants and </w:t>
      </w:r>
      <w:r>
        <w:t xml:space="preserve">the </w:t>
      </w:r>
      <w:r w:rsidRPr="0042389E">
        <w:t>reported racial profiling by the police.</w:t>
      </w:r>
      <w:r>
        <w:t xml:space="preserve"> </w:t>
      </w:r>
      <w:r w:rsidRPr="0042389E">
        <w:t xml:space="preserve">While </w:t>
      </w:r>
      <w:r>
        <w:t xml:space="preserve">taking </w:t>
      </w:r>
      <w:r w:rsidRPr="0042389E">
        <w:t>not</w:t>
      </w:r>
      <w:r>
        <w:t>e</w:t>
      </w:r>
      <w:r w:rsidRPr="0042389E">
        <w:t xml:space="preserve"> </w:t>
      </w:r>
      <w:r>
        <w:t xml:space="preserve">of </w:t>
      </w:r>
      <w:r w:rsidRPr="0042389E">
        <w:t xml:space="preserve">the information on </w:t>
      </w:r>
      <w:r>
        <w:t xml:space="preserve">the </w:t>
      </w:r>
      <w:r w:rsidRPr="0042389E">
        <w:t xml:space="preserve">safeguards stipulated in Act No. 08-11 and the </w:t>
      </w:r>
      <w:r>
        <w:t>State party</w:t>
      </w:r>
      <w:r w:rsidR="00385E50">
        <w:t>’</w:t>
      </w:r>
      <w:r>
        <w:t xml:space="preserve">s </w:t>
      </w:r>
      <w:r w:rsidRPr="0042389E">
        <w:t xml:space="preserve">cooperation with IOM, the Committee regrets the lack of specific information on the measures taken </w:t>
      </w:r>
      <w:r>
        <w:t>since</w:t>
      </w:r>
      <w:r w:rsidRPr="0042389E">
        <w:t xml:space="preserve"> the </w:t>
      </w:r>
      <w:r>
        <w:t>adoption of the</w:t>
      </w:r>
      <w:r w:rsidRPr="0042389E">
        <w:t xml:space="preserve"> concluding observations to refrain from subjecting migrants and asylum</w:t>
      </w:r>
      <w:r>
        <w:t>-</w:t>
      </w:r>
      <w:r w:rsidRPr="0042389E">
        <w:t>seekers to arbitrary detention and to ensure their access to counsel</w:t>
      </w:r>
      <w:r>
        <w:t>,</w:t>
      </w:r>
      <w:r w:rsidRPr="0042389E">
        <w:t xml:space="preserve"> and about their rights. It reiterates its recommendation and requests further information on the number of detained migrants, including asylum-seekers, the duration of such detention and steps taken to reduce </w:t>
      </w:r>
      <w:r>
        <w:t>both the number and the duration</w:t>
      </w:r>
      <w:r w:rsidRPr="0042389E">
        <w:t>.</w:t>
      </w:r>
      <w:r>
        <w:t xml:space="preserve"> T</w:t>
      </w:r>
      <w:r w:rsidRPr="0042389E">
        <w:t xml:space="preserve">he Committee regrets the lack of specific information on steps taken </w:t>
      </w:r>
      <w:r>
        <w:t>since</w:t>
      </w:r>
      <w:r w:rsidRPr="0042389E">
        <w:t xml:space="preserve"> the </w:t>
      </w:r>
      <w:r>
        <w:t xml:space="preserve">adoption of </w:t>
      </w:r>
      <w:r w:rsidRPr="0042389E">
        <w:t xml:space="preserve">the concluding observations </w:t>
      </w:r>
      <w:r w:rsidRPr="00384A3E">
        <w:t xml:space="preserve">to refrain from </w:t>
      </w:r>
      <w:r w:rsidRPr="0042389E">
        <w:t xml:space="preserve">conducting collective expulsions of migrants. It reiterates its recommendation and requests further </w:t>
      </w:r>
      <w:r>
        <w:t xml:space="preserve">detailed </w:t>
      </w:r>
      <w:r w:rsidRPr="0042389E">
        <w:t>information on appeals procedures and migrants</w:t>
      </w:r>
      <w:r w:rsidR="00385E50">
        <w:t>’</w:t>
      </w:r>
      <w:r w:rsidRPr="0042389E">
        <w:t xml:space="preserve"> access to lawyers and interpreters in cases of collective expulsions.</w:t>
      </w:r>
    </w:p>
    <w:p w14:paraId="4DFAD3FB" w14:textId="77777777" w:rsidR="004B3CCE" w:rsidRPr="00B0036C" w:rsidRDefault="004B3CCE" w:rsidP="004B3CCE">
      <w:pPr>
        <w:pStyle w:val="SingleTxtG"/>
      </w:pPr>
      <w:r w:rsidRPr="00111F12">
        <w:rPr>
          <w:bCs/>
        </w:rPr>
        <w:t>[D]</w:t>
      </w:r>
      <w:r w:rsidRPr="00B0036C">
        <w:t>: (d)</w:t>
      </w:r>
    </w:p>
    <w:p w14:paraId="2AA31136" w14:textId="77777777" w:rsidR="004B3CCE" w:rsidRPr="00B0036C" w:rsidRDefault="004B3CCE" w:rsidP="004B3CCE">
      <w:pPr>
        <w:pStyle w:val="SingleTxtG"/>
      </w:pPr>
      <w:r w:rsidRPr="00B0036C">
        <w:t>The Committee regrets the absence of information on the training available for immigration and border control officials</w:t>
      </w:r>
      <w:r>
        <w:t xml:space="preserve"> </w:t>
      </w:r>
      <w:r w:rsidRPr="00B0036C">
        <w:t>and reiterates its recommendation.</w:t>
      </w:r>
    </w:p>
    <w:p w14:paraId="4CD813F7" w14:textId="77777777" w:rsidR="004B3CCE" w:rsidRPr="0042389E" w:rsidRDefault="004B3CCE" w:rsidP="004B3CCE">
      <w:pPr>
        <w:pStyle w:val="H1G"/>
        <w:rPr>
          <w:sz w:val="20"/>
          <w:szCs w:val="24"/>
        </w:rPr>
      </w:pPr>
      <w:r w:rsidRPr="006E7A13">
        <w:tab/>
      </w:r>
      <w:r w:rsidRPr="006E7A13">
        <w:tab/>
        <w:t>Paragraph 46</w:t>
      </w:r>
      <w:r w:rsidRPr="00384A3E">
        <w:t xml:space="preserve">: </w:t>
      </w:r>
      <w:r w:rsidRPr="0042389E">
        <w:t>Right to peaceful assembly</w:t>
      </w:r>
      <w:r w:rsidRPr="0042389E">
        <w:rPr>
          <w:sz w:val="20"/>
          <w:szCs w:val="24"/>
        </w:rPr>
        <w:t xml:space="preserve"> </w:t>
      </w:r>
    </w:p>
    <w:p w14:paraId="1882D249" w14:textId="77777777" w:rsidR="004B3CCE" w:rsidRPr="0042389E" w:rsidRDefault="004B3CCE" w:rsidP="004B3CCE">
      <w:pPr>
        <w:pStyle w:val="SingleTxtG"/>
      </w:pPr>
      <w:r w:rsidRPr="0042389E">
        <w:rPr>
          <w:b/>
          <w:bCs/>
        </w:rPr>
        <w:t>The State party should:</w:t>
      </w:r>
    </w:p>
    <w:p w14:paraId="6DC9EF0B" w14:textId="77777777" w:rsidR="004B3CCE" w:rsidRPr="0042389E" w:rsidRDefault="004B3CCE" w:rsidP="004B3CCE">
      <w:pPr>
        <w:pStyle w:val="SingleTxtG"/>
      </w:pPr>
      <w:r w:rsidRPr="0042389E">
        <w:tab/>
        <w:t>(a)</w:t>
      </w:r>
      <w:r w:rsidRPr="0042389E">
        <w:tab/>
      </w:r>
      <w:r w:rsidRPr="0042389E">
        <w:rPr>
          <w:b/>
          <w:bCs/>
        </w:rPr>
        <w:t>Amend Act No. 91-19 of 2 December 1991 to remove all restrictions on peaceful demonstrations that are not absolutely necessary or proportionate in terms of the provisions of article 21 of the Covenant, and institute a simplified advance authorization arrangement for public demonstrations;</w:t>
      </w:r>
    </w:p>
    <w:p w14:paraId="76E45F7F" w14:textId="77777777" w:rsidR="004B3CCE" w:rsidRPr="0042389E" w:rsidRDefault="004B3CCE" w:rsidP="004B3CCE">
      <w:pPr>
        <w:pStyle w:val="SingleTxtG"/>
      </w:pPr>
      <w:r w:rsidRPr="0042389E">
        <w:tab/>
        <w:t>(b)</w:t>
      </w:r>
      <w:r w:rsidRPr="0042389E">
        <w:tab/>
      </w:r>
      <w:r w:rsidRPr="0042389E">
        <w:rPr>
          <w:b/>
          <w:bCs/>
        </w:rPr>
        <w:t>Repeal the unpublished decree of 18 June 2001;</w:t>
      </w:r>
    </w:p>
    <w:p w14:paraId="3230778F" w14:textId="77777777" w:rsidR="004B3CCE" w:rsidRPr="0042389E" w:rsidRDefault="004B3CCE" w:rsidP="004B3CCE">
      <w:pPr>
        <w:pStyle w:val="SingleTxtG"/>
      </w:pPr>
      <w:r w:rsidRPr="0042389E">
        <w:tab/>
        <w:t>(c)</w:t>
      </w:r>
      <w:r w:rsidRPr="0042389E">
        <w:tab/>
      </w:r>
      <w:r w:rsidRPr="0042389E">
        <w:rPr>
          <w:b/>
          <w:bCs/>
        </w:rPr>
        <w:t>Guarantee that demonstrators and meeting organizers are not prosecuted for exercising their right of assembly;</w:t>
      </w:r>
    </w:p>
    <w:p w14:paraId="08677C7F" w14:textId="77777777" w:rsidR="004B3CCE" w:rsidRPr="0042389E" w:rsidRDefault="004B3CCE" w:rsidP="004B3CCE">
      <w:pPr>
        <w:pStyle w:val="SingleTxtG"/>
        <w:rPr>
          <w:b/>
          <w:bCs/>
        </w:rPr>
      </w:pPr>
      <w:r w:rsidRPr="0042389E">
        <w:tab/>
        <w:t>(d)</w:t>
      </w:r>
      <w:r w:rsidRPr="0042389E">
        <w:tab/>
      </w:r>
      <w:r w:rsidRPr="0042389E">
        <w:rPr>
          <w:b/>
          <w:bCs/>
        </w:rPr>
        <w:t>Take effective measures to ensure that law enforcement personnel do not use excessive force during crowd dispersal operations.</w:t>
      </w:r>
    </w:p>
    <w:p w14:paraId="051FDBEC" w14:textId="77777777" w:rsidR="004B3CCE" w:rsidRPr="0042389E" w:rsidRDefault="004B3CCE" w:rsidP="004B3CCE">
      <w:pPr>
        <w:pStyle w:val="H23G"/>
        <w:rPr>
          <w:rFonts w:eastAsiaTheme="minorEastAsia"/>
        </w:rPr>
      </w:pPr>
      <w:r w:rsidRPr="0042389E">
        <w:rPr>
          <w:rFonts w:eastAsiaTheme="minorEastAsia"/>
        </w:rPr>
        <w:tab/>
      </w:r>
      <w:r w:rsidRPr="0042389E">
        <w:rPr>
          <w:rFonts w:eastAsiaTheme="minorEastAsia"/>
        </w:rPr>
        <w:tab/>
        <w:t>Summary of the information received from the State party</w:t>
      </w:r>
    </w:p>
    <w:p w14:paraId="3244A0A9" w14:textId="0DD184DD" w:rsidR="004B3CCE" w:rsidRPr="0042389E" w:rsidRDefault="004B3CCE" w:rsidP="004B3CCE">
      <w:pPr>
        <w:pStyle w:val="SingleTxtG"/>
      </w:pPr>
      <w:r w:rsidRPr="0042389E">
        <w:t>(a)</w:t>
      </w:r>
      <w:r w:rsidRPr="0042389E">
        <w:tab/>
      </w:r>
      <w:r>
        <w:t>The right</w:t>
      </w:r>
      <w:r w:rsidRPr="0042389E">
        <w:t xml:space="preserve"> of peaceful assembly and demonstration underpins the strengthened and consolidated democratic freedoms enshrined in the Constitution of 1 November 2020. A new </w:t>
      </w:r>
      <w:r>
        <w:t xml:space="preserve">provision, in </w:t>
      </w:r>
      <w:r w:rsidRPr="0042389E">
        <w:t>article 52 of the Constitution</w:t>
      </w:r>
      <w:r>
        <w:t>,</w:t>
      </w:r>
      <w:r w:rsidRPr="0042389E">
        <w:t xml:space="preserve"> </w:t>
      </w:r>
      <w:r>
        <w:t>stipulates</w:t>
      </w:r>
      <w:r w:rsidRPr="0042389E">
        <w:t xml:space="preserve"> that the freedom of peaceful demonstration may be exercised pursuant to a simple declaration. Conditions and rules governing this freedom will be regulated by law, unlike under previous provisions, which subjected the organization of public events to a</w:t>
      </w:r>
      <w:r>
        <w:t xml:space="preserve"> prior</w:t>
      </w:r>
      <w:r w:rsidRPr="0042389E">
        <w:t xml:space="preserve"> authorization procedure.</w:t>
      </w:r>
      <w:r>
        <w:t xml:space="preserve"> </w:t>
      </w:r>
      <w:r w:rsidRPr="0042389E">
        <w:t>The current law governing public meetings and demonstrations is being brought into line with the new constitutional provisions. The new legislative framework will be in line with international standards and the best practices of democratic countries.</w:t>
      </w:r>
      <w:r>
        <w:t xml:space="preserve"> </w:t>
      </w:r>
      <w:r w:rsidRPr="0042389E">
        <w:t>The measures taken include the introduction of a positive obligation on the State to facilitate the exercise of th</w:t>
      </w:r>
      <w:r>
        <w:t>e</w:t>
      </w:r>
      <w:r w:rsidRPr="0042389E">
        <w:t xml:space="preserve"> </w:t>
      </w:r>
      <w:r>
        <w:t>right of peaceful assembly</w:t>
      </w:r>
      <w:r w:rsidRPr="0042389E">
        <w:t>, the strengthening of the role of the judiciary and the definition of circumstances under which a peaceful demonstration may be prohibited.</w:t>
      </w:r>
      <w:r>
        <w:t xml:space="preserve"> All r</w:t>
      </w:r>
      <w:r w:rsidRPr="002A3F8F">
        <w:t xml:space="preserve">estrictions imposed comply with article 21 of the Covenant, insofar as they are established by law and are necessary in a democratic society. The restriction placed on demonstrations in the </w:t>
      </w:r>
      <w:r w:rsidRPr="00111F12">
        <w:rPr>
          <w:i/>
          <w:iCs/>
        </w:rPr>
        <w:t>wilaya</w:t>
      </w:r>
      <w:r w:rsidRPr="002A3F8F">
        <w:t xml:space="preserve"> (</w:t>
      </w:r>
      <w:r>
        <w:t>governorate</w:t>
      </w:r>
      <w:r w:rsidRPr="002A3F8F">
        <w:t xml:space="preserve">) of Algiers was to maintain public order. Nevertheless, demonstrations and sit-ins were regularly held in Algiers without authorization. The demonstrations organized during the </w:t>
      </w:r>
      <w:proofErr w:type="spellStart"/>
      <w:r w:rsidRPr="00111F12">
        <w:rPr>
          <w:i/>
          <w:iCs/>
        </w:rPr>
        <w:t>Hirak</w:t>
      </w:r>
      <w:proofErr w:type="spellEnd"/>
      <w:r w:rsidRPr="002A3F8F">
        <w:t xml:space="preserve"> </w:t>
      </w:r>
      <w:r>
        <w:t xml:space="preserve">protests </w:t>
      </w:r>
      <w:r w:rsidRPr="002A3F8F">
        <w:t>clearly illustrate the authorities</w:t>
      </w:r>
      <w:r w:rsidR="00385E50">
        <w:t>’</w:t>
      </w:r>
      <w:r w:rsidRPr="002A3F8F">
        <w:t xml:space="preserve"> desire to return to the normal state </w:t>
      </w:r>
      <w:r w:rsidRPr="002A3F8F">
        <w:lastRenderedPageBreak/>
        <w:t xml:space="preserve">of affairs with regard to the organization of demonstrations. The Ministry of the Interior, Local Authorities and </w:t>
      </w:r>
      <w:r>
        <w:t>Territory</w:t>
      </w:r>
      <w:r w:rsidRPr="002A3F8F">
        <w:t xml:space="preserve"> Planning issued a reminder that peaceful demonstrations must be organized in accordance with the current law.</w:t>
      </w:r>
    </w:p>
    <w:p w14:paraId="0DD44884" w14:textId="77777777" w:rsidR="004B3CCE" w:rsidRPr="0042389E" w:rsidRDefault="004B3CCE" w:rsidP="004B3CCE">
      <w:pPr>
        <w:pStyle w:val="SingleTxtG"/>
      </w:pPr>
      <w:r w:rsidRPr="0042389E">
        <w:t>(b)</w:t>
      </w:r>
      <w:r w:rsidRPr="0042389E">
        <w:tab/>
        <w:t>No information is provided.</w:t>
      </w:r>
    </w:p>
    <w:p w14:paraId="23EEB09E" w14:textId="77777777" w:rsidR="004B3CCE" w:rsidRPr="0042389E" w:rsidRDefault="004B3CCE" w:rsidP="004B3CCE">
      <w:pPr>
        <w:pStyle w:val="SingleTxtG"/>
      </w:pPr>
      <w:r w:rsidRPr="0042389E">
        <w:t>(c)</w:t>
      </w:r>
      <w:r w:rsidRPr="0042389E">
        <w:tab/>
        <w:t>Legal action may be taken in relation to the exercise of the right of assembly only in accordance with the relevant legal provisions. Penalties for violations are either a prison</w:t>
      </w:r>
      <w:r>
        <w:t xml:space="preserve"> term</w:t>
      </w:r>
      <w:r w:rsidRPr="0042389E">
        <w:t xml:space="preserve"> of </w:t>
      </w:r>
      <w:r>
        <w:t>one</w:t>
      </w:r>
      <w:r w:rsidRPr="0042389E">
        <w:t xml:space="preserve"> to </w:t>
      </w:r>
      <w:r>
        <w:t>three</w:t>
      </w:r>
      <w:r w:rsidRPr="0042389E">
        <w:t xml:space="preserve"> months</w:t>
      </w:r>
      <w:r>
        <w:t>,</w:t>
      </w:r>
      <w:r w:rsidRPr="0042389E">
        <w:t xml:space="preserve"> a fine of 2,000 Algerian dinars or both.</w:t>
      </w:r>
    </w:p>
    <w:p w14:paraId="16FA6DE0" w14:textId="77777777" w:rsidR="004B3CCE" w:rsidRPr="0042389E" w:rsidRDefault="004B3CCE" w:rsidP="004B3CCE">
      <w:pPr>
        <w:pStyle w:val="SingleTxtG"/>
      </w:pPr>
      <w:r w:rsidRPr="0042389E">
        <w:t>(d)</w:t>
      </w:r>
      <w:r w:rsidRPr="0042389E">
        <w:tab/>
        <w:t>Law enforcement personnel take a flexible approach when dispersing crowds, in accordance with the law, using democratic crowd management techniques and conventional means.</w:t>
      </w:r>
    </w:p>
    <w:p w14:paraId="2055E100" w14:textId="77777777" w:rsidR="004B3CCE" w:rsidRPr="0042389E" w:rsidRDefault="004B3CCE" w:rsidP="004B3CCE">
      <w:pPr>
        <w:pStyle w:val="H23G"/>
        <w:rPr>
          <w:rFonts w:eastAsiaTheme="minorEastAsia"/>
        </w:rPr>
      </w:pPr>
      <w:r w:rsidRPr="0042389E">
        <w:rPr>
          <w:rFonts w:eastAsiaTheme="minorEastAsia"/>
        </w:rPr>
        <w:tab/>
      </w:r>
      <w:r w:rsidRPr="0042389E">
        <w:rPr>
          <w:rFonts w:eastAsiaTheme="minorEastAsia"/>
        </w:rPr>
        <w:tab/>
        <w:t>Summary of the information received from stakeholders</w:t>
      </w:r>
    </w:p>
    <w:p w14:paraId="19A58070" w14:textId="58A266FC" w:rsidR="004B3CCE" w:rsidRPr="0042389E" w:rsidRDefault="00AE69AC" w:rsidP="00AE69AC">
      <w:pPr>
        <w:pStyle w:val="H4G"/>
      </w:pPr>
      <w:r>
        <w:rPr>
          <w:rFonts w:eastAsiaTheme="minorEastAsia"/>
        </w:rPr>
        <w:tab/>
      </w:r>
      <w:r>
        <w:rPr>
          <w:rFonts w:eastAsiaTheme="minorEastAsia"/>
        </w:rPr>
        <w:tab/>
      </w:r>
      <w:r w:rsidR="004B3CCE" w:rsidRPr="0042389E">
        <w:rPr>
          <w:rFonts w:eastAsiaTheme="minorEastAsia"/>
        </w:rPr>
        <w:t>Cairo Institute for Human Rights Studies</w:t>
      </w:r>
    </w:p>
    <w:p w14:paraId="7D3D0E71" w14:textId="77777777" w:rsidR="004B3CCE" w:rsidRPr="0042389E" w:rsidRDefault="004B3CCE" w:rsidP="004B3CCE">
      <w:pPr>
        <w:pStyle w:val="SingleTxtG"/>
        <w:rPr>
          <w:highlight w:val="lightGray"/>
        </w:rPr>
      </w:pPr>
      <w:r w:rsidRPr="0042389E">
        <w:t>(a)</w:t>
      </w:r>
      <w:r w:rsidRPr="0042389E">
        <w:tab/>
        <w:t>D</w:t>
      </w:r>
      <w:r w:rsidRPr="0042389E">
        <w:rPr>
          <w:rStyle w:val="Hyperlink"/>
          <w:color w:val="auto"/>
          <w:shd w:val="clear" w:color="auto" w:fill="FFFFFF"/>
        </w:rPr>
        <w:t xml:space="preserve">espite the </w:t>
      </w:r>
      <w:r>
        <w:rPr>
          <w:rStyle w:val="Hyperlink"/>
          <w:color w:val="auto"/>
          <w:shd w:val="clear" w:color="auto" w:fill="FFFFFF"/>
        </w:rPr>
        <w:t>assertion</w:t>
      </w:r>
      <w:r w:rsidRPr="0042389E">
        <w:rPr>
          <w:rStyle w:val="Hyperlink"/>
          <w:color w:val="auto"/>
          <w:shd w:val="clear" w:color="auto" w:fill="FFFFFF"/>
        </w:rPr>
        <w:t xml:space="preserve"> of </w:t>
      </w:r>
      <w:r w:rsidRPr="0042389E">
        <w:t xml:space="preserve">Algeria that article 52 of the Constitution now protects the </w:t>
      </w:r>
      <w:r>
        <w:t>right</w:t>
      </w:r>
      <w:r w:rsidRPr="0042389E">
        <w:t xml:space="preserve"> of peaceful assembly with a simple declaration, the prior authorization regime under Act No. 91-19 still applies. Articles 97 to 100 of </w:t>
      </w:r>
      <w:r>
        <w:t xml:space="preserve">the </w:t>
      </w:r>
      <w:r w:rsidRPr="0042389E">
        <w:t xml:space="preserve">Penal Code, which provide for imprisonment of </w:t>
      </w:r>
      <w:r>
        <w:t>between one</w:t>
      </w:r>
      <w:r w:rsidRPr="0042389E">
        <w:t xml:space="preserve"> month </w:t>
      </w:r>
      <w:r>
        <w:t>and</w:t>
      </w:r>
      <w:r w:rsidRPr="0042389E">
        <w:t xml:space="preserve"> </w:t>
      </w:r>
      <w:r>
        <w:t>one</w:t>
      </w:r>
      <w:r w:rsidRPr="0042389E">
        <w:t xml:space="preserve"> year and deprivation of civil rights for “unarmed gathering” or “incitement to unarmed gathering”, have been overwhelmingly used. </w:t>
      </w:r>
      <w:r>
        <w:t xml:space="preserve">The </w:t>
      </w:r>
      <w:r w:rsidRPr="0042389E">
        <w:t>I</w:t>
      </w:r>
      <w:r>
        <w:t>nstitute</w:t>
      </w:r>
      <w:r w:rsidRPr="0042389E">
        <w:t xml:space="preserve"> is unaware of any ongoing legislative process to review Act No. 91-19.</w:t>
      </w:r>
      <w:r>
        <w:t xml:space="preserve"> </w:t>
      </w:r>
      <w:r w:rsidRPr="0042389E">
        <w:t xml:space="preserve">Throughout 2021, the police blocked access, including of journalists, to the </w:t>
      </w:r>
      <w:proofErr w:type="spellStart"/>
      <w:r w:rsidRPr="00111F12">
        <w:rPr>
          <w:i/>
          <w:iCs/>
        </w:rPr>
        <w:t>Hirak</w:t>
      </w:r>
      <w:proofErr w:type="spellEnd"/>
      <w:r w:rsidRPr="0042389E">
        <w:t xml:space="preserve"> demonstrations. Internet access on mobile phones was disrupted during demonstrations. Police made protesters pledge not to participate in unauthori</w:t>
      </w:r>
      <w:r>
        <w:t>z</w:t>
      </w:r>
      <w:r w:rsidRPr="0042389E">
        <w:t>ed protests as a condition of release from police stations.</w:t>
      </w:r>
      <w:r>
        <w:t xml:space="preserve"> On </w:t>
      </w:r>
      <w:r w:rsidRPr="0042389E">
        <w:t xml:space="preserve">9 May 2021, the </w:t>
      </w:r>
      <w:r w:rsidRPr="006E7A13">
        <w:t>M</w:t>
      </w:r>
      <w:r w:rsidRPr="00384A3E">
        <w:t xml:space="preserve">inistry of </w:t>
      </w:r>
      <w:r>
        <w:t xml:space="preserve">the </w:t>
      </w:r>
      <w:r w:rsidRPr="00384A3E">
        <w:t>Interior</w:t>
      </w:r>
      <w:r>
        <w:t xml:space="preserve"> issued a statement</w:t>
      </w:r>
      <w:r w:rsidRPr="0042389E">
        <w:t xml:space="preserve"> remind</w:t>
      </w:r>
      <w:r>
        <w:t>ing</w:t>
      </w:r>
      <w:r w:rsidRPr="0042389E">
        <w:t xml:space="preserve"> protesters of the prior authorization requirement under Act No. 91-19.</w:t>
      </w:r>
      <w:r>
        <w:t xml:space="preserve"> The statement and </w:t>
      </w:r>
      <w:r w:rsidRPr="0042389E">
        <w:t xml:space="preserve">the increased use of unlawful force and mass arrests led to the end of the </w:t>
      </w:r>
      <w:proofErr w:type="spellStart"/>
      <w:r w:rsidRPr="00111F12">
        <w:rPr>
          <w:i/>
          <w:iCs/>
        </w:rPr>
        <w:t>Hirak</w:t>
      </w:r>
      <w:proofErr w:type="spellEnd"/>
      <w:r w:rsidRPr="0042389E">
        <w:t xml:space="preserve"> protests.</w:t>
      </w:r>
      <w:r>
        <w:t xml:space="preserve"> </w:t>
      </w:r>
    </w:p>
    <w:p w14:paraId="2A600960" w14:textId="77777777" w:rsidR="004B3CCE" w:rsidRPr="0042389E" w:rsidRDefault="004B3CCE" w:rsidP="004B3CCE">
      <w:pPr>
        <w:pStyle w:val="SingleTxtG"/>
      </w:pPr>
      <w:r w:rsidRPr="0042389E">
        <w:t>(b)</w:t>
      </w:r>
      <w:r w:rsidRPr="0042389E">
        <w:tab/>
        <w:t>There is no official information of the content of this decree or any announcement about repealing it.</w:t>
      </w:r>
    </w:p>
    <w:p w14:paraId="41547953" w14:textId="4B2732D1" w:rsidR="004B3CCE" w:rsidRPr="0042389E" w:rsidRDefault="004B3CCE" w:rsidP="004B3CCE">
      <w:pPr>
        <w:pStyle w:val="SingleTxtG"/>
      </w:pPr>
      <w:r w:rsidRPr="0042389E">
        <w:t>(c)</w:t>
      </w:r>
      <w:r w:rsidRPr="0042389E">
        <w:tab/>
        <w:t xml:space="preserve">Although </w:t>
      </w:r>
      <w:proofErr w:type="spellStart"/>
      <w:r w:rsidRPr="00111F12">
        <w:rPr>
          <w:i/>
          <w:iCs/>
        </w:rPr>
        <w:t>Hirak</w:t>
      </w:r>
      <w:proofErr w:type="spellEnd"/>
      <w:r w:rsidRPr="0042389E">
        <w:t xml:space="preserve"> demonstrations were allowed for the first </w:t>
      </w:r>
      <w:r>
        <w:t xml:space="preserve">few </w:t>
      </w:r>
      <w:r w:rsidRPr="0042389E">
        <w:t>months, since June 2019</w:t>
      </w:r>
      <w:r>
        <w:t>, the</w:t>
      </w:r>
      <w:r w:rsidRPr="0042389E">
        <w:t xml:space="preserve"> courts have prosecuted protesters, activists and journalists for “weakening the morale of the army”, “inciting an unarmed gathering”, “undermining national unity” and </w:t>
      </w:r>
      <w:r>
        <w:t xml:space="preserve">causing </w:t>
      </w:r>
      <w:r w:rsidRPr="0042389E">
        <w:t xml:space="preserve">“offence to public bodies”. Between February and June 2021, at least 7,000 demonstrators were arrested and </w:t>
      </w:r>
      <w:r>
        <w:t>around</w:t>
      </w:r>
      <w:r w:rsidRPr="0042389E">
        <w:t xml:space="preserve"> 700 </w:t>
      </w:r>
      <w:r>
        <w:t xml:space="preserve">of them were </w:t>
      </w:r>
      <w:r w:rsidRPr="0042389E">
        <w:t>prosecuted. At least 38 journalists were arrested and/or prosecuted. Th</w:t>
      </w:r>
      <w:r>
        <w:t>o</w:t>
      </w:r>
      <w:r w:rsidRPr="0042389E">
        <w:t xml:space="preserve">se </w:t>
      </w:r>
      <w:r>
        <w:t xml:space="preserve">proceedings </w:t>
      </w:r>
      <w:r w:rsidRPr="0042389E">
        <w:t>often lack</w:t>
      </w:r>
      <w:r>
        <w:t>ed</w:t>
      </w:r>
      <w:r w:rsidRPr="0042389E">
        <w:t xml:space="preserve"> due process and fair trial guarantees. </w:t>
      </w:r>
      <w:r w:rsidRPr="006E7A13">
        <w:t xml:space="preserve">Judge Saad </w:t>
      </w:r>
      <w:proofErr w:type="spellStart"/>
      <w:r w:rsidRPr="006E7A13">
        <w:t>Eddine</w:t>
      </w:r>
      <w:proofErr w:type="spellEnd"/>
      <w:r w:rsidRPr="006E7A13">
        <w:t xml:space="preserve"> </w:t>
      </w:r>
      <w:proofErr w:type="spellStart"/>
      <w:r w:rsidRPr="006E7A13">
        <w:t>Merzouk</w:t>
      </w:r>
      <w:proofErr w:type="spellEnd"/>
      <w:r w:rsidRPr="00384A3E">
        <w:t xml:space="preserve"> was dismissed</w:t>
      </w:r>
      <w:r w:rsidRPr="0042389E">
        <w:t xml:space="preserve"> and Deputy Prosecutor Ahmed </w:t>
      </w:r>
      <w:proofErr w:type="spellStart"/>
      <w:r w:rsidRPr="0042389E">
        <w:t>Belhadi</w:t>
      </w:r>
      <w:proofErr w:type="spellEnd"/>
      <w:r w:rsidRPr="0042389E">
        <w:t xml:space="preserve"> was </w:t>
      </w:r>
      <w:r>
        <w:t xml:space="preserve">issued with a </w:t>
      </w:r>
      <w:r w:rsidRPr="0042389E">
        <w:t xml:space="preserve">warned for supporting </w:t>
      </w:r>
      <w:proofErr w:type="spellStart"/>
      <w:r w:rsidRPr="00111F12">
        <w:rPr>
          <w:i/>
          <w:iCs/>
        </w:rPr>
        <w:t>Hirak</w:t>
      </w:r>
      <w:proofErr w:type="spellEnd"/>
      <w:r w:rsidRPr="0042389E">
        <w:t xml:space="preserve"> protesters.</w:t>
      </w:r>
      <w:r>
        <w:t xml:space="preserve"> </w:t>
      </w:r>
      <w:r w:rsidRPr="0042389E">
        <w:t>On 3 May 2021, the Ministry</w:t>
      </w:r>
      <w:hyperlink r:id="rId14">
        <w:r w:rsidRPr="006E7A13">
          <w:t xml:space="preserve"> </w:t>
        </w:r>
        <w:r>
          <w:t xml:space="preserve">of the </w:t>
        </w:r>
        <w:r w:rsidRPr="0042389E">
          <w:t>Interior</w:t>
        </w:r>
        <w:r w:rsidRPr="006E7A13">
          <w:t xml:space="preserve"> announced the suspension and prosecution of 230 firefighters</w:t>
        </w:r>
      </w:hyperlink>
      <w:r w:rsidRPr="0042389E">
        <w:t xml:space="preserve"> who </w:t>
      </w:r>
      <w:r>
        <w:t xml:space="preserve">held a </w:t>
      </w:r>
      <w:r w:rsidRPr="0042389E">
        <w:t xml:space="preserve">protest </w:t>
      </w:r>
      <w:r>
        <w:t>at which they demanded</w:t>
      </w:r>
      <w:r w:rsidRPr="0042389E">
        <w:t xml:space="preserve"> better working conditions.</w:t>
      </w:r>
      <w:r>
        <w:t xml:space="preserve"> </w:t>
      </w:r>
      <w:r w:rsidRPr="00D45BB2">
        <w:t xml:space="preserve">Ordinance </w:t>
      </w:r>
      <w:r>
        <w:t xml:space="preserve">No. </w:t>
      </w:r>
      <w:r w:rsidRPr="00D45BB2">
        <w:t>21-08, adopted on 8 June 2021, further expanded the broad definition of terrorism in article 87</w:t>
      </w:r>
      <w:r>
        <w:t xml:space="preserve"> </w:t>
      </w:r>
      <w:r w:rsidRPr="00D45BB2">
        <w:t xml:space="preserve">bis of the Penal Code. It was approved on the basis of the new </w:t>
      </w:r>
      <w:r>
        <w:t xml:space="preserve">provision in </w:t>
      </w:r>
      <w:r w:rsidRPr="00D45BB2">
        <w:t>article 34 of the Constitution that permits restrictions based on broad and subjective grounds</w:t>
      </w:r>
      <w:r>
        <w:t>,</w:t>
      </w:r>
      <w:r w:rsidRPr="00D45BB2">
        <w:t xml:space="preserve"> without safeguards. Between April and October 2021, at least 59 </w:t>
      </w:r>
      <w:r>
        <w:t xml:space="preserve">individuals </w:t>
      </w:r>
      <w:r w:rsidRPr="00D45BB2">
        <w:t xml:space="preserve">were </w:t>
      </w:r>
      <w:hyperlink r:id="rId15">
        <w:r w:rsidRPr="00D45BB2">
          <w:t>prosecuted</w:t>
        </w:r>
      </w:hyperlink>
      <w:r w:rsidRPr="00D45BB2">
        <w:t xml:space="preserve"> on terrorism charges, mostly for exercising their right of peaceful assembly. In October 2021, ahead of planned commemorations, </w:t>
      </w:r>
      <w:r>
        <w:t xml:space="preserve">the </w:t>
      </w:r>
      <w:r w:rsidRPr="00D45BB2">
        <w:t xml:space="preserve">authorities arrested at least 70 </w:t>
      </w:r>
      <w:proofErr w:type="spellStart"/>
      <w:r w:rsidRPr="00111F12">
        <w:rPr>
          <w:i/>
          <w:iCs/>
        </w:rPr>
        <w:t>Hirak</w:t>
      </w:r>
      <w:proofErr w:type="spellEnd"/>
      <w:r w:rsidRPr="00D45BB2">
        <w:t xml:space="preserve"> activists. </w:t>
      </w:r>
      <w:r>
        <w:t>A</w:t>
      </w:r>
      <w:r w:rsidRPr="00F908F2">
        <w:t xml:space="preserve"> </w:t>
      </w:r>
      <w:r>
        <w:t>civil society</w:t>
      </w:r>
      <w:r w:rsidRPr="00F908F2">
        <w:t xml:space="preserve"> organi</w:t>
      </w:r>
      <w:r>
        <w:t>z</w:t>
      </w:r>
      <w:r w:rsidRPr="00802EBE">
        <w:t>ation</w:t>
      </w:r>
      <w:r w:rsidRPr="00802EBE">
        <w:rPr>
          <w:color w:val="222222"/>
        </w:rPr>
        <w:t xml:space="preserve">, </w:t>
      </w:r>
      <w:r w:rsidRPr="00D45BB2">
        <w:t>Youth Action</w:t>
      </w:r>
      <w:r w:rsidRPr="00F908F2">
        <w:t xml:space="preserve"> </w:t>
      </w:r>
      <w:r w:rsidRPr="005F2E57">
        <w:t>Rally</w:t>
      </w:r>
      <w:r>
        <w:t xml:space="preserve"> </w:t>
      </w:r>
      <w:r w:rsidRPr="00F908F2">
        <w:t>(</w:t>
      </w:r>
      <w:proofErr w:type="spellStart"/>
      <w:r w:rsidRPr="00F908F2">
        <w:t>Rassemblement</w:t>
      </w:r>
      <w:proofErr w:type="spellEnd"/>
      <w:r w:rsidRPr="00F908F2">
        <w:t xml:space="preserve"> Actions Jeunesse), </w:t>
      </w:r>
      <w:r w:rsidRPr="00D45BB2">
        <w:rPr>
          <w:color w:val="222222"/>
        </w:rPr>
        <w:t>was dissolved</w:t>
      </w:r>
      <w:r w:rsidRPr="00D45BB2">
        <w:t xml:space="preserve"> for</w:t>
      </w:r>
      <w:r w:rsidRPr="00D45BB2">
        <w:rPr>
          <w:color w:val="222222"/>
        </w:rPr>
        <w:t xml:space="preserve"> </w:t>
      </w:r>
      <w:r w:rsidRPr="00D45BB2">
        <w:t>holding “unauthori</w:t>
      </w:r>
      <w:r>
        <w:t>z</w:t>
      </w:r>
      <w:r w:rsidRPr="00D45BB2">
        <w:t xml:space="preserve">ed meetings” and its members were prosecuted. In 2021 and 2022, the </w:t>
      </w:r>
      <w:r w:rsidRPr="00D24161">
        <w:t xml:space="preserve">Ligue </w:t>
      </w:r>
      <w:proofErr w:type="spellStart"/>
      <w:r w:rsidRPr="00D24161">
        <w:t>algérienne</w:t>
      </w:r>
      <w:proofErr w:type="spellEnd"/>
      <w:r w:rsidRPr="00D24161">
        <w:t xml:space="preserve"> de </w:t>
      </w:r>
      <w:proofErr w:type="spellStart"/>
      <w:r w:rsidRPr="00D24161">
        <w:t>défense</w:t>
      </w:r>
      <w:proofErr w:type="spellEnd"/>
      <w:r w:rsidRPr="00D24161">
        <w:t xml:space="preserve"> des droits de </w:t>
      </w:r>
      <w:proofErr w:type="spellStart"/>
      <w:r w:rsidRPr="00D24161">
        <w:t>l</w:t>
      </w:r>
      <w:r w:rsidR="00385E50">
        <w:t>’</w:t>
      </w:r>
      <w:r w:rsidRPr="00D24161">
        <w:t>homme</w:t>
      </w:r>
      <w:proofErr w:type="spellEnd"/>
      <w:r w:rsidRPr="00D45BB2" w:rsidDel="004978BD">
        <w:t xml:space="preserve"> </w:t>
      </w:r>
      <w:r w:rsidRPr="00D45BB2">
        <w:t>was prevented from organi</w:t>
      </w:r>
      <w:r>
        <w:t>z</w:t>
      </w:r>
      <w:r w:rsidRPr="00D45BB2">
        <w:t xml:space="preserve">ing meetings and </w:t>
      </w:r>
      <w:r>
        <w:t>its</w:t>
      </w:r>
      <w:r w:rsidRPr="00D45BB2">
        <w:t xml:space="preserve"> members were prosecuted. In 2022, </w:t>
      </w:r>
      <w:r>
        <w:t xml:space="preserve">two political parties – </w:t>
      </w:r>
      <w:r w:rsidRPr="00D45BB2">
        <w:t xml:space="preserve">Rally for Culture and Democracy </w:t>
      </w:r>
      <w:r>
        <w:t>(</w:t>
      </w:r>
      <w:proofErr w:type="spellStart"/>
      <w:r w:rsidRPr="009D0A9C">
        <w:t>Rassemblement</w:t>
      </w:r>
      <w:proofErr w:type="spellEnd"/>
      <w:r w:rsidRPr="009D0A9C">
        <w:t xml:space="preserve"> pour la </w:t>
      </w:r>
      <w:r>
        <w:t>c</w:t>
      </w:r>
      <w:r w:rsidRPr="009D0A9C">
        <w:t xml:space="preserve">ulture et la </w:t>
      </w:r>
      <w:proofErr w:type="spellStart"/>
      <w:r>
        <w:t>d</w:t>
      </w:r>
      <w:r w:rsidRPr="009D0A9C">
        <w:t>émocratie</w:t>
      </w:r>
      <w:proofErr w:type="spellEnd"/>
      <w:r>
        <w:t>)</w:t>
      </w:r>
      <w:r w:rsidRPr="009D0A9C">
        <w:t xml:space="preserve"> and </w:t>
      </w:r>
      <w:r w:rsidRPr="00D45BB2">
        <w:t>Democratic and Social Movement</w:t>
      </w:r>
      <w:r>
        <w:t xml:space="preserve"> (</w:t>
      </w:r>
      <w:proofErr w:type="spellStart"/>
      <w:r>
        <w:t>Mouvement</w:t>
      </w:r>
      <w:proofErr w:type="spellEnd"/>
      <w:r>
        <w:t xml:space="preserve"> </w:t>
      </w:r>
      <w:proofErr w:type="spellStart"/>
      <w:r>
        <w:t>Démocratique</w:t>
      </w:r>
      <w:proofErr w:type="spellEnd"/>
      <w:r>
        <w:t xml:space="preserve"> et Social) –</w:t>
      </w:r>
      <w:r w:rsidRPr="009D0A9C">
        <w:t xml:space="preserve"> </w:t>
      </w:r>
      <w:r w:rsidRPr="00D45BB2">
        <w:t xml:space="preserve">received </w:t>
      </w:r>
      <w:r>
        <w:t xml:space="preserve">formal </w:t>
      </w:r>
      <w:r w:rsidRPr="00D45BB2">
        <w:t>notice</w:t>
      </w:r>
      <w:r>
        <w:t>s</w:t>
      </w:r>
      <w:r w:rsidRPr="00D45BB2">
        <w:t xml:space="preserve"> from the Ministry of the Interior </w:t>
      </w:r>
      <w:r>
        <w:t xml:space="preserve">requiring them </w:t>
      </w:r>
      <w:r w:rsidRPr="00D45BB2">
        <w:t xml:space="preserve">to stop organizing unauthorized meetings. Members of the Rally </w:t>
      </w:r>
      <w:r w:rsidRPr="005F355D">
        <w:t xml:space="preserve">for Culture and Democracy </w:t>
      </w:r>
      <w:r w:rsidRPr="00D45BB2">
        <w:t>have been imprisoned.</w:t>
      </w:r>
    </w:p>
    <w:p w14:paraId="60BF29A3" w14:textId="77777777" w:rsidR="004B3CCE" w:rsidRPr="006E7A13" w:rsidRDefault="004B3CCE" w:rsidP="004B3CCE">
      <w:pPr>
        <w:pStyle w:val="SingleTxtG"/>
      </w:pPr>
      <w:r w:rsidRPr="006E7A13">
        <w:t>(d)</w:t>
      </w:r>
      <w:r w:rsidRPr="006E7A13">
        <w:tab/>
        <w:t xml:space="preserve">The </w:t>
      </w:r>
      <w:r w:rsidRPr="00384A3E">
        <w:t xml:space="preserve">police </w:t>
      </w:r>
      <w:r w:rsidRPr="0042389E">
        <w:t xml:space="preserve">carried out beatings and violent arrests of demonstrators, human rights defenders and journalists, including Ramzi </w:t>
      </w:r>
      <w:proofErr w:type="spellStart"/>
      <w:r w:rsidRPr="0042389E">
        <w:t>Yettou</w:t>
      </w:r>
      <w:proofErr w:type="spellEnd"/>
      <w:r w:rsidRPr="0042389E">
        <w:t xml:space="preserve"> on 19 April 2019, </w:t>
      </w:r>
      <w:proofErr w:type="spellStart"/>
      <w:r w:rsidRPr="0042389E">
        <w:t>Kaddour</w:t>
      </w:r>
      <w:proofErr w:type="spellEnd"/>
      <w:r w:rsidRPr="0042389E">
        <w:t xml:space="preserve"> </w:t>
      </w:r>
      <w:proofErr w:type="spellStart"/>
      <w:r w:rsidRPr="0042389E">
        <w:t>Chouicha</w:t>
      </w:r>
      <w:proofErr w:type="spellEnd"/>
      <w:r w:rsidRPr="0042389E">
        <w:t xml:space="preserve"> and his son on 12 March 2021, students in </w:t>
      </w:r>
      <w:proofErr w:type="spellStart"/>
      <w:r w:rsidRPr="0042389E">
        <w:t>Beja</w:t>
      </w:r>
      <w:r>
        <w:t>i</w:t>
      </w:r>
      <w:r w:rsidRPr="0042389E">
        <w:t>a</w:t>
      </w:r>
      <w:proofErr w:type="spellEnd"/>
      <w:r w:rsidRPr="0042389E">
        <w:t xml:space="preserve"> on 16 March 2021 and </w:t>
      </w:r>
      <w:r>
        <w:t xml:space="preserve">the </w:t>
      </w:r>
      <w:r w:rsidRPr="0042389E">
        <w:t>journalist Sa</w:t>
      </w:r>
      <w:r>
        <w:t>i</w:t>
      </w:r>
      <w:r w:rsidRPr="0042389E">
        <w:t xml:space="preserve">d </w:t>
      </w:r>
      <w:proofErr w:type="spellStart"/>
      <w:r w:rsidRPr="0042389E">
        <w:lastRenderedPageBreak/>
        <w:t>Boudour</w:t>
      </w:r>
      <w:proofErr w:type="spellEnd"/>
      <w:r w:rsidRPr="0042389E">
        <w:t xml:space="preserve"> on 23 April 2021. </w:t>
      </w:r>
      <w:r w:rsidRPr="006E7A13">
        <w:t>T</w:t>
      </w:r>
      <w:r w:rsidRPr="00384A3E">
        <w:t xml:space="preserve">he </w:t>
      </w:r>
      <w:r w:rsidRPr="0042389E">
        <w:t>police used rubber bullets and tear gas against demonstrators protesting the holding of the June 2021 parliamentary elections in May and June 2021. No investigations were conducted</w:t>
      </w:r>
      <w:r>
        <w:t xml:space="preserve"> into those events</w:t>
      </w:r>
      <w:r w:rsidRPr="0042389E">
        <w:t xml:space="preserve">. Third parties committed </w:t>
      </w:r>
      <w:r>
        <w:t xml:space="preserve">acts of </w:t>
      </w:r>
      <w:r w:rsidRPr="0042389E">
        <w:t xml:space="preserve">violence against </w:t>
      </w:r>
      <w:proofErr w:type="spellStart"/>
      <w:r w:rsidRPr="00111F12">
        <w:rPr>
          <w:i/>
          <w:iCs/>
        </w:rPr>
        <w:t>Hirak</w:t>
      </w:r>
      <w:proofErr w:type="spellEnd"/>
      <w:r w:rsidRPr="0042389E">
        <w:t xml:space="preserve"> protestors, journalists and activists, but effective investigations were not conducted.</w:t>
      </w:r>
    </w:p>
    <w:p w14:paraId="20AD2CCE" w14:textId="4B7B4D04" w:rsidR="004B3CCE" w:rsidRPr="0042389E" w:rsidRDefault="00011E9E" w:rsidP="00011E9E">
      <w:pPr>
        <w:pStyle w:val="H23G"/>
        <w:rPr>
          <w:highlight w:val="yellow"/>
        </w:rPr>
      </w:pPr>
      <w:r>
        <w:tab/>
      </w:r>
      <w:r>
        <w:tab/>
      </w:r>
      <w:r w:rsidR="004B3CCE" w:rsidRPr="00384A3E">
        <w:t>Committee</w:t>
      </w:r>
      <w:r w:rsidR="00385E50">
        <w:t>’</w:t>
      </w:r>
      <w:r w:rsidR="004B3CCE" w:rsidRPr="0042389E">
        <w:t>s evaluation</w:t>
      </w:r>
    </w:p>
    <w:p w14:paraId="2E9CA577" w14:textId="77777777" w:rsidR="004B3CCE" w:rsidRPr="0042389E" w:rsidRDefault="004B3CCE" w:rsidP="004B3CCE">
      <w:pPr>
        <w:pStyle w:val="SingleTxtG"/>
      </w:pPr>
      <w:r w:rsidRPr="00111F12">
        <w:rPr>
          <w:bCs/>
        </w:rPr>
        <w:t>[C]:</w:t>
      </w:r>
      <w:r w:rsidRPr="0042389E">
        <w:t xml:space="preserve"> (a</w:t>
      </w:r>
      <w:r w:rsidRPr="00B0036C">
        <w:t xml:space="preserve">), </w:t>
      </w:r>
      <w:r w:rsidRPr="0042389E">
        <w:t>(c) and (d)</w:t>
      </w:r>
    </w:p>
    <w:p w14:paraId="4A849CC6" w14:textId="77777777" w:rsidR="004B3CCE" w:rsidRPr="0042389E" w:rsidRDefault="004B3CCE" w:rsidP="004B3CCE">
      <w:pPr>
        <w:pStyle w:val="SingleTxtG"/>
      </w:pPr>
      <w:r w:rsidRPr="0042389E">
        <w:t xml:space="preserve">While </w:t>
      </w:r>
      <w:r>
        <w:rPr>
          <w:bCs/>
        </w:rPr>
        <w:t>tak</w:t>
      </w:r>
      <w:r w:rsidRPr="0042389E">
        <w:rPr>
          <w:bCs/>
        </w:rPr>
        <w:t xml:space="preserve">ing </w:t>
      </w:r>
      <w:r>
        <w:rPr>
          <w:bCs/>
        </w:rPr>
        <w:t xml:space="preserve">note of </w:t>
      </w:r>
      <w:r w:rsidRPr="0042389E">
        <w:t xml:space="preserve">the information on the 2020 Constitution and the ongoing legislative process of amending relevant domestic legislation, the Committee regrets that Act No. 91-19 has not yet been amended. It reiterates its recommendation and requests further information on reports of: (a) the continued requirement </w:t>
      </w:r>
      <w:r>
        <w:t>for</w:t>
      </w:r>
      <w:r w:rsidRPr="0042389E">
        <w:t xml:space="preserve"> prior authorization under Act No. 91-19; and (b) undue obstruction by the police of peaceful assemblies, including the </w:t>
      </w:r>
      <w:proofErr w:type="spellStart"/>
      <w:r w:rsidRPr="00111F12">
        <w:rPr>
          <w:i/>
          <w:iCs/>
        </w:rPr>
        <w:t>Hirak</w:t>
      </w:r>
      <w:proofErr w:type="spellEnd"/>
      <w:r w:rsidRPr="0042389E">
        <w:t xml:space="preserve"> movement.</w:t>
      </w:r>
    </w:p>
    <w:p w14:paraId="5C7F29E6" w14:textId="77777777" w:rsidR="004B3CCE" w:rsidRPr="0042389E" w:rsidRDefault="004B3CCE" w:rsidP="004B3CCE">
      <w:pPr>
        <w:pStyle w:val="SingleTxtG"/>
        <w:rPr>
          <w:bCs/>
        </w:rPr>
      </w:pPr>
      <w:r w:rsidRPr="0042389E">
        <w:rPr>
          <w:bCs/>
        </w:rPr>
        <w:t xml:space="preserve">While </w:t>
      </w:r>
      <w:r>
        <w:rPr>
          <w:bCs/>
        </w:rPr>
        <w:t>tak</w:t>
      </w:r>
      <w:r w:rsidRPr="0042389E">
        <w:rPr>
          <w:bCs/>
        </w:rPr>
        <w:t xml:space="preserve">ing </w:t>
      </w:r>
      <w:r>
        <w:rPr>
          <w:bCs/>
        </w:rPr>
        <w:t>note of</w:t>
      </w:r>
      <w:r w:rsidRPr="0042389E">
        <w:rPr>
          <w:bCs/>
        </w:rPr>
        <w:t xml:space="preserve"> the information provided, the Committee regrets the lack of specific information on steps taken to ensure that demonstrators and meeting organizers are not prosecuted for exercising their right of assembly. It reiterates its recommendation and requests further information on: (a) alleged arrests and prosecution of </w:t>
      </w:r>
      <w:proofErr w:type="spellStart"/>
      <w:r w:rsidRPr="00111F12">
        <w:rPr>
          <w:bCs/>
          <w:i/>
          <w:iCs/>
        </w:rPr>
        <w:t>Hirak</w:t>
      </w:r>
      <w:proofErr w:type="spellEnd"/>
      <w:r w:rsidRPr="0042389E">
        <w:rPr>
          <w:bCs/>
        </w:rPr>
        <w:t xml:space="preserve"> protestors, human rights defenders and journalists covering the movement</w:t>
      </w:r>
      <w:r>
        <w:rPr>
          <w:bCs/>
        </w:rPr>
        <w:t>,</w:t>
      </w:r>
      <w:r w:rsidRPr="0042389E">
        <w:rPr>
          <w:bCs/>
        </w:rPr>
        <w:t xml:space="preserve"> as well as meeting organizers, including members of </w:t>
      </w:r>
      <w:r w:rsidRPr="0042389E">
        <w:t>Youth Action</w:t>
      </w:r>
      <w:r w:rsidRPr="009D0A9C">
        <w:t xml:space="preserve"> </w:t>
      </w:r>
      <w:r w:rsidRPr="005F2E57">
        <w:t>Rally</w:t>
      </w:r>
      <w:r w:rsidRPr="0042389E">
        <w:t>,</w:t>
      </w:r>
      <w:r w:rsidRPr="0042389E">
        <w:rPr>
          <w:bCs/>
        </w:rPr>
        <w:t xml:space="preserve"> </w:t>
      </w:r>
      <w:r w:rsidRPr="0042389E">
        <w:t xml:space="preserve">Rally for Culture and Democracy and Democratic and Social Movement; and (b) the compatibility with the Covenant of Ordinance </w:t>
      </w:r>
      <w:r>
        <w:t xml:space="preserve">No. </w:t>
      </w:r>
      <w:r w:rsidRPr="0042389E">
        <w:t>21-08.</w:t>
      </w:r>
    </w:p>
    <w:p w14:paraId="157751D2" w14:textId="77777777" w:rsidR="004B3CCE" w:rsidRDefault="004B3CCE" w:rsidP="004B3CCE">
      <w:pPr>
        <w:pStyle w:val="SingleTxtG"/>
      </w:pPr>
      <w:r w:rsidRPr="0042389E">
        <w:rPr>
          <w:bCs/>
        </w:rPr>
        <w:t xml:space="preserve">While </w:t>
      </w:r>
      <w:r>
        <w:rPr>
          <w:bCs/>
        </w:rPr>
        <w:t>tak</w:t>
      </w:r>
      <w:r w:rsidRPr="0042389E">
        <w:rPr>
          <w:bCs/>
        </w:rPr>
        <w:t xml:space="preserve">ing </w:t>
      </w:r>
      <w:r>
        <w:rPr>
          <w:bCs/>
        </w:rPr>
        <w:t xml:space="preserve">note of </w:t>
      </w:r>
      <w:r w:rsidRPr="0042389E">
        <w:rPr>
          <w:bCs/>
        </w:rPr>
        <w:t xml:space="preserve">the information provided, the Committee regrets the lack of specific information on measures taken to </w:t>
      </w:r>
      <w:r w:rsidRPr="0042389E">
        <w:t xml:space="preserve">prohibit the use by the police of excessive force in dispersing crowds. It reiterates its recommendation and requests further information on the aforementioned allegations of beatings and </w:t>
      </w:r>
      <w:r>
        <w:t xml:space="preserve">the </w:t>
      </w:r>
      <w:r w:rsidRPr="0042389E">
        <w:t>use of bullets and tear gas against demonstrators, human rights defenders and journalists in the context of peaceful assemblies, and on any investigations conducted into these cases.</w:t>
      </w:r>
    </w:p>
    <w:p w14:paraId="1D8AA308" w14:textId="77777777" w:rsidR="004B3CCE" w:rsidRDefault="004B3CCE" w:rsidP="004B3CCE">
      <w:pPr>
        <w:pStyle w:val="SingleTxtG"/>
      </w:pPr>
      <w:r w:rsidRPr="00111F12">
        <w:rPr>
          <w:bCs/>
        </w:rPr>
        <w:t>[D]</w:t>
      </w:r>
      <w:r>
        <w:t>: (b)</w:t>
      </w:r>
    </w:p>
    <w:p w14:paraId="6A9D3728" w14:textId="77777777" w:rsidR="004B3CCE" w:rsidRPr="0042389E" w:rsidRDefault="004B3CCE" w:rsidP="004B3CCE">
      <w:pPr>
        <w:pStyle w:val="SingleTxtG"/>
        <w:rPr>
          <w:bCs/>
        </w:rPr>
      </w:pPr>
      <w:r>
        <w:t xml:space="preserve">The Committee regrets the lack of information on the </w:t>
      </w:r>
      <w:r w:rsidRPr="00B0036C">
        <w:t>unpublished decree of 18 June 2001</w:t>
      </w:r>
      <w:r>
        <w:t xml:space="preserve"> and reiterates its recommendation.</w:t>
      </w:r>
    </w:p>
    <w:p w14:paraId="2C59DDC9" w14:textId="2EDA5238" w:rsidR="004B3CCE" w:rsidRPr="0042389E" w:rsidRDefault="004B3CCE" w:rsidP="004B3CCE">
      <w:pPr>
        <w:pStyle w:val="SingleTxtG"/>
      </w:pPr>
      <w:r w:rsidRPr="0042389E">
        <w:rPr>
          <w:b/>
          <w:bCs/>
        </w:rPr>
        <w:t>Recommended action</w:t>
      </w:r>
      <w:r w:rsidRPr="0042389E">
        <w:t>: A letter should be sent informing the State party of the discontinuation of the follow-up procedure. The information requested should be included in the State party</w:t>
      </w:r>
      <w:r w:rsidR="00385E50">
        <w:t>’</w:t>
      </w:r>
      <w:r w:rsidRPr="0042389E">
        <w:t>s next periodic report.</w:t>
      </w:r>
    </w:p>
    <w:p w14:paraId="0E9E4336" w14:textId="77777777" w:rsidR="004B3CCE" w:rsidRPr="0042389E" w:rsidRDefault="004B3CCE" w:rsidP="004B3CCE">
      <w:pPr>
        <w:pStyle w:val="SingleTxtG"/>
      </w:pPr>
      <w:r w:rsidRPr="0042389E">
        <w:rPr>
          <w:b/>
          <w:bCs/>
        </w:rPr>
        <w:t>Next periodic report due</w:t>
      </w:r>
      <w:r w:rsidRPr="0042389E">
        <w:t xml:space="preserve">: </w:t>
      </w:r>
      <w:r w:rsidRPr="001E26EF">
        <w:t>2028 (country review in 2029, in accordance with the predictable review cycle).</w:t>
      </w:r>
    </w:p>
    <w:p w14:paraId="68852444" w14:textId="77777777" w:rsidR="004B3CCE" w:rsidRPr="0042389E" w:rsidRDefault="004B3CCE" w:rsidP="004B3CCE">
      <w:pPr>
        <w:spacing w:before="240"/>
        <w:ind w:left="1134" w:right="1134"/>
        <w:jc w:val="center"/>
        <w:rPr>
          <w:u w:val="single"/>
        </w:rPr>
      </w:pPr>
      <w:r w:rsidRPr="0042389E">
        <w:rPr>
          <w:u w:val="single"/>
        </w:rPr>
        <w:tab/>
      </w:r>
      <w:r w:rsidRPr="0042389E">
        <w:rPr>
          <w:u w:val="single"/>
        </w:rPr>
        <w:tab/>
      </w:r>
      <w:r w:rsidRPr="0042389E">
        <w:rPr>
          <w:u w:val="single"/>
        </w:rPr>
        <w:tab/>
      </w:r>
      <w:r w:rsidRPr="0042389E">
        <w:rPr>
          <w:u w:val="single"/>
        </w:rPr>
        <w:tab/>
      </w:r>
    </w:p>
    <w:sectPr w:rsidR="004B3CCE" w:rsidRPr="0042389E"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B50C2" w14:textId="77777777" w:rsidR="00D40835" w:rsidRPr="00B903E5" w:rsidRDefault="00D40835" w:rsidP="00B903E5">
      <w:pPr>
        <w:pStyle w:val="Footer"/>
      </w:pPr>
    </w:p>
  </w:endnote>
  <w:endnote w:type="continuationSeparator" w:id="0">
    <w:p w14:paraId="199B2E2A" w14:textId="77777777" w:rsidR="00D40835" w:rsidRPr="00B903E5" w:rsidRDefault="00D4083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7F618" w14:textId="77777777" w:rsidR="004B3CCE" w:rsidRDefault="004B3CCE" w:rsidP="004B3CCE">
    <w:pPr>
      <w:pStyle w:val="Footer"/>
      <w:tabs>
        <w:tab w:val="right" w:pos="9638"/>
      </w:tabs>
    </w:pPr>
    <w:r w:rsidRPr="004B3CCE">
      <w:rPr>
        <w:b/>
        <w:bCs/>
        <w:sz w:val="18"/>
      </w:rPr>
      <w:fldChar w:fldCharType="begin"/>
    </w:r>
    <w:r w:rsidRPr="004B3CCE">
      <w:rPr>
        <w:b/>
        <w:bCs/>
        <w:sz w:val="18"/>
      </w:rPr>
      <w:instrText xml:space="preserve"> PAGE  \* MERGEFORMAT </w:instrText>
    </w:r>
    <w:r w:rsidRPr="004B3CCE">
      <w:rPr>
        <w:b/>
        <w:bCs/>
        <w:sz w:val="18"/>
      </w:rPr>
      <w:fldChar w:fldCharType="separate"/>
    </w:r>
    <w:r w:rsidRPr="004B3CCE">
      <w:rPr>
        <w:b/>
        <w:bCs/>
        <w:noProof/>
        <w:sz w:val="18"/>
      </w:rPr>
      <w:t>2</w:t>
    </w:r>
    <w:r w:rsidRPr="004B3CCE">
      <w:rPr>
        <w:b/>
        <w:bCs/>
        <w:sz w:val="18"/>
      </w:rPr>
      <w:fldChar w:fldCharType="end"/>
    </w:r>
    <w:r>
      <w:tab/>
      <w:t>GE.22-25641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D80E1" w14:textId="77777777" w:rsidR="004B3CCE" w:rsidRDefault="004B3CCE" w:rsidP="004B3CCE">
    <w:pPr>
      <w:pStyle w:val="Footer"/>
      <w:tabs>
        <w:tab w:val="right" w:pos="9638"/>
      </w:tabs>
    </w:pPr>
    <w:r>
      <w:t>GE.22-25641</w:t>
    </w:r>
    <w:r>
      <w:tab/>
    </w:r>
    <w:r w:rsidRPr="004B3CCE">
      <w:rPr>
        <w:b/>
        <w:bCs/>
        <w:sz w:val="18"/>
      </w:rPr>
      <w:fldChar w:fldCharType="begin"/>
    </w:r>
    <w:r w:rsidRPr="004B3CCE">
      <w:rPr>
        <w:b/>
        <w:bCs/>
        <w:sz w:val="18"/>
      </w:rPr>
      <w:instrText xml:space="preserve"> PAGE  \* MERGEFORMAT </w:instrText>
    </w:r>
    <w:r w:rsidRPr="004B3CCE">
      <w:rPr>
        <w:b/>
        <w:bCs/>
        <w:sz w:val="18"/>
      </w:rPr>
      <w:fldChar w:fldCharType="separate"/>
    </w:r>
    <w:r w:rsidRPr="004B3CCE">
      <w:rPr>
        <w:b/>
        <w:bCs/>
        <w:noProof/>
        <w:sz w:val="18"/>
      </w:rPr>
      <w:t>3</w:t>
    </w:r>
    <w:r w:rsidRPr="004B3C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D483" w14:textId="77777777" w:rsidR="004B3CCE" w:rsidRDefault="004B3CCE">
    <w:pPr>
      <w:pStyle w:val="Footer"/>
      <w:rPr>
        <w:sz w:val="20"/>
      </w:rPr>
    </w:pPr>
    <w:r w:rsidRPr="0027112F">
      <w:rPr>
        <w:noProof/>
        <w:lang w:val="en-US"/>
      </w:rPr>
      <w:drawing>
        <wp:anchor distT="0" distB="0" distL="114300" distR="114300" simplePos="0" relativeHeight="251659264" behindDoc="0" locked="1" layoutInCell="1" allowOverlap="1" wp14:anchorId="464F01DB" wp14:editId="6006FE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027CE1" w14:textId="1E3D443A" w:rsidR="004B3CCE" w:rsidRPr="004B3CCE" w:rsidRDefault="004B3CCE" w:rsidP="004B3CCE">
    <w:pPr>
      <w:pStyle w:val="Footer"/>
      <w:tabs>
        <w:tab w:val="right" w:pos="7370"/>
      </w:tabs>
      <w:rPr>
        <w:sz w:val="20"/>
      </w:rPr>
    </w:pPr>
    <w:r>
      <w:rPr>
        <w:sz w:val="20"/>
      </w:rPr>
      <w:t>GE.22-25641  (E)</w:t>
    </w:r>
    <w:r>
      <w:rPr>
        <w:noProof/>
        <w:sz w:val="20"/>
      </w:rPr>
      <w:drawing>
        <wp:anchor distT="0" distB="0" distL="114300" distR="114300" simplePos="0" relativeHeight="251660288" behindDoc="0" locked="0" layoutInCell="1" allowOverlap="1" wp14:anchorId="076FD306" wp14:editId="67FF54B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7C5B">
      <w:rPr>
        <w:sz w:val="20"/>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5AF31" w14:textId="77777777" w:rsidR="00D40835" w:rsidRPr="00B903E5" w:rsidRDefault="00D40835" w:rsidP="00B903E5">
      <w:pPr>
        <w:tabs>
          <w:tab w:val="right" w:pos="2155"/>
        </w:tabs>
        <w:spacing w:after="80" w:line="240" w:lineRule="auto"/>
        <w:ind w:left="680"/>
      </w:pPr>
      <w:r>
        <w:rPr>
          <w:u w:val="single"/>
        </w:rPr>
        <w:tab/>
      </w:r>
    </w:p>
  </w:footnote>
  <w:footnote w:type="continuationSeparator" w:id="0">
    <w:p w14:paraId="72DAC4C2" w14:textId="77777777" w:rsidR="00D40835" w:rsidRPr="00B903E5" w:rsidRDefault="00D40835" w:rsidP="00B903E5">
      <w:pPr>
        <w:tabs>
          <w:tab w:val="right" w:pos="2155"/>
        </w:tabs>
        <w:spacing w:after="80" w:line="240" w:lineRule="auto"/>
        <w:ind w:left="680"/>
      </w:pPr>
      <w:r>
        <w:rPr>
          <w:u w:val="single"/>
        </w:rPr>
        <w:tab/>
      </w:r>
    </w:p>
  </w:footnote>
  <w:footnote w:id="1">
    <w:p w14:paraId="56CD20A4" w14:textId="77777777" w:rsidR="004B3CCE" w:rsidRPr="00826161" w:rsidRDefault="004B3CCE" w:rsidP="004B3CCE">
      <w:pPr>
        <w:pStyle w:val="FootnoteText"/>
      </w:pPr>
      <w:r>
        <w:tab/>
      </w:r>
      <w:r w:rsidRPr="00826161">
        <w:rPr>
          <w:sz w:val="20"/>
        </w:rPr>
        <w:t>*</w:t>
      </w:r>
      <w:r>
        <w:rPr>
          <w:sz w:val="20"/>
        </w:rPr>
        <w:tab/>
      </w:r>
      <w:r>
        <w:t>Adopted by the Committee at its 136</w:t>
      </w:r>
      <w:r w:rsidRPr="004F3F7F">
        <w:t>th</w:t>
      </w:r>
      <w:r w:rsidRPr="00DE531B">
        <w:t xml:space="preserve"> </w:t>
      </w:r>
      <w:r>
        <w:t>session (10 October–4 November 2022).</w:t>
      </w:r>
    </w:p>
  </w:footnote>
  <w:footnote w:id="2">
    <w:p w14:paraId="166A088D" w14:textId="4FD1792C" w:rsidR="004B3CCE" w:rsidRPr="00111F12" w:rsidRDefault="004B3CCE" w:rsidP="004B3CCE">
      <w:pPr>
        <w:pStyle w:val="FootnoteText"/>
        <w:widowControl w:val="0"/>
        <w:rPr>
          <w:lang w:val="en-US"/>
        </w:rPr>
      </w:pPr>
      <w:r>
        <w:tab/>
      </w:r>
      <w:r w:rsidRPr="00752F98">
        <w:rPr>
          <w:rStyle w:val="FootnoteReference"/>
        </w:rPr>
        <w:footnoteRef/>
      </w:r>
      <w:r>
        <w:tab/>
      </w:r>
      <w:hyperlink r:id="rId1" w:history="1">
        <w:r w:rsidR="007828C6">
          <w:rPr>
            <w:rStyle w:val="Hyperlink"/>
          </w:rPr>
          <w:t>CCPR/C/DZA/4</w:t>
        </w:r>
      </w:hyperlink>
      <w:r>
        <w:t>.</w:t>
      </w:r>
    </w:p>
  </w:footnote>
  <w:footnote w:id="3">
    <w:p w14:paraId="7CD6BBF2" w14:textId="3FC1CA6E" w:rsidR="004B3CCE" w:rsidRPr="00111F12" w:rsidRDefault="004B3CCE" w:rsidP="004B3CCE">
      <w:pPr>
        <w:pStyle w:val="FootnoteText"/>
        <w:widowControl w:val="0"/>
        <w:rPr>
          <w:lang w:val="en-US"/>
        </w:rPr>
      </w:pPr>
      <w:r>
        <w:tab/>
      </w:r>
      <w:r w:rsidRPr="00752F98">
        <w:rPr>
          <w:rStyle w:val="FootnoteReference"/>
        </w:rPr>
        <w:footnoteRef/>
      </w:r>
      <w:r>
        <w:tab/>
      </w:r>
      <w:hyperlink r:id="rId2" w:history="1">
        <w:r w:rsidR="007828C6">
          <w:rPr>
            <w:rStyle w:val="Hyperlink"/>
          </w:rPr>
          <w:t>CCPR/C/DZA/Q/4/Add.1</w:t>
        </w:r>
      </w:hyperlink>
      <w:r>
        <w:t>.</w:t>
      </w:r>
    </w:p>
  </w:footnote>
  <w:footnote w:id="4">
    <w:p w14:paraId="54F531FE" w14:textId="1F52B736" w:rsidR="004B3CCE" w:rsidRPr="00111F12" w:rsidRDefault="004B3CCE" w:rsidP="004B3CCE">
      <w:pPr>
        <w:pStyle w:val="FootnoteText"/>
        <w:widowControl w:val="0"/>
        <w:rPr>
          <w:lang w:val="en-US"/>
        </w:rPr>
      </w:pPr>
      <w:r>
        <w:tab/>
      </w:r>
      <w:r w:rsidRPr="00752F98">
        <w:rPr>
          <w:rStyle w:val="FootnoteReference"/>
        </w:rPr>
        <w:footnoteRef/>
      </w:r>
      <w:r>
        <w:tab/>
        <w:t xml:space="preserve">See </w:t>
      </w:r>
      <w:hyperlink r:id="rId3" w:history="1">
        <w:r w:rsidR="007828C6" w:rsidRPr="007828C6">
          <w:rPr>
            <w:rStyle w:val="Hyperlink"/>
          </w:rPr>
          <w:t>CCPR/C/SR.3494</w:t>
        </w:r>
      </w:hyperlink>
      <w:r>
        <w:t xml:space="preserve"> and </w:t>
      </w:r>
      <w:hyperlink r:id="rId4" w:history="1">
        <w:r w:rsidR="007828C6" w:rsidRPr="007828C6">
          <w:rPr>
            <w:rStyle w:val="Hyperlink"/>
          </w:rPr>
          <w:t>CCPR/C/SR.3495</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CCB4" w14:textId="77777777" w:rsidR="004B3CCE" w:rsidRDefault="004B3CCE" w:rsidP="004B3CCE">
    <w:pPr>
      <w:pStyle w:val="Header"/>
    </w:pPr>
    <w:r>
      <w:t>CCPR/C/136/2/Add.1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824F" w14:textId="77777777" w:rsidR="004B3CCE" w:rsidRDefault="004B3CCE" w:rsidP="004B3CCE">
    <w:pPr>
      <w:pStyle w:val="Header"/>
      <w:jc w:val="right"/>
    </w:pPr>
    <w:r>
      <w:t>CCPR/C/136/2/Add.1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835"/>
    <w:rsid w:val="00011E9E"/>
    <w:rsid w:val="00046E92"/>
    <w:rsid w:val="0006523D"/>
    <w:rsid w:val="000820E8"/>
    <w:rsid w:val="00131D7A"/>
    <w:rsid w:val="00165C15"/>
    <w:rsid w:val="00236AA8"/>
    <w:rsid w:val="00247E2C"/>
    <w:rsid w:val="002D6C53"/>
    <w:rsid w:val="002F5595"/>
    <w:rsid w:val="00334F6A"/>
    <w:rsid w:val="00342AC8"/>
    <w:rsid w:val="00385E50"/>
    <w:rsid w:val="003B4550"/>
    <w:rsid w:val="003D0B6C"/>
    <w:rsid w:val="00455765"/>
    <w:rsid w:val="00461253"/>
    <w:rsid w:val="00472FED"/>
    <w:rsid w:val="00481FE4"/>
    <w:rsid w:val="004B3CCE"/>
    <w:rsid w:val="005042C2"/>
    <w:rsid w:val="005D65FD"/>
    <w:rsid w:val="005E3E37"/>
    <w:rsid w:val="00671529"/>
    <w:rsid w:val="007268F9"/>
    <w:rsid w:val="007327A0"/>
    <w:rsid w:val="00752F98"/>
    <w:rsid w:val="007828C6"/>
    <w:rsid w:val="007C52B0"/>
    <w:rsid w:val="00817E57"/>
    <w:rsid w:val="00892361"/>
    <w:rsid w:val="008D3450"/>
    <w:rsid w:val="009411B4"/>
    <w:rsid w:val="00951934"/>
    <w:rsid w:val="009D0139"/>
    <w:rsid w:val="009D7C5B"/>
    <w:rsid w:val="009F5CDC"/>
    <w:rsid w:val="00A23459"/>
    <w:rsid w:val="00A775CF"/>
    <w:rsid w:val="00AE69AC"/>
    <w:rsid w:val="00B06045"/>
    <w:rsid w:val="00B53AA5"/>
    <w:rsid w:val="00B903E5"/>
    <w:rsid w:val="00C35A27"/>
    <w:rsid w:val="00C5401F"/>
    <w:rsid w:val="00CA1AEA"/>
    <w:rsid w:val="00D327D6"/>
    <w:rsid w:val="00D40835"/>
    <w:rsid w:val="00D6277A"/>
    <w:rsid w:val="00D87F8E"/>
    <w:rsid w:val="00DB065A"/>
    <w:rsid w:val="00DD17A2"/>
    <w:rsid w:val="00E02C2B"/>
    <w:rsid w:val="00E05879"/>
    <w:rsid w:val="00EB7E06"/>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9337A"/>
  <w15:docId w15:val="{6BCC19C7-1209-4C8C-9977-47F1B651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23GChar">
    <w:name w:val="_ H_2/3_G Char"/>
    <w:link w:val="H23G"/>
    <w:locked/>
    <w:rsid w:val="004B3CCE"/>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4B3CCE"/>
    <w:rPr>
      <w:rFonts w:ascii="Times New Roman" w:hAnsi="Times New Roman" w:cs="Times New Roman"/>
      <w:sz w:val="20"/>
      <w:szCs w:val="20"/>
    </w:rPr>
  </w:style>
  <w:style w:type="character" w:styleId="Hyperlink">
    <w:name w:val="Hyperlink"/>
    <w:basedOn w:val="DefaultParagraphFont"/>
    <w:uiPriority w:val="99"/>
    <w:unhideWhenUsed/>
    <w:rsid w:val="004B3CCE"/>
    <w:rPr>
      <w:color w:val="0000FF" w:themeColor="hyperlink"/>
      <w:u w:val="none"/>
    </w:rPr>
  </w:style>
  <w:style w:type="character" w:styleId="UnresolvedMention">
    <w:name w:val="Unresolved Mention"/>
    <w:basedOn w:val="DefaultParagraphFont"/>
    <w:uiPriority w:val="99"/>
    <w:semiHidden/>
    <w:unhideWhenUsed/>
    <w:rsid w:val="003D0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DZA%2f50161&amp;Lang=e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DZA%2f49194&amp;Lang=e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CPR%2fC%2fDZA%2fFCO%2f4&amp;Lang=en" TargetMode="External"/><Relationship Id="rId5" Type="http://schemas.openxmlformats.org/officeDocument/2006/relationships/webSettings" Target="webSettings.xml"/><Relationship Id="rId15" Type="http://schemas.openxmlformats.org/officeDocument/2006/relationships/hyperlink" Target="https://cihrs.org/algeria-marked-regression-in-human-rights-underscored-by-proliferation-of-baseless-terrorism-prosecutions/?lang=en" TargetMode="External"/><Relationship Id="rId10" Type="http://schemas.openxmlformats.org/officeDocument/2006/relationships/hyperlink" Target="https://tbinternet.ohchr.org/_layouts/15/treatybodyexternal/Download.aspx?symbolno=CCPR%2fC%2fLTU%2fCO%2f4&amp;Lang=e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DZA%2fCO%2f4&amp;Lang=en" TargetMode="External"/><Relationship Id="rId14" Type="http://schemas.openxmlformats.org/officeDocument/2006/relationships/hyperlink" Target="https://www.facebook.com/interieur.dz/posts/105945793445772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CPR/C/SR.3494" TargetMode="External"/><Relationship Id="rId2" Type="http://schemas.openxmlformats.org/officeDocument/2006/relationships/hyperlink" Target="http://undocs.org/en/CCPR/C/DZA/Q/4/Add.1" TargetMode="External"/><Relationship Id="rId1" Type="http://schemas.openxmlformats.org/officeDocument/2006/relationships/hyperlink" Target="http://undocs.org/en/CCPR/C/DZA/4" TargetMode="External"/><Relationship Id="rId4" Type="http://schemas.openxmlformats.org/officeDocument/2006/relationships/hyperlink" Target="https://undocs.org/en/CCPR/C/SR.34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3078</Words>
  <Characters>17545</Characters>
  <Application>Microsoft Office Word</Application>
  <DocSecurity>0</DocSecurity>
  <Lines>275</Lines>
  <Paragraphs>70</Paragraphs>
  <ScaleCrop>false</ScaleCrop>
  <HeadingPairs>
    <vt:vector size="2" baseType="variant">
      <vt:variant>
        <vt:lpstr>Title</vt:lpstr>
      </vt:variant>
      <vt:variant>
        <vt:i4>1</vt:i4>
      </vt:variant>
    </vt:vector>
  </HeadingPairs>
  <TitlesOfParts>
    <vt:vector size="1" baseType="lpstr">
      <vt:lpstr>CCPR/C/136/2/Add.1</vt:lpstr>
    </vt:vector>
  </TitlesOfParts>
  <Company>DCM</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CCPR/C/136/2/Add.1</dc:title>
  <dc:subject>2225641</dc:subject>
  <dc:creator>cg</dc:creator>
  <cp:keywords/>
  <dc:description/>
  <cp:lastModifiedBy>Maria Rosario Corazon Gatmaytan</cp:lastModifiedBy>
  <cp:revision>2</cp:revision>
  <dcterms:created xsi:type="dcterms:W3CDTF">2022-12-05T15:02:00Z</dcterms:created>
  <dcterms:modified xsi:type="dcterms:W3CDTF">2022-12-05T15:02:00Z</dcterms:modified>
</cp:coreProperties>
</file>