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61675553" w14:textId="77777777" w:rsidTr="00BC3629">
        <w:trPr>
          <w:trHeight w:hRule="exact" w:val="851"/>
        </w:trPr>
        <w:tc>
          <w:tcPr>
            <w:tcW w:w="142" w:type="dxa"/>
            <w:tcBorders>
              <w:bottom w:val="single" w:sz="4" w:space="0" w:color="auto"/>
            </w:tcBorders>
          </w:tcPr>
          <w:p w14:paraId="56B9107E" w14:textId="77777777" w:rsidR="002D5AAC" w:rsidRDefault="002D5AAC" w:rsidP="0005003E">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14BA8552" w14:textId="77777777" w:rsidR="002D5AAC" w:rsidRPr="00BD33EE" w:rsidRDefault="00DF71B9" w:rsidP="00BC3629">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52996292" w14:textId="136ABA73" w:rsidR="002D5AAC" w:rsidRDefault="0005003E" w:rsidP="0005003E">
            <w:pPr>
              <w:jc w:val="right"/>
            </w:pPr>
            <w:r w:rsidRPr="0005003E">
              <w:rPr>
                <w:sz w:val="40"/>
              </w:rPr>
              <w:t>CCPR</w:t>
            </w:r>
            <w:r>
              <w:t>/C/133/3/Add.3</w:t>
            </w:r>
          </w:p>
        </w:tc>
      </w:tr>
      <w:tr w:rsidR="002D5AAC" w:rsidRPr="0069234F" w14:paraId="053C2D9B" w14:textId="77777777" w:rsidTr="00BC3629">
        <w:trPr>
          <w:trHeight w:hRule="exact" w:val="2835"/>
        </w:trPr>
        <w:tc>
          <w:tcPr>
            <w:tcW w:w="1280" w:type="dxa"/>
            <w:gridSpan w:val="2"/>
            <w:tcBorders>
              <w:top w:val="single" w:sz="4" w:space="0" w:color="auto"/>
              <w:bottom w:val="single" w:sz="12" w:space="0" w:color="auto"/>
            </w:tcBorders>
          </w:tcPr>
          <w:p w14:paraId="54414CA2" w14:textId="77777777" w:rsidR="002D5AAC" w:rsidRDefault="002E5067" w:rsidP="00BC3629">
            <w:pPr>
              <w:spacing w:before="120"/>
              <w:jc w:val="center"/>
            </w:pPr>
            <w:r>
              <w:rPr>
                <w:noProof/>
                <w:lang w:val="fr-CH" w:eastAsia="fr-CH"/>
              </w:rPr>
              <w:drawing>
                <wp:inline distT="0" distB="0" distL="0" distR="0" wp14:anchorId="6B42A325" wp14:editId="7679A079">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825C9E0" w14:textId="77777777" w:rsidR="002D5AAC" w:rsidRPr="00033EE1" w:rsidRDefault="00DE32CD" w:rsidP="00BC3629">
            <w:pPr>
              <w:spacing w:before="120" w:line="360" w:lineRule="exact"/>
              <w:rPr>
                <w:b/>
                <w:sz w:val="34"/>
                <w:szCs w:val="34"/>
              </w:rPr>
            </w:pPr>
            <w:r w:rsidRPr="00C255FE">
              <w:rPr>
                <w:b/>
                <w:spacing w:val="-4"/>
                <w:sz w:val="34"/>
                <w:szCs w:val="34"/>
              </w:rPr>
              <w:t xml:space="preserve">Международный пакт </w:t>
            </w:r>
            <w:r w:rsidRPr="00C255FE">
              <w:rPr>
                <w:b/>
                <w:spacing w:val="-4"/>
                <w:sz w:val="34"/>
                <w:szCs w:val="34"/>
              </w:rPr>
              <w:br/>
              <w:t xml:space="preserve">о гражданских и политических </w:t>
            </w:r>
            <w:r w:rsidRPr="00C255FE">
              <w:rPr>
                <w:b/>
                <w:spacing w:val="-4"/>
                <w:sz w:val="34"/>
                <w:szCs w:val="34"/>
              </w:rPr>
              <w:br/>
              <w:t>правах</w:t>
            </w:r>
          </w:p>
        </w:tc>
        <w:tc>
          <w:tcPr>
            <w:tcW w:w="2819" w:type="dxa"/>
            <w:tcBorders>
              <w:top w:val="single" w:sz="4" w:space="0" w:color="auto"/>
              <w:bottom w:val="single" w:sz="12" w:space="0" w:color="auto"/>
            </w:tcBorders>
          </w:tcPr>
          <w:p w14:paraId="4C03A0BA" w14:textId="77777777" w:rsidR="002D5AAC" w:rsidRPr="0069234F" w:rsidRDefault="0005003E" w:rsidP="00BC3629">
            <w:pPr>
              <w:spacing w:before="240"/>
              <w:rPr>
                <w:lang w:val="en-US"/>
              </w:rPr>
            </w:pPr>
            <w:r w:rsidRPr="0069234F">
              <w:rPr>
                <w:lang w:val="en-US"/>
              </w:rPr>
              <w:t>Distr.: General</w:t>
            </w:r>
          </w:p>
          <w:p w14:paraId="200507AC" w14:textId="77777777" w:rsidR="0005003E" w:rsidRPr="0069234F" w:rsidRDefault="0005003E" w:rsidP="0005003E">
            <w:pPr>
              <w:spacing w:line="240" w:lineRule="exact"/>
              <w:rPr>
                <w:lang w:val="en-US"/>
              </w:rPr>
            </w:pPr>
            <w:r w:rsidRPr="0069234F">
              <w:rPr>
                <w:lang w:val="en-US"/>
              </w:rPr>
              <w:t>17 December 2021</w:t>
            </w:r>
          </w:p>
          <w:p w14:paraId="21CDCEF0" w14:textId="77777777" w:rsidR="0005003E" w:rsidRPr="0069234F" w:rsidRDefault="0005003E" w:rsidP="0005003E">
            <w:pPr>
              <w:spacing w:line="240" w:lineRule="exact"/>
              <w:rPr>
                <w:lang w:val="en-US"/>
              </w:rPr>
            </w:pPr>
            <w:r w:rsidRPr="0069234F">
              <w:rPr>
                <w:lang w:val="en-US"/>
              </w:rPr>
              <w:t>Russian</w:t>
            </w:r>
          </w:p>
          <w:p w14:paraId="0CBE8D37" w14:textId="62E7E97D" w:rsidR="0005003E" w:rsidRPr="0069234F" w:rsidRDefault="0005003E" w:rsidP="0005003E">
            <w:pPr>
              <w:spacing w:line="240" w:lineRule="exact"/>
              <w:rPr>
                <w:lang w:val="en-US"/>
              </w:rPr>
            </w:pPr>
            <w:r w:rsidRPr="0069234F">
              <w:rPr>
                <w:lang w:val="en-US"/>
              </w:rPr>
              <w:t>Original: English</w:t>
            </w:r>
          </w:p>
        </w:tc>
      </w:tr>
    </w:tbl>
    <w:p w14:paraId="70AE56BE" w14:textId="191BBC29" w:rsidR="0005003E" w:rsidRPr="0005003E" w:rsidRDefault="0005003E" w:rsidP="0005003E">
      <w:pPr>
        <w:spacing w:before="120"/>
        <w:rPr>
          <w:sz w:val="24"/>
          <w:szCs w:val="24"/>
        </w:rPr>
      </w:pPr>
      <w:r w:rsidRPr="0005003E">
        <w:rPr>
          <w:b/>
          <w:bCs/>
          <w:sz w:val="24"/>
          <w:szCs w:val="24"/>
        </w:rPr>
        <w:t>Комитет по правам человека</w:t>
      </w:r>
    </w:p>
    <w:p w14:paraId="611281C5" w14:textId="117FD3DA" w:rsidR="0005003E" w:rsidRPr="00B054E1" w:rsidRDefault="0005003E" w:rsidP="0005003E">
      <w:pPr>
        <w:pStyle w:val="HChG"/>
      </w:pPr>
      <w:r>
        <w:tab/>
      </w:r>
      <w:r>
        <w:tab/>
      </w:r>
      <w:r>
        <w:rPr>
          <w:bCs/>
        </w:rPr>
        <w:t>Доклад о последующей деятельности в связи с</w:t>
      </w:r>
      <w:r>
        <w:rPr>
          <w:bCs/>
          <w:lang w:val="en-US"/>
        </w:rPr>
        <w:t> </w:t>
      </w:r>
      <w:r>
        <w:rPr>
          <w:bCs/>
        </w:rPr>
        <w:t>заключительными замечаниями Комитета по правам человека</w:t>
      </w:r>
      <w:r w:rsidRPr="0005003E">
        <w:rPr>
          <w:rStyle w:val="aa"/>
          <w:b w:val="0"/>
          <w:bCs/>
          <w:sz w:val="20"/>
          <w:vertAlign w:val="baseline"/>
        </w:rPr>
        <w:footnoteReference w:customMarkFollows="1" w:id="1"/>
        <w:t>*</w:t>
      </w:r>
      <w:bookmarkStart w:id="0" w:name="_Toc506807534"/>
      <w:bookmarkEnd w:id="0"/>
    </w:p>
    <w:p w14:paraId="1E093DD5" w14:textId="77777777" w:rsidR="0005003E" w:rsidRPr="00B054E1" w:rsidRDefault="0005003E" w:rsidP="0005003E">
      <w:pPr>
        <w:pStyle w:val="H23G"/>
      </w:pPr>
      <w:r>
        <w:tab/>
      </w:r>
      <w:r>
        <w:tab/>
      </w:r>
      <w:r>
        <w:rPr>
          <w:bCs/>
        </w:rPr>
        <w:t>Добавление</w:t>
      </w:r>
    </w:p>
    <w:p w14:paraId="6395D0FE" w14:textId="3BD616FB" w:rsidR="0005003E" w:rsidRDefault="0005003E" w:rsidP="0005003E">
      <w:pPr>
        <w:pStyle w:val="H1G"/>
      </w:pPr>
      <w:r>
        <w:tab/>
      </w:r>
      <w:r>
        <w:tab/>
        <w:t>Оценка информации о последующей деятельности в связи с</w:t>
      </w:r>
      <w:r>
        <w:rPr>
          <w:lang w:val="en-US"/>
        </w:rPr>
        <w:t> </w:t>
      </w:r>
      <w:r>
        <w:t>заключительными замечаниями по Иордании</w:t>
      </w:r>
    </w:p>
    <w:tbl>
      <w:tblPr>
        <w:tblW w:w="6810" w:type="dxa"/>
        <w:tblInd w:w="1701" w:type="dxa"/>
        <w:tblLayout w:type="fixed"/>
        <w:tblCellMar>
          <w:left w:w="0" w:type="dxa"/>
          <w:right w:w="0" w:type="dxa"/>
        </w:tblCellMar>
        <w:tblLook w:val="01E0" w:firstRow="1" w:lastRow="1" w:firstColumn="1" w:lastColumn="1" w:noHBand="0" w:noVBand="0"/>
      </w:tblPr>
      <w:tblGrid>
        <w:gridCol w:w="2936"/>
        <w:gridCol w:w="3874"/>
      </w:tblGrid>
      <w:tr w:rsidR="0069234F" w:rsidRPr="0064331C" w14:paraId="52B4CBF6" w14:textId="77777777" w:rsidTr="0069234F">
        <w:tc>
          <w:tcPr>
            <w:tcW w:w="2936" w:type="dxa"/>
            <w:hideMark/>
          </w:tcPr>
          <w:p w14:paraId="25C4F4F0" w14:textId="08EFB7FD" w:rsidR="0069234F" w:rsidRPr="0064331C" w:rsidRDefault="0069234F">
            <w:pPr>
              <w:spacing w:after="120"/>
              <w:ind w:left="35"/>
              <w:rPr>
                <w:i/>
                <w:spacing w:val="4"/>
                <w:w w:val="103"/>
                <w:kern w:val="14"/>
              </w:rPr>
            </w:pPr>
            <w:r>
              <w:rPr>
                <w:i/>
                <w:iCs/>
              </w:rPr>
              <w:t>Заключительные замечания</w:t>
            </w:r>
            <w:r>
              <w:rPr>
                <w:i/>
                <w:iCs/>
              </w:rPr>
              <w:br/>
            </w:r>
            <w:r>
              <w:rPr>
                <w:i/>
                <w:iCs/>
              </w:rPr>
              <w:t>(</w:t>
            </w:r>
            <w:r>
              <w:rPr>
                <w:i/>
                <w:iCs/>
              </w:rPr>
              <w:t>сто двадцать первая</w:t>
            </w:r>
            <w:r>
              <w:rPr>
                <w:i/>
                <w:iCs/>
              </w:rPr>
              <w:t xml:space="preserve"> сессия):</w:t>
            </w:r>
          </w:p>
        </w:tc>
        <w:tc>
          <w:tcPr>
            <w:tcW w:w="3874" w:type="dxa"/>
          </w:tcPr>
          <w:p w14:paraId="0FF55B1B" w14:textId="4BAB11C4" w:rsidR="0069234F" w:rsidRPr="0064331C" w:rsidRDefault="0069234F" w:rsidP="0069234F">
            <w:pPr>
              <w:spacing w:after="120"/>
            </w:pPr>
            <w:hyperlink r:id="rId8" w:history="1">
              <w:r w:rsidRPr="0069234F">
                <w:rPr>
                  <w:rStyle w:val="af1"/>
                </w:rPr>
                <w:t>CCPR/C/JOR/CO/5</w:t>
              </w:r>
            </w:hyperlink>
            <w:r>
              <w:t>, 6 и 7 ноября 2017 года</w:t>
            </w:r>
          </w:p>
        </w:tc>
      </w:tr>
      <w:tr w:rsidR="0069234F" w:rsidRPr="0064331C" w14:paraId="40CB94E4" w14:textId="77777777" w:rsidTr="0069234F">
        <w:tc>
          <w:tcPr>
            <w:tcW w:w="2936" w:type="dxa"/>
          </w:tcPr>
          <w:p w14:paraId="7D017C32" w14:textId="4623A765" w:rsidR="0069234F" w:rsidRPr="0064331C" w:rsidRDefault="0069234F">
            <w:pPr>
              <w:spacing w:after="120"/>
              <w:ind w:left="35"/>
              <w:rPr>
                <w:i/>
              </w:rPr>
            </w:pPr>
            <w:r>
              <w:rPr>
                <w:i/>
                <w:iCs/>
              </w:rPr>
              <w:t xml:space="preserve">Пункты, предусматривающие </w:t>
            </w:r>
            <w:r>
              <w:rPr>
                <w:i/>
                <w:iCs/>
              </w:rPr>
              <w:br/>
              <w:t>последующую деятельность:</w:t>
            </w:r>
          </w:p>
        </w:tc>
        <w:tc>
          <w:tcPr>
            <w:tcW w:w="3874" w:type="dxa"/>
          </w:tcPr>
          <w:p w14:paraId="3D069695" w14:textId="19E19E7A" w:rsidR="0069234F" w:rsidRPr="0064331C" w:rsidRDefault="0069234F">
            <w:pPr>
              <w:spacing w:after="120"/>
            </w:pPr>
            <w:r>
              <w:t>11, 19 и 25</w:t>
            </w:r>
          </w:p>
        </w:tc>
      </w:tr>
      <w:tr w:rsidR="0069234F" w:rsidRPr="0064331C" w14:paraId="1E18D8FF" w14:textId="77777777" w:rsidTr="0069234F">
        <w:tc>
          <w:tcPr>
            <w:tcW w:w="2936" w:type="dxa"/>
          </w:tcPr>
          <w:p w14:paraId="5D1BC299" w14:textId="3730868D" w:rsidR="0069234F" w:rsidRPr="0064331C" w:rsidRDefault="0069234F" w:rsidP="0069234F">
            <w:pPr>
              <w:spacing w:after="120"/>
              <w:ind w:left="35"/>
              <w:rPr>
                <w:i/>
              </w:rPr>
            </w:pPr>
            <w:r w:rsidRPr="0069234F">
              <w:rPr>
                <w:i/>
              </w:rPr>
              <w:t>Информация, полученная от государства-участника:</w:t>
            </w:r>
          </w:p>
        </w:tc>
        <w:tc>
          <w:tcPr>
            <w:tcW w:w="3874" w:type="dxa"/>
          </w:tcPr>
          <w:p w14:paraId="0D054446" w14:textId="03EFE4C5" w:rsidR="0069234F" w:rsidRPr="0064331C" w:rsidRDefault="0069234F">
            <w:pPr>
              <w:spacing w:after="120"/>
            </w:pPr>
            <w:hyperlink r:id="rId9" w:history="1">
              <w:r w:rsidRPr="0069234F">
                <w:rPr>
                  <w:rStyle w:val="af1"/>
                </w:rPr>
                <w:t>CCPR/C/JOR/FCO/5</w:t>
              </w:r>
            </w:hyperlink>
            <w:r>
              <w:t>, 23 декабря 2020 года</w:t>
            </w:r>
          </w:p>
        </w:tc>
      </w:tr>
      <w:tr w:rsidR="0069234F" w:rsidRPr="0064331C" w14:paraId="5E5123E4" w14:textId="77777777" w:rsidTr="0069234F">
        <w:tc>
          <w:tcPr>
            <w:tcW w:w="2936" w:type="dxa"/>
          </w:tcPr>
          <w:p w14:paraId="3A495E84" w14:textId="0D82496C" w:rsidR="0069234F" w:rsidRPr="0064331C" w:rsidRDefault="0069234F" w:rsidP="0069234F">
            <w:pPr>
              <w:spacing w:after="120"/>
              <w:ind w:left="35"/>
              <w:rPr>
                <w:i/>
              </w:rPr>
            </w:pPr>
            <w:r w:rsidRPr="0069234F">
              <w:rPr>
                <w:i/>
              </w:rPr>
              <w:t>Информация от неправительственных организаций:</w:t>
            </w:r>
            <w:r w:rsidRPr="0069234F">
              <w:rPr>
                <w:i/>
              </w:rPr>
              <w:tab/>
            </w:r>
          </w:p>
        </w:tc>
        <w:tc>
          <w:tcPr>
            <w:tcW w:w="3874" w:type="dxa"/>
          </w:tcPr>
          <w:p w14:paraId="2BBBCA6B" w14:textId="65603D33" w:rsidR="0069234F" w:rsidRPr="0064331C" w:rsidRDefault="0069234F">
            <w:pPr>
              <w:spacing w:after="120"/>
            </w:pPr>
            <w:hyperlink r:id="rId10" w:history="1">
              <w:r>
                <w:rPr>
                  <w:rStyle w:val="af1"/>
                </w:rPr>
                <w:t xml:space="preserve">Центр </w:t>
              </w:r>
              <w:proofErr w:type="spellStart"/>
              <w:r>
                <w:rPr>
                  <w:rStyle w:val="af1"/>
                </w:rPr>
                <w:t>р</w:t>
              </w:r>
              <w:r w:rsidRPr="00350083">
                <w:rPr>
                  <w:rStyle w:val="af1"/>
                </w:rPr>
                <w:t>a</w:t>
              </w:r>
              <w:r>
                <w:rPr>
                  <w:rStyle w:val="af1"/>
                </w:rPr>
                <w:t>звития</w:t>
              </w:r>
              <w:proofErr w:type="spellEnd"/>
              <w:r>
                <w:rPr>
                  <w:rStyle w:val="af1"/>
                </w:rPr>
                <w:t xml:space="preserve"> </w:t>
              </w:r>
              <w:proofErr w:type="spellStart"/>
              <w:r>
                <w:rPr>
                  <w:rStyle w:val="af1"/>
                </w:rPr>
                <w:t>гр</w:t>
              </w:r>
              <w:r w:rsidRPr="00350083">
                <w:rPr>
                  <w:rStyle w:val="af1"/>
                </w:rPr>
                <w:t>a</w:t>
              </w:r>
              <w:r>
                <w:rPr>
                  <w:rStyle w:val="af1"/>
                </w:rPr>
                <w:t>жданского</w:t>
              </w:r>
              <w:proofErr w:type="spellEnd"/>
              <w:r>
                <w:rPr>
                  <w:rStyle w:val="af1"/>
                </w:rPr>
                <w:t xml:space="preserve"> </w:t>
              </w:r>
              <w:proofErr w:type="spellStart"/>
              <w:r w:rsidRPr="00350083">
                <w:rPr>
                  <w:rStyle w:val="af1"/>
                </w:rPr>
                <w:t>o</w:t>
              </w:r>
              <w:r>
                <w:rPr>
                  <w:rStyle w:val="af1"/>
                </w:rPr>
                <w:t>бщества</w:t>
              </w:r>
              <w:proofErr w:type="spellEnd"/>
              <w:r>
                <w:rPr>
                  <w:rStyle w:val="af1"/>
                </w:rPr>
                <w:t xml:space="preserve"> «Аль-Хайят»</w:t>
              </w:r>
            </w:hyperlink>
            <w:r>
              <w:t>,</w:t>
            </w:r>
            <w:r>
              <w:t xml:space="preserve"> </w:t>
            </w:r>
            <w:r>
              <w:t>август 2021 года</w:t>
            </w:r>
          </w:p>
        </w:tc>
      </w:tr>
      <w:tr w:rsidR="0069234F" w:rsidRPr="0064331C" w14:paraId="30E28A58" w14:textId="77777777" w:rsidTr="0069234F">
        <w:tc>
          <w:tcPr>
            <w:tcW w:w="2936" w:type="dxa"/>
          </w:tcPr>
          <w:p w14:paraId="69DAC46E" w14:textId="5C518021" w:rsidR="0069234F" w:rsidRPr="0064331C" w:rsidRDefault="0069234F">
            <w:pPr>
              <w:spacing w:after="120"/>
              <w:ind w:left="35"/>
              <w:rPr>
                <w:i/>
              </w:rPr>
            </w:pPr>
            <w:r>
              <w:rPr>
                <w:i/>
                <w:iCs/>
              </w:rPr>
              <w:t>Оценка Комитета:</w:t>
            </w:r>
          </w:p>
        </w:tc>
        <w:tc>
          <w:tcPr>
            <w:tcW w:w="3874" w:type="dxa"/>
          </w:tcPr>
          <w:p w14:paraId="08AEB1AA" w14:textId="335704D1" w:rsidR="0069234F" w:rsidRPr="0064331C" w:rsidRDefault="0069234F">
            <w:pPr>
              <w:spacing w:after="120"/>
            </w:pPr>
            <w:r w:rsidRPr="0069234F">
              <w:t>требуется дополнительная информация по пунктам 11 [B][A], 19 [C][B] и 25 [C]</w:t>
            </w:r>
          </w:p>
        </w:tc>
      </w:tr>
    </w:tbl>
    <w:p w14:paraId="0C46CEDC" w14:textId="77777777" w:rsidR="0005003E" w:rsidRPr="00B054E1" w:rsidRDefault="0005003E" w:rsidP="0005003E">
      <w:pPr>
        <w:pStyle w:val="H23G"/>
      </w:pPr>
      <w:r>
        <w:tab/>
      </w:r>
      <w:r>
        <w:tab/>
      </w:r>
      <w:r>
        <w:rPr>
          <w:bCs/>
        </w:rPr>
        <w:t>Пункт 11: Насилие в отношении женщин, включая насилие в семье</w:t>
      </w:r>
    </w:p>
    <w:p w14:paraId="137A93D0" w14:textId="77777777" w:rsidR="0005003E" w:rsidRPr="00B054E1" w:rsidRDefault="0005003E" w:rsidP="0005003E">
      <w:pPr>
        <w:pStyle w:val="SingleTxtG"/>
        <w:rPr>
          <w:b/>
        </w:rPr>
      </w:pPr>
      <w:r>
        <w:tab/>
      </w:r>
      <w:r>
        <w:rPr>
          <w:b/>
          <w:bCs/>
        </w:rPr>
        <w:t>Государству-участнику следует:</w:t>
      </w:r>
    </w:p>
    <w:p w14:paraId="60855FF1" w14:textId="5F96A571" w:rsidR="0005003E" w:rsidRPr="002C210C" w:rsidRDefault="009738F1" w:rsidP="0005003E">
      <w:pPr>
        <w:pStyle w:val="SingleTxtG"/>
        <w:rPr>
          <w:b/>
          <w:bCs/>
          <w:lang w:val="en-US"/>
        </w:rPr>
      </w:pPr>
      <w:r>
        <w:rPr>
          <w:b/>
          <w:bCs/>
        </w:rPr>
        <w:tab/>
      </w:r>
      <w:r w:rsidR="0005003E" w:rsidRPr="009738F1">
        <w:rPr>
          <w:b/>
          <w:bCs/>
        </w:rPr>
        <w:t>a)</w:t>
      </w:r>
      <w:r w:rsidR="0005003E" w:rsidRPr="009738F1">
        <w:rPr>
          <w:b/>
          <w:bCs/>
        </w:rPr>
        <w:tab/>
        <w:t>укрепить нормативно-правовую базу защиты женщин от насилия в семье, в частности путем внесения поправки в статью 292 Уголовного кодекса для установления уголовной ответственности за изнасилование в браке и изъятия положений о смягчающих обстоятельствах для преступлений, совершаемых в защиту чести;</w:t>
      </w:r>
    </w:p>
    <w:p w14:paraId="77BE9A96" w14:textId="3155D850" w:rsidR="0005003E" w:rsidRPr="009738F1" w:rsidRDefault="009738F1" w:rsidP="0005003E">
      <w:pPr>
        <w:pStyle w:val="SingleTxtG"/>
        <w:rPr>
          <w:b/>
          <w:bCs/>
        </w:rPr>
      </w:pPr>
      <w:r>
        <w:rPr>
          <w:b/>
          <w:bCs/>
        </w:rPr>
        <w:tab/>
      </w:r>
      <w:r w:rsidR="0005003E" w:rsidRPr="009738F1">
        <w:rPr>
          <w:b/>
          <w:bCs/>
        </w:rPr>
        <w:t>b)</w:t>
      </w:r>
      <w:r w:rsidR="0005003E" w:rsidRPr="009738F1">
        <w:rPr>
          <w:b/>
          <w:bCs/>
        </w:rPr>
        <w:tab/>
        <w:t>пересмотреть свою политику в отношении такой меры, как заключение под стражу в целях защиты, и принять все надлежащие меры, чтобы обеспечить женщинам, пытающимся укрыться от насилия в семье, доступ к приютам и поддержке без ограничения их свободы;</w:t>
      </w:r>
    </w:p>
    <w:p w14:paraId="663D7070" w14:textId="6528C47F" w:rsidR="0005003E" w:rsidRPr="00B054E1" w:rsidRDefault="009738F1" w:rsidP="0005003E">
      <w:pPr>
        <w:pStyle w:val="SingleTxtG"/>
        <w:rPr>
          <w:b/>
        </w:rPr>
      </w:pPr>
      <w:r>
        <w:rPr>
          <w:b/>
          <w:bCs/>
        </w:rPr>
        <w:tab/>
      </w:r>
      <w:r w:rsidR="0005003E" w:rsidRPr="009738F1">
        <w:rPr>
          <w:b/>
          <w:bCs/>
        </w:rPr>
        <w:t>c)</w:t>
      </w:r>
      <w:r w:rsidR="0005003E" w:rsidRPr="009738F1">
        <w:rPr>
          <w:b/>
          <w:bCs/>
        </w:rPr>
        <w:tab/>
      </w:r>
      <w:r w:rsidR="0005003E">
        <w:rPr>
          <w:b/>
          <w:bCs/>
        </w:rPr>
        <w:t xml:space="preserve">разработать и осуществлять более эффективные программы профессиональной подготовки для сотрудников правоохранительных органов, судей, прокуроров и адвокатов, а также для сотрудников административного </w:t>
      </w:r>
      <w:r w:rsidR="0005003E">
        <w:rPr>
          <w:b/>
          <w:bCs/>
        </w:rPr>
        <w:lastRenderedPageBreak/>
        <w:t>департамента губернаторов, занимающихся вопросами защиты семьи, а кроме того</w:t>
      </w:r>
      <w:r>
        <w:rPr>
          <w:b/>
          <w:bCs/>
        </w:rPr>
        <w:t>,</w:t>
      </w:r>
      <w:r w:rsidR="0005003E">
        <w:rPr>
          <w:b/>
          <w:bCs/>
        </w:rPr>
        <w:t xml:space="preserve"> оказывать помощь жертвам насилия в семье;</w:t>
      </w:r>
    </w:p>
    <w:p w14:paraId="5E0F73F1" w14:textId="68072F60" w:rsidR="0005003E" w:rsidRPr="00B054E1" w:rsidRDefault="009738F1" w:rsidP="0005003E">
      <w:pPr>
        <w:pStyle w:val="SingleTxtG"/>
        <w:rPr>
          <w:b/>
        </w:rPr>
      </w:pPr>
      <w:r>
        <w:tab/>
      </w:r>
      <w:r w:rsidR="0005003E" w:rsidRPr="009738F1">
        <w:rPr>
          <w:b/>
          <w:bCs/>
        </w:rPr>
        <w:t>d)</w:t>
      </w:r>
      <w:r w:rsidR="0005003E" w:rsidRPr="009738F1">
        <w:rPr>
          <w:b/>
          <w:bCs/>
        </w:rPr>
        <w:tab/>
        <w:t>п</w:t>
      </w:r>
      <w:r w:rsidR="0005003E">
        <w:rPr>
          <w:b/>
          <w:bCs/>
        </w:rPr>
        <w:t>роводить информационно-просветительские кампании по борьбе с насилием в отношении женщин, включая насилие в семье, провести исследования для изучения коренных причин насилия в отношении женщин и использовать их результаты как основу для совершенствования усилий по повышению информированности в целях предотвращения и искоренения насилия в отношении женщин.</w:t>
      </w:r>
    </w:p>
    <w:p w14:paraId="11DFDD0A" w14:textId="77777777" w:rsidR="0005003E" w:rsidRPr="00B054E1" w:rsidRDefault="0005003E" w:rsidP="009738F1">
      <w:pPr>
        <w:pStyle w:val="H23G"/>
      </w:pPr>
      <w:r>
        <w:tab/>
      </w:r>
      <w:r>
        <w:tab/>
        <w:t>Резюме ответа государства-участника</w:t>
      </w:r>
    </w:p>
    <w:p w14:paraId="542F7F1B" w14:textId="53E33E7B" w:rsidR="0005003E" w:rsidRPr="00B054E1" w:rsidRDefault="009738F1" w:rsidP="0005003E">
      <w:pPr>
        <w:pStyle w:val="SingleTxtG"/>
      </w:pPr>
      <w:r>
        <w:tab/>
      </w:r>
      <w:r w:rsidR="0005003E">
        <w:t>a)</w:t>
      </w:r>
      <w:r w:rsidR="0005003E">
        <w:tab/>
        <w:t>В 2017 году государство-участник внесло поправки в Уголовный кодекс, предусматривающие наказание за все формы сексуальных домогательств по статье</w:t>
      </w:r>
      <w:r>
        <w:t> </w:t>
      </w:r>
      <w:r w:rsidR="0005003E">
        <w:t>306, исключение из статьи 98 положения, позволяющего считать «приступ ярости» смягчающим обстоятельством для «преступления в защиту чести», и введение более суровых наказаний за насилие в отношении женщин по статье 99.</w:t>
      </w:r>
    </w:p>
    <w:p w14:paraId="3D2C0AAC" w14:textId="4FE0E1B4" w:rsidR="0005003E" w:rsidRPr="00B054E1" w:rsidRDefault="009738F1" w:rsidP="0005003E">
      <w:pPr>
        <w:pStyle w:val="SingleTxtG"/>
      </w:pPr>
      <w:r>
        <w:tab/>
      </w:r>
      <w:r w:rsidR="0005003E">
        <w:t>b)</w:t>
      </w:r>
      <w:r w:rsidR="0005003E">
        <w:tab/>
        <w:t>Государство-участник открыло центр «</w:t>
      </w:r>
      <w:proofErr w:type="spellStart"/>
      <w:r w:rsidR="0005003E">
        <w:t>Амна</w:t>
      </w:r>
      <w:proofErr w:type="spellEnd"/>
      <w:r w:rsidR="0005003E">
        <w:t>» в 2018 году в качестве альтернативы предупредительному заключению. Этот центр предоставляет жилье, питание, одежду и вспомогательные услуги. Он также предлагает программы обучения и реабилитации, психологическую поддержку, медицинские услуги, консультирование и юридическую помощь. Департамент защиты семьи принимает все необходимые меры для обеспечения доступа жертв домашнего насилия к приюту. Директор Департамента общественной безопасности распорядился провести реструктуризацию Департамента защиты семьи и пересмотреть законы, положения и инструкции, касающиеся защиты женщин и детей.</w:t>
      </w:r>
    </w:p>
    <w:p w14:paraId="5DA2367C" w14:textId="013F9B40" w:rsidR="0005003E" w:rsidRPr="00B054E1" w:rsidRDefault="009738F1" w:rsidP="0005003E">
      <w:pPr>
        <w:pStyle w:val="SingleTxtG"/>
      </w:pPr>
      <w:r>
        <w:tab/>
      </w:r>
      <w:r w:rsidR="0005003E">
        <w:t>c)</w:t>
      </w:r>
      <w:r w:rsidR="0005003E">
        <w:tab/>
        <w:t>Судебный совет организовал для членов судейского корпуса обучение по ряду вопросов, в том числе по вопросам домашнего насилия и торговли людьми. Представители судебной системы также прошли обучение по вопросам защиты в делах о домашнем насилии. В 2018, 2019 и 2020 годах Центр защиты семьи проводил для значительного числа своих сотрудников учебные курсы и семинары по целому ряду тем, касающихся насилия в отношении женщин. Государство-участник сотрудничает с международными организациями, включая Детский фонд Организации Объединенных Наций (ЮНИСЕФ), Управление Верховного комиссара Организации Объединенных Наций по делам беженцев (УВКБ ООН) и Фонд Организации Объединенных Наций в области народонаселения, с целью разработки руководства по различным вопросам, касающимся насилия в отношении женщин. Разрабатывается система защиты лиц, которые сообщают о случаях насилия в семье или становятся свидетелями таких случаев.</w:t>
      </w:r>
    </w:p>
    <w:p w14:paraId="33111042" w14:textId="6526EBD0" w:rsidR="0005003E" w:rsidRPr="00B054E1" w:rsidRDefault="009738F1" w:rsidP="0005003E">
      <w:pPr>
        <w:pStyle w:val="SingleTxtG"/>
      </w:pPr>
      <w:r>
        <w:tab/>
      </w:r>
      <w:r w:rsidR="0005003E">
        <w:t>d)</w:t>
      </w:r>
      <w:r w:rsidR="0005003E">
        <w:tab/>
        <w:t xml:space="preserve">Государство-участник организовало ряд информационно-просветительских мероприятий по борьбе с насилием в отношении женщин, включая привлечение социальных сетей и проведение 754 лекций для 37 750 человек во всех мухафазах. Шаги, предпринятые за отчетный период, включают ежегодное проведение ежегодных кампаний «16 дней активных действий против гендерного насилия», а в 2018 году </w:t>
      </w:r>
      <w:r>
        <w:t>—</w:t>
      </w:r>
      <w:r w:rsidR="0005003E">
        <w:t xml:space="preserve"> кампании под названием «Говорите ... домогательство </w:t>
      </w:r>
      <w:r>
        <w:t>—</w:t>
      </w:r>
      <w:r w:rsidR="0005003E">
        <w:t xml:space="preserve"> это преступление». Согласно проведенным государством-участником оценкам, кампании значительно повысили осведомленность о сексуальных домогательствах и имеющихся средствах правовой защиты. Департамент защиты семьи внес свой вклад в многочисленные исследования по вопросам насилия в отношении женщин, проведенные партнерами и исследователями.</w:t>
      </w:r>
    </w:p>
    <w:p w14:paraId="30A98C51" w14:textId="77777777" w:rsidR="0005003E" w:rsidRPr="00B054E1" w:rsidRDefault="0005003E" w:rsidP="0005003E">
      <w:pPr>
        <w:pStyle w:val="H23G"/>
      </w:pPr>
      <w:r>
        <w:tab/>
      </w:r>
      <w:r>
        <w:tab/>
      </w:r>
      <w:r>
        <w:rPr>
          <w:bCs/>
        </w:rPr>
        <w:t>Резюме информации, представленной заинтересованной стороной</w:t>
      </w:r>
    </w:p>
    <w:p w14:paraId="7378DF2E" w14:textId="77777777" w:rsidR="0005003E" w:rsidRPr="00B054E1" w:rsidRDefault="0005003E" w:rsidP="0005003E">
      <w:pPr>
        <w:pStyle w:val="H4G"/>
      </w:pPr>
      <w:r>
        <w:tab/>
      </w:r>
      <w:r>
        <w:tab/>
      </w:r>
      <w:r>
        <w:rPr>
          <w:iCs/>
        </w:rPr>
        <w:t>Центр развития гражданского общества «Аль-Хайят»</w:t>
      </w:r>
    </w:p>
    <w:p w14:paraId="7F16ED28" w14:textId="77777777" w:rsidR="0005003E" w:rsidRPr="00B054E1" w:rsidRDefault="0005003E" w:rsidP="0005003E">
      <w:pPr>
        <w:pStyle w:val="SingleTxtG"/>
      </w:pPr>
      <w:r>
        <w:tab/>
        <w:t xml:space="preserve">В 2017 году в Уголовный кодекс были внесены поправки, предусматривающие наказание за все формы сексуальных домогательств по статье 306. В статью 98 были внесены поправки, гарантирующие неприменение смягчающих обстоятельств к лицам, совершившим преступление «в защиту чести», если деяние совершено в </w:t>
      </w:r>
      <w:r>
        <w:lastRenderedPageBreak/>
        <w:t>отношении женщины в порыве ярости. Кроме того, в статью 99 были внесены поправки, устанавливающие более суровые наказания за эти преступления. Несмотря на эти изменения, распространенность насилия в отношении женщин не уменьшилась. Несколько организаций гражданского общества сообщили об увеличении числа случаев домашнего насилия в отношении женщин во время пандемии коронавирусного заболевания (COVID-19), а 12 мая 2020 года Департамент защиты семьи объявил, что в первый месяц действия комендантского часа в Иордании число случаев домашнего насилия увеличилось на 33 % по сравнению с аналогичным периодом 2019 года. Поправки к закону применяются судами неэффективно.</w:t>
      </w:r>
    </w:p>
    <w:p w14:paraId="2D9504B4" w14:textId="77777777" w:rsidR="0005003E" w:rsidRPr="00B054E1" w:rsidRDefault="0005003E" w:rsidP="0005003E">
      <w:pPr>
        <w:pStyle w:val="SingleTxtG"/>
      </w:pPr>
      <w:r>
        <w:tab/>
        <w:t>Приюты «Защита семьи» и «</w:t>
      </w:r>
      <w:proofErr w:type="spellStart"/>
      <w:r>
        <w:t>Амна</w:t>
      </w:r>
      <w:proofErr w:type="spellEnd"/>
      <w:r>
        <w:t>» были построены для женщин, находящихся в опасности, и женщин, находящихся под административным арестом, для их временной защиты. Однако политика, регулирующая деятельность большинства этих приютов, неясна, что может привести к пробелам в плане защиты. На практике приюты ничем не отличаются от тюрем.</w:t>
      </w:r>
    </w:p>
    <w:p w14:paraId="48E239E4" w14:textId="77777777" w:rsidR="0005003E" w:rsidRPr="00B054E1" w:rsidRDefault="0005003E" w:rsidP="0005003E">
      <w:pPr>
        <w:pStyle w:val="SingleTxtG"/>
      </w:pPr>
      <w:r>
        <w:tab/>
        <w:t>Организации гражданского общества провели ряд мероприятий по повышению осведомленности и осуществили ряд проектов по расширению прав и возможностей в государстве-участнике.</w:t>
      </w:r>
    </w:p>
    <w:p w14:paraId="29D3CB21" w14:textId="77777777" w:rsidR="0005003E" w:rsidRPr="00B054E1" w:rsidRDefault="0005003E" w:rsidP="0005003E">
      <w:pPr>
        <w:pStyle w:val="H23G"/>
      </w:pPr>
      <w:r>
        <w:tab/>
      </w:r>
      <w:r>
        <w:tab/>
      </w:r>
      <w:r>
        <w:rPr>
          <w:bCs/>
        </w:rPr>
        <w:t>Оценка Комитета</w:t>
      </w:r>
    </w:p>
    <w:p w14:paraId="3D2468A9" w14:textId="77777777" w:rsidR="0005003E" w:rsidRPr="00B054E1" w:rsidRDefault="0005003E" w:rsidP="0005003E">
      <w:pPr>
        <w:pStyle w:val="SingleTxtG"/>
      </w:pPr>
      <w:r>
        <w:t>[</w:t>
      </w:r>
      <w:r w:rsidRPr="00053036">
        <w:rPr>
          <w:b/>
          <w:bCs/>
        </w:rPr>
        <w:t>B</w:t>
      </w:r>
      <w:r>
        <w:t>]: a), b) и c)</w:t>
      </w:r>
    </w:p>
    <w:p w14:paraId="38CFF3A9" w14:textId="77777777" w:rsidR="0005003E" w:rsidRPr="00B054E1" w:rsidRDefault="0005003E" w:rsidP="0005003E">
      <w:pPr>
        <w:pStyle w:val="SingleTxtG"/>
      </w:pPr>
      <w:r>
        <w:tab/>
        <w:t>Комитет приветствует внесение изменений в Уголовный кодекс с целью укрепления нормативно-правовой базы по борьбе с насилием в отношении женщин, включая неприменение смягчающих обстоятельств в отношении преступлений в защиту чести. Он просит предоставить информацию о том, как государство-участник обеспечило осуществление этих мер. Комитет отмечает отсутствие информации о мерах, принятых для установления уголовной ответственности за изнасилования в браке, и просит разъяснить текущий правовой статус этой практики.</w:t>
      </w:r>
    </w:p>
    <w:p w14:paraId="1CC37330" w14:textId="001087A5" w:rsidR="0005003E" w:rsidRPr="00B054E1" w:rsidRDefault="0005003E" w:rsidP="0005003E">
      <w:pPr>
        <w:pStyle w:val="SingleTxtG"/>
      </w:pPr>
      <w:r>
        <w:tab/>
        <w:t>Комитет приветствует предпринятые государством-участником шаги для улучшения доступа к приютам для женщин и детей, ставших жертвами насилия или подвергающихся риску насилия. Он также приветствует информацию о планах по пересмотру законов, положений и инструкций, касающихся защиты женщин и детей. Тем не менее Комитет с сожалением отмечает отсутствие информации о конкретных изменениях в политике государства-участника в отношении предупредительного заключения. Он повторяет свою рекомендацию в этом отношении и просит предоставить информацию о том, продолжает ли государство-участник использовать предупредительное заключение для предотвращения насилия в отношении женщин, включая преступления в защиту чести, и будет ли пересмотр этой политики включен в число мер, предписанных директором Департамента общественной безопасности. Он</w:t>
      </w:r>
      <w:r w:rsidR="009738F1">
        <w:t> </w:t>
      </w:r>
      <w:r>
        <w:t>также просит представить информацию об условиях в имеющихся в настоящее время приютах.</w:t>
      </w:r>
    </w:p>
    <w:p w14:paraId="1126B548" w14:textId="77777777" w:rsidR="0005003E" w:rsidRPr="00B054E1" w:rsidRDefault="0005003E" w:rsidP="0005003E">
      <w:pPr>
        <w:pStyle w:val="SingleTxtG"/>
      </w:pPr>
      <w:r>
        <w:tab/>
        <w:t>Комитет приветствует представленную государством-участником информацию об обучении, которое было организовано для государственных служащих, включая работников судебной системы и сотрудников Департамента защиты семьи. Он просит предоставить дополнительную информацию об эффективности этой деятельности и о том, смогли ли другие государственные служащие, включая сотрудников правоохранительных органов, получить доступ к такому обучению. Комитет принимает к сведению представленную государством-участником информацию о планах по улучшению защиты жертв и свидетелей домашнего насилия и просит представить дополнительную информацию о масштабах и статусе этих планов.</w:t>
      </w:r>
    </w:p>
    <w:p w14:paraId="15055184" w14:textId="40165DB1" w:rsidR="0005003E" w:rsidRPr="00B054E1" w:rsidRDefault="0005003E" w:rsidP="0005003E">
      <w:pPr>
        <w:pStyle w:val="SingleTxtG"/>
        <w:rPr>
          <w:bCs/>
        </w:rPr>
      </w:pPr>
      <w:r>
        <w:t>[</w:t>
      </w:r>
      <w:r w:rsidRPr="00E2711C">
        <w:rPr>
          <w:b/>
          <w:bCs/>
        </w:rPr>
        <w:t>A</w:t>
      </w:r>
      <w:r>
        <w:t>]: d)</w:t>
      </w:r>
    </w:p>
    <w:p w14:paraId="0814FDF0" w14:textId="77777777" w:rsidR="0005003E" w:rsidRPr="00B054E1" w:rsidRDefault="0005003E" w:rsidP="0005003E">
      <w:pPr>
        <w:pStyle w:val="SingleTxtG"/>
      </w:pPr>
      <w:r>
        <w:tab/>
        <w:t xml:space="preserve">Комитет приветствует информацию об информационно-просветительских кампаниях по борьбе с насилием в отношении женщин и выражает государству-участнику признательность за эту деятельность. Он также приветствует информацию с подробным изложением усилий государства-участника по оценке эффективности мероприятий и положительные результаты исследований. Комитет просит </w:t>
      </w:r>
      <w:r>
        <w:lastRenderedPageBreak/>
        <w:t>предоставить информацию о любых дополнительных усилиях, которые были предприняты для борьбы с насилием в отношении женщин, включая любые мероприятия, конкретно направленные на борьбу с домашним насилием. Он также просит предоставить более подробную информацию об исследованиях, в проведении которых принимал участие Департамент защиты семьи, в том числе о том, затрагивают ли они коренные причины насилия в отношении женщин в государстве-участнике и использовались ли результаты этих исследований в информационно-просветительской деятельности.</w:t>
      </w:r>
    </w:p>
    <w:p w14:paraId="285E9085" w14:textId="0A9CC5AA" w:rsidR="0005003E" w:rsidRPr="00B054E1" w:rsidRDefault="0005003E" w:rsidP="00D66804">
      <w:pPr>
        <w:pStyle w:val="H23G"/>
      </w:pPr>
      <w:r>
        <w:tab/>
      </w:r>
      <w:r>
        <w:tab/>
        <w:t>Пункт 19: Право на жизнь, свобода и личная неприкосновенность и обращение с</w:t>
      </w:r>
      <w:r w:rsidR="007422C9">
        <w:rPr>
          <w:lang w:val="en-US"/>
        </w:rPr>
        <w:t> </w:t>
      </w:r>
      <w:r>
        <w:t>лицами, лишенными свободы</w:t>
      </w:r>
    </w:p>
    <w:p w14:paraId="4EDAF7DC" w14:textId="5C4ED4C1" w:rsidR="0005003E" w:rsidRPr="00B054E1" w:rsidRDefault="0005003E" w:rsidP="0005003E">
      <w:pPr>
        <w:pStyle w:val="SingleTxtG"/>
        <w:rPr>
          <w:b/>
        </w:rPr>
      </w:pPr>
      <w:r>
        <w:tab/>
      </w:r>
      <w:r w:rsidRPr="00E602AC">
        <w:rPr>
          <w:b/>
          <w:bCs/>
        </w:rPr>
        <w:t>Комитет вновь рекомендует</w:t>
      </w:r>
      <w:r w:rsidRPr="00350083">
        <w:rPr>
          <w:rStyle w:val="aa"/>
        </w:rPr>
        <w:footnoteReference w:id="2"/>
      </w:r>
      <w:r w:rsidRPr="00E602AC">
        <w:rPr>
          <w:b/>
          <w:bCs/>
        </w:rPr>
        <w:t xml:space="preserve"> государству-участнику внести изменения в Закон о пред</w:t>
      </w:r>
      <w:r>
        <w:rPr>
          <w:b/>
          <w:bCs/>
        </w:rPr>
        <w:t>упреждении</w:t>
      </w:r>
      <w:r w:rsidRPr="00E602AC">
        <w:rPr>
          <w:b/>
          <w:bCs/>
        </w:rPr>
        <w:t xml:space="preserve"> преступности, с тем чтобы положить конец практике административного задержания.</w:t>
      </w:r>
      <w:r>
        <w:t xml:space="preserve"> </w:t>
      </w:r>
      <w:r>
        <w:rPr>
          <w:b/>
          <w:bCs/>
        </w:rPr>
        <w:t>Пока эти изменения еще не внесены, государству-участнику следует предпринять конкретные шаги, чтобы значительно сократить число административно задержанных.</w:t>
      </w:r>
      <w:r>
        <w:t xml:space="preserve"> </w:t>
      </w:r>
      <w:r>
        <w:rPr>
          <w:b/>
          <w:bCs/>
        </w:rPr>
        <w:t>Кроме того, государству-участнику следует обеспечить административно задержанным доступ к независимому и беспристрастному суду, наделенному полномочиями выносить решения о законности их содержания под стражей.</w:t>
      </w:r>
      <w:r>
        <w:t xml:space="preserve"> </w:t>
      </w:r>
      <w:r>
        <w:rPr>
          <w:b/>
          <w:bCs/>
        </w:rPr>
        <w:t>Ему следует расширить доступ независимых организаций во все места лишения свободы, в</w:t>
      </w:r>
      <w:r w:rsidR="00D66804">
        <w:rPr>
          <w:b/>
          <w:bCs/>
        </w:rPr>
        <w:t> </w:t>
      </w:r>
      <w:r>
        <w:rPr>
          <w:b/>
          <w:bCs/>
        </w:rPr>
        <w:t>том числе на объекты Главного разведывательного управления, для их посещения.</w:t>
      </w:r>
    </w:p>
    <w:p w14:paraId="41639FF1" w14:textId="77777777" w:rsidR="0005003E" w:rsidRPr="00B054E1" w:rsidRDefault="0005003E" w:rsidP="0005003E">
      <w:pPr>
        <w:pStyle w:val="H23G"/>
      </w:pPr>
      <w:r>
        <w:tab/>
      </w:r>
      <w:r>
        <w:tab/>
      </w:r>
      <w:r>
        <w:rPr>
          <w:bCs/>
        </w:rPr>
        <w:t>Резюме ответа государства-участника</w:t>
      </w:r>
    </w:p>
    <w:p w14:paraId="25FBC568" w14:textId="77777777" w:rsidR="0005003E" w:rsidRPr="00B054E1" w:rsidRDefault="0005003E" w:rsidP="0005003E">
      <w:pPr>
        <w:pStyle w:val="SingleTxtG"/>
      </w:pPr>
      <w:r>
        <w:tab/>
        <w:t>В государстве-участнике действует ряд правовых и институциональных гарантий, обеспечивающих применение административного задержания в соответствии с законом. Закон о предупреждении преступности содержит положения, предотвращающие злоупотребление служебным положением. Губернаторам, возглавляющим административные районы, и подразделениям на местах были даны указания, подчеркивающие важность ограничения продолжительности административного задержания и обстоятельств, при которых оно может быть применено. Административные суды отвечают за контроль законности решений об административном задержании. Имеется ряд случаев, когда административное задержание было отменено по решению суда. Кроме того, существует несколько надзорных механизмов для контроля за административным задержанием, в том числе через координатора правительства по правам человека при администрации премьер-министра. За условиями содержания задержанных также следят Международный комитет Красного Креста и Департамент общественной безопасности.</w:t>
      </w:r>
    </w:p>
    <w:p w14:paraId="46D0ECFD" w14:textId="77777777" w:rsidR="0005003E" w:rsidRPr="00B054E1" w:rsidRDefault="0005003E" w:rsidP="0005003E">
      <w:pPr>
        <w:pStyle w:val="H23G"/>
      </w:pPr>
      <w:r>
        <w:tab/>
      </w:r>
      <w:r>
        <w:tab/>
      </w:r>
      <w:r>
        <w:rPr>
          <w:bCs/>
        </w:rPr>
        <w:t>Резюме информации, представленной заинтересованной стороной</w:t>
      </w:r>
    </w:p>
    <w:p w14:paraId="58208751" w14:textId="77777777" w:rsidR="0005003E" w:rsidRPr="00B054E1" w:rsidRDefault="0005003E" w:rsidP="0005003E">
      <w:pPr>
        <w:pStyle w:val="H4G"/>
      </w:pPr>
      <w:r>
        <w:tab/>
      </w:r>
      <w:r>
        <w:tab/>
      </w:r>
      <w:r>
        <w:rPr>
          <w:iCs/>
        </w:rPr>
        <w:t>Центр развития гражданского общества «Аль-Хайят»</w:t>
      </w:r>
    </w:p>
    <w:p w14:paraId="72F40D5B" w14:textId="2B74377C" w:rsidR="0005003E" w:rsidRPr="00B054E1" w:rsidRDefault="0005003E" w:rsidP="0005003E">
      <w:pPr>
        <w:pStyle w:val="SingleTxtG"/>
      </w:pPr>
      <w:r>
        <w:tab/>
        <w:t xml:space="preserve">Организации гражданского общества призвали пересмотреть Закон о предупреждении преступности, который регулирует административное задержание. Они подчеркивают, что этот закон широко используется для ограничения свободы девочек и женщин на длительные периоды времени под предлогом защиты их от насилия и убийства. Организации гражданского общества выступают за немедленное прекращение практики административных задержаний и освобождение всех </w:t>
      </w:r>
      <w:r w:rsidRPr="00477565">
        <w:t>административно задержанных</w:t>
      </w:r>
      <w:r>
        <w:t>. Они также призвали издать директивы и инструкции, разъясняющие, что статья 3 Закона о предупреждении преступности не предусматривает арест женщин по причинам, связанным с их защитой. Согласно данным, собранным Национальным центром по правам человека, в 2018 году</w:t>
      </w:r>
      <w:r w:rsidRPr="00460B03">
        <w:t xml:space="preserve"> </w:t>
      </w:r>
      <w:r>
        <w:t xml:space="preserve">административному задержанию были подвергнуты 37 683 женщины; в 2017 году </w:t>
      </w:r>
      <w:r w:rsidR="00D66804">
        <w:t>—</w:t>
      </w:r>
      <w:r>
        <w:t xml:space="preserve"> 34 952 и в 2016 году </w:t>
      </w:r>
      <w:r w:rsidR="00D66804">
        <w:t>—</w:t>
      </w:r>
      <w:r>
        <w:t xml:space="preserve"> 30 138.</w:t>
      </w:r>
    </w:p>
    <w:p w14:paraId="17B16195" w14:textId="77777777" w:rsidR="0005003E" w:rsidRPr="00B054E1" w:rsidRDefault="0005003E" w:rsidP="0005003E">
      <w:pPr>
        <w:pStyle w:val="SingleTxtG"/>
      </w:pPr>
      <w:r>
        <w:lastRenderedPageBreak/>
        <w:tab/>
        <w:t>Новое правительство серьезным образом рассмотрело вопрос о прекращении практики административных задержаний. Оно поручило губернаторам пересмотреть основания для задержания лиц в административном порядке и освободить из тюрем тех, кто не представляет опасности для себя или общества. Министр внутренних дел публично заявил, что 661 административно задержанный, отвечающий этим критериям, был освобожден и что никто не будет подвергаться административному аресту за употребление наркотиков. Правительство ввело правила и нормы для обеспечения надзора за добросовестным и надлежащим соблюдением требований в процессе административного задержания. Тем не менее существуют различные мнения о том, насколько эффективно они соблюдаются.</w:t>
      </w:r>
    </w:p>
    <w:p w14:paraId="0AF95EFC" w14:textId="77777777" w:rsidR="0005003E" w:rsidRPr="00B054E1" w:rsidRDefault="0005003E" w:rsidP="0005003E">
      <w:pPr>
        <w:pStyle w:val="H23G"/>
      </w:pPr>
      <w:r>
        <w:tab/>
      </w:r>
      <w:r>
        <w:tab/>
      </w:r>
      <w:r>
        <w:rPr>
          <w:bCs/>
        </w:rPr>
        <w:t>Оценка Комитета</w:t>
      </w:r>
    </w:p>
    <w:p w14:paraId="1BBD9276" w14:textId="77777777" w:rsidR="0005003E" w:rsidRPr="00B054E1" w:rsidRDefault="0005003E" w:rsidP="0005003E">
      <w:pPr>
        <w:pStyle w:val="SingleTxtG"/>
      </w:pPr>
      <w:bookmarkStart w:id="1" w:name="_Hlk33449160"/>
      <w:r>
        <w:t>[</w:t>
      </w:r>
      <w:r w:rsidRPr="00927D58">
        <w:rPr>
          <w:b/>
          <w:bCs/>
        </w:rPr>
        <w:t>C</w:t>
      </w:r>
      <w:r>
        <w:t>]: Комитет принимает к сведению представленную государством-участником информацию о действующих правовых и институциональных рамках для предотвращения злоупотреблений административным задержанием и мониторинга условий содержания задержанных. Тем не менее он сожалеет об отсутствии информации о шагах, предпринятых в отчетный период для внесения изменений в законодательство с целью положить конец практике административных задержаний. Он повторяет свою рекомендацию и просит предоставить информацию о том, намерено ли государство-участник провести соответствующую правовую реформу в течение отчетного периода.</w:t>
      </w:r>
      <w:bookmarkEnd w:id="1"/>
    </w:p>
    <w:p w14:paraId="52A87316" w14:textId="0F7DEC8B" w:rsidR="0005003E" w:rsidRPr="00B054E1" w:rsidRDefault="0005003E" w:rsidP="0005003E">
      <w:pPr>
        <w:pStyle w:val="SingleTxtG"/>
        <w:rPr>
          <w:b/>
        </w:rPr>
      </w:pPr>
      <w:r>
        <w:t>[</w:t>
      </w:r>
      <w:r w:rsidRPr="00927D58">
        <w:rPr>
          <w:b/>
          <w:bCs/>
        </w:rPr>
        <w:t>B</w:t>
      </w:r>
      <w:r>
        <w:t>]: Комитет приветствует принятые меры по обеспечению судебного надзора за административным задержанием. Он просит предоставить дополнительную информацию о шагах, предпринятых для прекращения практики административного задержания, в том числе о количестве лиц, освобожденных за отчетный период, а</w:t>
      </w:r>
      <w:r w:rsidR="00D66804">
        <w:t> </w:t>
      </w:r>
      <w:r>
        <w:t>также тех, кто остается в условиях административного задержания. Комитет также приветствует предпринятые шаги с целью разрешения независимых посещений мест содержания под стражей и просит предоставить информацию о количестве посещений, проведенных за отчетный период.</w:t>
      </w:r>
    </w:p>
    <w:p w14:paraId="2353F201" w14:textId="77777777" w:rsidR="0005003E" w:rsidRPr="00852EB2" w:rsidRDefault="0005003E" w:rsidP="00D66804">
      <w:pPr>
        <w:pStyle w:val="H23G"/>
      </w:pPr>
      <w:r>
        <w:tab/>
      </w:r>
      <w:r>
        <w:tab/>
        <w:t>Пункт 25: Беженцы и недопущение принудительного возвращения</w:t>
      </w:r>
    </w:p>
    <w:p w14:paraId="6677D020" w14:textId="25A6F794" w:rsidR="0005003E" w:rsidRPr="00852EB2" w:rsidRDefault="0005003E" w:rsidP="0005003E">
      <w:pPr>
        <w:pStyle w:val="SingleTxtG"/>
        <w:rPr>
          <w:b/>
        </w:rPr>
      </w:pPr>
      <w:r>
        <w:tab/>
      </w:r>
      <w:r>
        <w:rPr>
          <w:b/>
          <w:bCs/>
        </w:rPr>
        <w:t>Государству-участнику следует принять все необходимые меры, чтобы обеспечить соблюдение принципа недопущения принудительного возвращения, в том числе в отношении палестинских беженцев независимо от статуса, в силу которого они находятся в Иордании, и ввести процессуальные гарантии недопущения принудительного возвращения, включая пересмотр решения независимым судебным органом и эффективные средства правовой защиты.</w:t>
      </w:r>
      <w:r>
        <w:t xml:space="preserve"> </w:t>
      </w:r>
      <w:r>
        <w:rPr>
          <w:b/>
          <w:bCs/>
        </w:rPr>
        <w:t>Государству-участнику следует не допускать лишения людей гражданства, за</w:t>
      </w:r>
      <w:r w:rsidR="00D66804">
        <w:rPr>
          <w:b/>
          <w:bCs/>
        </w:rPr>
        <w:t> </w:t>
      </w:r>
      <w:r>
        <w:rPr>
          <w:b/>
          <w:bCs/>
        </w:rPr>
        <w:t>исключением случаев, которые предусмотрены положениями национального законодательства, соответствующими положениям Пакта и международным стандартам, и подлежат независимому судебному контролю.</w:t>
      </w:r>
      <w:r>
        <w:t xml:space="preserve"> </w:t>
      </w:r>
      <w:r>
        <w:rPr>
          <w:b/>
          <w:bCs/>
        </w:rPr>
        <w:t>Кроме того, ему следует принять меры по улучшению положения и условий жизни беженцев в лагерях.</w:t>
      </w:r>
    </w:p>
    <w:p w14:paraId="1D784B92" w14:textId="77777777" w:rsidR="0005003E" w:rsidRPr="00852EB2" w:rsidRDefault="0005003E" w:rsidP="0005003E">
      <w:pPr>
        <w:pStyle w:val="H23G"/>
      </w:pPr>
      <w:r>
        <w:tab/>
      </w:r>
      <w:r>
        <w:tab/>
      </w:r>
      <w:r>
        <w:rPr>
          <w:bCs/>
        </w:rPr>
        <w:t>Резюме ответа государства-участника</w:t>
      </w:r>
    </w:p>
    <w:p w14:paraId="2AF7E1C1" w14:textId="77777777" w:rsidR="0005003E" w:rsidRPr="00852EB2" w:rsidRDefault="0005003E" w:rsidP="0005003E">
      <w:pPr>
        <w:pStyle w:val="SingleTxtG"/>
      </w:pPr>
      <w:r>
        <w:tab/>
        <w:t xml:space="preserve">Меры, принятые государством-участником в отношении беженцев, соответствуют национальному законодательству и международным обязательствам государства. Пункт 1 статьи 21 Конституции устанавливает несколько категорий беженцев и принцип </w:t>
      </w:r>
      <w:proofErr w:type="spellStart"/>
      <w:r>
        <w:t>невыдворения</w:t>
      </w:r>
      <w:proofErr w:type="spellEnd"/>
      <w:r>
        <w:t xml:space="preserve">. Меморандум о взаимопонимании государства-участника с УВКБ ООН от 1998 года также содержит обязательство соблюдать принцип </w:t>
      </w:r>
      <w:proofErr w:type="spellStart"/>
      <w:r>
        <w:t>невыдворения</w:t>
      </w:r>
      <w:proofErr w:type="spellEnd"/>
      <w:r>
        <w:t xml:space="preserve">. Просители убежища могут оставаться в Иордании до определения статуса беженца, а беженцам разрешается оставаться в стране максимум шесть месяцев после признания их статуса беженца, в течение которых должно быть найдено постоянное решение. Государство-участник приняло ряд политических и программных мер для удовлетворения краткосрочных и долгосрочных гуманитарных потребностей сирийских беженцев и принимающих общин. К ним относятся План </w:t>
      </w:r>
      <w:r>
        <w:lastRenderedPageBreak/>
        <w:t>реагирования Иордании на сирийский кризис на 2017–2019 годы и Программа быстрого реагирования на 2020–2022 годы.</w:t>
      </w:r>
    </w:p>
    <w:p w14:paraId="029C680F" w14:textId="77777777" w:rsidR="0005003E" w:rsidRPr="00852EB2" w:rsidRDefault="0005003E" w:rsidP="0005003E">
      <w:pPr>
        <w:pStyle w:val="H23G"/>
      </w:pPr>
      <w:r>
        <w:tab/>
      </w:r>
      <w:r>
        <w:tab/>
      </w:r>
      <w:r>
        <w:tab/>
      </w:r>
      <w:r>
        <w:rPr>
          <w:bCs/>
        </w:rPr>
        <w:t>Оценка Комитета</w:t>
      </w:r>
    </w:p>
    <w:p w14:paraId="4550AABE" w14:textId="05A11946" w:rsidR="0005003E" w:rsidRPr="00852EB2" w:rsidRDefault="0005003E" w:rsidP="0005003E">
      <w:pPr>
        <w:pStyle w:val="SingleTxtG"/>
      </w:pPr>
      <w:r>
        <w:t>[</w:t>
      </w:r>
      <w:r w:rsidRPr="00C2744B">
        <w:rPr>
          <w:b/>
          <w:bCs/>
        </w:rPr>
        <w:t>C</w:t>
      </w:r>
      <w:r>
        <w:t xml:space="preserve">]: Комитет приветствует представленную государством-участником информацию о Плане реагирования Иордании на сирийский кризис на 2017–2019 годы и Программе быстрого реагирования на 2020–2022 годы. Комитет просит предоставить дополнительную информацию об этих программах и их эффективности. Комитет принимает к сведению информацию о национальной нормативно-правовой базе и меморандуме о взаимопонимании с УВКБ ООН по вопросу о </w:t>
      </w:r>
      <w:proofErr w:type="spellStart"/>
      <w:r>
        <w:t>невыдворении</w:t>
      </w:r>
      <w:proofErr w:type="spellEnd"/>
      <w:r>
        <w:t xml:space="preserve">. Тем не менее он с сожалением отмечает отсутствие информации о мерах, принятых в отчетный период для укрепления процессуальных гарантий против </w:t>
      </w:r>
      <w:proofErr w:type="spellStart"/>
      <w:r>
        <w:t>невыдворения</w:t>
      </w:r>
      <w:proofErr w:type="spellEnd"/>
      <w:r>
        <w:t>, включая рассмотрение независимым органом и доступные средства правовой защиты. Комитет также сожалеет об отсутствии информации о предпринятых шагах с целью обеспечить, чтобы гражданство не аннулировалось в обстоятельствах, противоречащих Пакту, и о мерах по улучшению условий в лагерях беженцев. Он</w:t>
      </w:r>
      <w:r w:rsidR="00E33E40">
        <w:t> </w:t>
      </w:r>
      <w:r>
        <w:t>повторяет свою рекомендацию и просит представить информацию о любых конкретных шагах, предпринятых государством-участником за отчетный период для усиления защиты, с тем чтобы гражданство не аннулировалось при обстоятельствах, нарушающих Пакт.</w:t>
      </w:r>
    </w:p>
    <w:p w14:paraId="42B303B5" w14:textId="77777777" w:rsidR="0005003E" w:rsidRPr="00852EB2" w:rsidRDefault="0005003E" w:rsidP="0005003E">
      <w:pPr>
        <w:pStyle w:val="SingleTxtG"/>
      </w:pPr>
      <w:r w:rsidRPr="00554BBB">
        <w:rPr>
          <w:b/>
          <w:bCs/>
        </w:rPr>
        <w:t>Рекомендуемые действия:</w:t>
      </w:r>
      <w:r>
        <w:t xml:space="preserve"> следует направить письмо, извещающее государство-участник о прекращении процедуры последующей деятельности. Запрашиваемая информация должна быть включена в следующий периодический доклад государства-участника.</w:t>
      </w:r>
    </w:p>
    <w:p w14:paraId="144B92F4" w14:textId="7D367AB0" w:rsidR="00381C24" w:rsidRPr="0005003E" w:rsidRDefault="0005003E" w:rsidP="0005003E">
      <w:pPr>
        <w:pStyle w:val="SingleTxtG"/>
        <w:rPr>
          <w:lang w:val="en-US"/>
        </w:rPr>
      </w:pPr>
      <w:r w:rsidRPr="00554BBB">
        <w:rPr>
          <w:b/>
          <w:bCs/>
        </w:rPr>
        <w:t>Сроки представления следующего периодического доклада:</w:t>
      </w:r>
      <w:r>
        <w:t xml:space="preserve"> 2025 год (страновой обзор в 2026 году в соответствии с планируемым циклом обзора. См</w:t>
      </w:r>
      <w:r w:rsidRPr="00852EB2">
        <w:rPr>
          <w:lang w:val="en-US"/>
        </w:rPr>
        <w:t>.</w:t>
      </w:r>
      <w:r w:rsidR="00E33E40" w:rsidRPr="00E33E40">
        <w:rPr>
          <w:lang w:val="en-US"/>
        </w:rPr>
        <w:t> </w:t>
      </w:r>
      <w:hyperlink r:id="rId11" w:history="1">
        <w:r w:rsidR="00E33E40" w:rsidRPr="00C74469">
          <w:rPr>
            <w:rStyle w:val="af1"/>
            <w:lang w:val="en-US"/>
          </w:rPr>
          <w:t>www.ohchr.org/EN/HRBodies/CCPR/Pages/Predictable ReviewCycle.aspx</w:t>
        </w:r>
      </w:hyperlink>
      <w:r w:rsidRPr="00852EB2">
        <w:rPr>
          <w:lang w:val="en-US"/>
        </w:rPr>
        <w:t>).</w:t>
      </w:r>
    </w:p>
    <w:p w14:paraId="0F8E521D" w14:textId="20BF48F3" w:rsidR="0005003E" w:rsidRPr="00E33E40" w:rsidRDefault="00E33E40" w:rsidP="00E33E40">
      <w:pPr>
        <w:pStyle w:val="SingleTxtG"/>
        <w:spacing w:before="240" w:after="0"/>
        <w:jc w:val="center"/>
        <w:rPr>
          <w:u w:val="single"/>
          <w:lang w:val="en-US"/>
        </w:rPr>
      </w:pPr>
      <w:r>
        <w:rPr>
          <w:u w:val="single"/>
          <w:lang w:val="en-US"/>
        </w:rPr>
        <w:tab/>
      </w:r>
      <w:r>
        <w:rPr>
          <w:u w:val="single"/>
          <w:lang w:val="en-US"/>
        </w:rPr>
        <w:tab/>
      </w:r>
      <w:r>
        <w:rPr>
          <w:u w:val="single"/>
          <w:lang w:val="en-US"/>
        </w:rPr>
        <w:tab/>
      </w:r>
    </w:p>
    <w:sectPr w:rsidR="0005003E" w:rsidRPr="00E33E40" w:rsidSect="0005003E">
      <w:headerReference w:type="even" r:id="rId12"/>
      <w:headerReference w:type="default" r:id="rId13"/>
      <w:footerReference w:type="even" r:id="rId14"/>
      <w:footerReference w:type="default" r:id="rId15"/>
      <w:footerReference w:type="first" r:id="rId16"/>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BF24E12" w14:textId="77777777" w:rsidR="00AD6179" w:rsidRPr="00A312BC" w:rsidRDefault="00AD6179" w:rsidP="00A312BC"/>
  </w:endnote>
  <w:endnote w:type="continuationSeparator" w:id="0">
    <w:p w14:paraId="625377F5" w14:textId="77777777" w:rsidR="00AD6179" w:rsidRPr="00A312BC" w:rsidRDefault="00AD6179"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D48AB0" w14:textId="0E0F20E7" w:rsidR="0005003E" w:rsidRPr="0005003E" w:rsidRDefault="0005003E">
    <w:pPr>
      <w:pStyle w:val="a8"/>
    </w:pPr>
    <w:r w:rsidRPr="0005003E">
      <w:rPr>
        <w:b/>
        <w:sz w:val="18"/>
      </w:rPr>
      <w:fldChar w:fldCharType="begin"/>
    </w:r>
    <w:r w:rsidRPr="0005003E">
      <w:rPr>
        <w:b/>
        <w:sz w:val="18"/>
      </w:rPr>
      <w:instrText xml:space="preserve"> PAGE  \* MERGEFORMAT </w:instrText>
    </w:r>
    <w:r w:rsidRPr="0005003E">
      <w:rPr>
        <w:b/>
        <w:sz w:val="18"/>
      </w:rPr>
      <w:fldChar w:fldCharType="separate"/>
    </w:r>
    <w:r w:rsidRPr="0005003E">
      <w:rPr>
        <w:b/>
        <w:noProof/>
        <w:sz w:val="18"/>
      </w:rPr>
      <w:t>2</w:t>
    </w:r>
    <w:r w:rsidRPr="0005003E">
      <w:rPr>
        <w:b/>
        <w:sz w:val="18"/>
      </w:rPr>
      <w:fldChar w:fldCharType="end"/>
    </w:r>
    <w:r>
      <w:rPr>
        <w:b/>
        <w:sz w:val="18"/>
      </w:rPr>
      <w:tab/>
    </w:r>
    <w:r>
      <w:t>GE.21-19076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2E1DEB" w14:textId="04CE9D57" w:rsidR="0005003E" w:rsidRPr="0005003E" w:rsidRDefault="0005003E" w:rsidP="0005003E">
    <w:pPr>
      <w:pStyle w:val="a8"/>
      <w:tabs>
        <w:tab w:val="clear" w:pos="9639"/>
        <w:tab w:val="right" w:pos="9638"/>
      </w:tabs>
      <w:rPr>
        <w:b/>
        <w:sz w:val="18"/>
      </w:rPr>
    </w:pPr>
    <w:r>
      <w:t>GE.21-19076</w:t>
    </w:r>
    <w:r>
      <w:tab/>
    </w:r>
    <w:r w:rsidRPr="0005003E">
      <w:rPr>
        <w:b/>
        <w:sz w:val="18"/>
      </w:rPr>
      <w:fldChar w:fldCharType="begin"/>
    </w:r>
    <w:r w:rsidRPr="0005003E">
      <w:rPr>
        <w:b/>
        <w:sz w:val="18"/>
      </w:rPr>
      <w:instrText xml:space="preserve"> PAGE  \* MERGEFORMAT </w:instrText>
    </w:r>
    <w:r w:rsidRPr="0005003E">
      <w:rPr>
        <w:b/>
        <w:sz w:val="18"/>
      </w:rPr>
      <w:fldChar w:fldCharType="separate"/>
    </w:r>
    <w:r w:rsidRPr="0005003E">
      <w:rPr>
        <w:b/>
        <w:noProof/>
        <w:sz w:val="18"/>
      </w:rPr>
      <w:t>3</w:t>
    </w:r>
    <w:r w:rsidRPr="0005003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84888B" w14:textId="2AF5EC62" w:rsidR="00042B72" w:rsidRPr="0005003E" w:rsidRDefault="0005003E" w:rsidP="0005003E">
    <w:pPr>
      <w:spacing w:before="120" w:line="240" w:lineRule="auto"/>
    </w:pPr>
    <w:r>
      <w:t>GE.</w:t>
    </w:r>
    <w:r w:rsidR="00DF71B9">
      <w:rPr>
        <w:b/>
        <w:noProof/>
        <w:lang w:val="fr-CH" w:eastAsia="fr-CH"/>
      </w:rPr>
      <w:drawing>
        <wp:anchor distT="0" distB="0" distL="114300" distR="114300" simplePos="0" relativeHeight="251658240" behindDoc="0" locked="0" layoutInCell="1" allowOverlap="1" wp14:anchorId="12C689DD" wp14:editId="2F08D7F5">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21-19076  (R)</w:t>
    </w:r>
    <w:r>
      <w:rPr>
        <w:noProof/>
      </w:rPr>
      <w:drawing>
        <wp:anchor distT="0" distB="0" distL="114300" distR="114300" simplePos="0" relativeHeight="251659264" behindDoc="0" locked="0" layoutInCell="1" allowOverlap="1" wp14:anchorId="4DCF5C8D" wp14:editId="21E6A84F">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E33E40">
      <w:t xml:space="preserve">  270122  310122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0E40A9" w14:textId="77777777" w:rsidR="00AD6179" w:rsidRPr="001075E9" w:rsidRDefault="00AD6179" w:rsidP="001075E9">
      <w:pPr>
        <w:tabs>
          <w:tab w:val="right" w:pos="2155"/>
        </w:tabs>
        <w:spacing w:after="80" w:line="240" w:lineRule="auto"/>
        <w:ind w:left="680"/>
        <w:rPr>
          <w:u w:val="single"/>
        </w:rPr>
      </w:pPr>
      <w:r>
        <w:rPr>
          <w:u w:val="single"/>
        </w:rPr>
        <w:tab/>
      </w:r>
    </w:p>
  </w:footnote>
  <w:footnote w:type="continuationSeparator" w:id="0">
    <w:p w14:paraId="7EF85E1E" w14:textId="77777777" w:rsidR="00AD6179" w:rsidRDefault="00AD6179" w:rsidP="00407B78">
      <w:pPr>
        <w:tabs>
          <w:tab w:val="right" w:pos="2155"/>
        </w:tabs>
        <w:spacing w:after="80"/>
        <w:ind w:left="680"/>
        <w:rPr>
          <w:u w:val="single"/>
        </w:rPr>
      </w:pPr>
      <w:r>
        <w:rPr>
          <w:u w:val="single"/>
        </w:rPr>
        <w:tab/>
      </w:r>
    </w:p>
  </w:footnote>
  <w:footnote w:id="1">
    <w:p w14:paraId="2B2FD6BB" w14:textId="5210CAE4" w:rsidR="0005003E" w:rsidRPr="00852EB2" w:rsidRDefault="0005003E" w:rsidP="0005003E">
      <w:pPr>
        <w:pStyle w:val="ad"/>
      </w:pPr>
      <w:r>
        <w:tab/>
      </w:r>
      <w:r w:rsidRPr="009738F1">
        <w:rPr>
          <w:sz w:val="20"/>
        </w:rPr>
        <w:t>*</w:t>
      </w:r>
      <w:r>
        <w:tab/>
        <w:t xml:space="preserve">Принят Комитетом на его </w:t>
      </w:r>
      <w:r w:rsidR="0069234F">
        <w:t>сто тридцать третьей</w:t>
      </w:r>
      <w:r>
        <w:t xml:space="preserve"> сессии (11 октября — 5 ноября 2021 года).</w:t>
      </w:r>
    </w:p>
  </w:footnote>
  <w:footnote w:id="2">
    <w:p w14:paraId="654D89EA" w14:textId="612BD649" w:rsidR="0005003E" w:rsidRPr="0005003E" w:rsidRDefault="0005003E" w:rsidP="0005003E">
      <w:pPr>
        <w:pStyle w:val="ad"/>
        <w:rPr>
          <w:lang w:val="en-US"/>
        </w:rPr>
      </w:pPr>
      <w:r>
        <w:tab/>
      </w:r>
      <w:r w:rsidRPr="00350083">
        <w:rPr>
          <w:rStyle w:val="aa"/>
        </w:rPr>
        <w:footnoteRef/>
      </w:r>
      <w:r w:rsidRPr="00852EB2">
        <w:rPr>
          <w:lang w:val="en-US"/>
        </w:rPr>
        <w:tab/>
      </w:r>
      <w:hyperlink r:id="rId1" w:history="1">
        <w:r w:rsidRPr="00D66804">
          <w:rPr>
            <w:rStyle w:val="af1"/>
            <w:lang w:val="en-US"/>
          </w:rPr>
          <w:t>CCPR/</w:t>
        </w:r>
        <w:r w:rsidRPr="00D66804">
          <w:rPr>
            <w:rStyle w:val="af1"/>
            <w:lang w:val="en-US"/>
          </w:rPr>
          <w:t>C</w:t>
        </w:r>
        <w:r w:rsidRPr="00D66804">
          <w:rPr>
            <w:rStyle w:val="af1"/>
            <w:lang w:val="en-US"/>
          </w:rPr>
          <w:t>/JOR/CO/4</w:t>
        </w:r>
      </w:hyperlink>
      <w:r w:rsidRPr="00852EB2">
        <w:rPr>
          <w:lang w:val="en-US"/>
        </w:rPr>
        <w:t xml:space="preserve">, </w:t>
      </w:r>
      <w:r>
        <w:t>п</w:t>
      </w:r>
      <w:r w:rsidRPr="00852EB2">
        <w:rPr>
          <w:lang w:val="en-US"/>
        </w:rPr>
        <w:t>. 11.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EDEA6F" w14:textId="2E96D58D" w:rsidR="0005003E" w:rsidRPr="0005003E" w:rsidRDefault="00033410">
    <w:pPr>
      <w:pStyle w:val="a5"/>
    </w:pPr>
    <w:r>
      <w:fldChar w:fldCharType="begin"/>
    </w:r>
    <w:r>
      <w:instrText xml:space="preserve"> TITLE  \* MERGEFORMAT </w:instrText>
    </w:r>
    <w:r>
      <w:fldChar w:fldCharType="separate"/>
    </w:r>
    <w:r>
      <w:t>CCPR/C/133/3/Add.3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A3FEBC" w14:textId="59F07F29" w:rsidR="0005003E" w:rsidRPr="0005003E" w:rsidRDefault="00033410" w:rsidP="0005003E">
    <w:pPr>
      <w:pStyle w:val="a5"/>
      <w:jc w:val="right"/>
    </w:pPr>
    <w:r>
      <w:fldChar w:fldCharType="begin"/>
    </w:r>
    <w:r>
      <w:instrText xml:space="preserve"> TITLE  \* MERGEFORMAT </w:instrText>
    </w:r>
    <w:r>
      <w:fldChar w:fldCharType="separate"/>
    </w:r>
    <w:r>
      <w:t>CCPR/C/133/3/Add.3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6179"/>
    <w:rsid w:val="00033410"/>
    <w:rsid w:val="00033EE1"/>
    <w:rsid w:val="000358F2"/>
    <w:rsid w:val="00042B72"/>
    <w:rsid w:val="0005003E"/>
    <w:rsid w:val="000558BD"/>
    <w:rsid w:val="000B57E7"/>
    <w:rsid w:val="000B6373"/>
    <w:rsid w:val="000F09DF"/>
    <w:rsid w:val="000F61B2"/>
    <w:rsid w:val="001075E9"/>
    <w:rsid w:val="001800F1"/>
    <w:rsid w:val="00180183"/>
    <w:rsid w:val="0018024D"/>
    <w:rsid w:val="0018649F"/>
    <w:rsid w:val="00196389"/>
    <w:rsid w:val="001B3EF6"/>
    <w:rsid w:val="001C7A89"/>
    <w:rsid w:val="00254812"/>
    <w:rsid w:val="002A2EFC"/>
    <w:rsid w:val="002C0E18"/>
    <w:rsid w:val="002C210C"/>
    <w:rsid w:val="002D5AAC"/>
    <w:rsid w:val="002E00F0"/>
    <w:rsid w:val="002E5067"/>
    <w:rsid w:val="002F405F"/>
    <w:rsid w:val="002F7EEC"/>
    <w:rsid w:val="00301299"/>
    <w:rsid w:val="00305C08"/>
    <w:rsid w:val="00307FB6"/>
    <w:rsid w:val="00312FAE"/>
    <w:rsid w:val="00317339"/>
    <w:rsid w:val="00322004"/>
    <w:rsid w:val="0032326A"/>
    <w:rsid w:val="003402C2"/>
    <w:rsid w:val="00375F01"/>
    <w:rsid w:val="00381C24"/>
    <w:rsid w:val="003958D0"/>
    <w:rsid w:val="003B00E5"/>
    <w:rsid w:val="003E3B8E"/>
    <w:rsid w:val="003F7E51"/>
    <w:rsid w:val="00407B78"/>
    <w:rsid w:val="004162EB"/>
    <w:rsid w:val="00424203"/>
    <w:rsid w:val="00452493"/>
    <w:rsid w:val="00454E07"/>
    <w:rsid w:val="00472C5C"/>
    <w:rsid w:val="004969B2"/>
    <w:rsid w:val="0050108D"/>
    <w:rsid w:val="00513081"/>
    <w:rsid w:val="00517901"/>
    <w:rsid w:val="00526683"/>
    <w:rsid w:val="00565CE0"/>
    <w:rsid w:val="005709E0"/>
    <w:rsid w:val="00572E19"/>
    <w:rsid w:val="005961C8"/>
    <w:rsid w:val="005C498A"/>
    <w:rsid w:val="005D7914"/>
    <w:rsid w:val="005E2B41"/>
    <w:rsid w:val="005F0B42"/>
    <w:rsid w:val="00617EE4"/>
    <w:rsid w:val="006557DA"/>
    <w:rsid w:val="00666B97"/>
    <w:rsid w:val="00681A10"/>
    <w:rsid w:val="0069234F"/>
    <w:rsid w:val="006A1ED8"/>
    <w:rsid w:val="006C2031"/>
    <w:rsid w:val="006D461A"/>
    <w:rsid w:val="006F35EE"/>
    <w:rsid w:val="007021FF"/>
    <w:rsid w:val="00712895"/>
    <w:rsid w:val="007422C9"/>
    <w:rsid w:val="0075523D"/>
    <w:rsid w:val="00757357"/>
    <w:rsid w:val="00787D3A"/>
    <w:rsid w:val="00791B9D"/>
    <w:rsid w:val="00825F8D"/>
    <w:rsid w:val="00834B71"/>
    <w:rsid w:val="0086445C"/>
    <w:rsid w:val="00894693"/>
    <w:rsid w:val="008A08D7"/>
    <w:rsid w:val="008B6909"/>
    <w:rsid w:val="00906890"/>
    <w:rsid w:val="00911BE4"/>
    <w:rsid w:val="00922B0E"/>
    <w:rsid w:val="00925B3B"/>
    <w:rsid w:val="00931A71"/>
    <w:rsid w:val="00951972"/>
    <w:rsid w:val="009608F3"/>
    <w:rsid w:val="009738F1"/>
    <w:rsid w:val="009918E2"/>
    <w:rsid w:val="009A24AC"/>
    <w:rsid w:val="009D21FD"/>
    <w:rsid w:val="00A14DA8"/>
    <w:rsid w:val="00A312BC"/>
    <w:rsid w:val="00A34D07"/>
    <w:rsid w:val="00A84021"/>
    <w:rsid w:val="00A84D35"/>
    <w:rsid w:val="00A917B3"/>
    <w:rsid w:val="00AB4B51"/>
    <w:rsid w:val="00AD6179"/>
    <w:rsid w:val="00AD6F87"/>
    <w:rsid w:val="00B10CC7"/>
    <w:rsid w:val="00B136DB"/>
    <w:rsid w:val="00B539E7"/>
    <w:rsid w:val="00B62458"/>
    <w:rsid w:val="00BC18B2"/>
    <w:rsid w:val="00BC3629"/>
    <w:rsid w:val="00BD33EE"/>
    <w:rsid w:val="00BD641E"/>
    <w:rsid w:val="00BF1A04"/>
    <w:rsid w:val="00C0177C"/>
    <w:rsid w:val="00C106D6"/>
    <w:rsid w:val="00C46D5A"/>
    <w:rsid w:val="00C60F0C"/>
    <w:rsid w:val="00C805C9"/>
    <w:rsid w:val="00C92939"/>
    <w:rsid w:val="00CA1679"/>
    <w:rsid w:val="00CB151C"/>
    <w:rsid w:val="00CE5A1A"/>
    <w:rsid w:val="00CF55F6"/>
    <w:rsid w:val="00D33D63"/>
    <w:rsid w:val="00D66804"/>
    <w:rsid w:val="00D90028"/>
    <w:rsid w:val="00D90138"/>
    <w:rsid w:val="00D9090B"/>
    <w:rsid w:val="00DD78D1"/>
    <w:rsid w:val="00DE32CD"/>
    <w:rsid w:val="00DF71B9"/>
    <w:rsid w:val="00E005F7"/>
    <w:rsid w:val="00E06BEE"/>
    <w:rsid w:val="00E33E40"/>
    <w:rsid w:val="00E46656"/>
    <w:rsid w:val="00E61B67"/>
    <w:rsid w:val="00E73F76"/>
    <w:rsid w:val="00E943F3"/>
    <w:rsid w:val="00EA2C9F"/>
    <w:rsid w:val="00EA420E"/>
    <w:rsid w:val="00ED0BDA"/>
    <w:rsid w:val="00EF1360"/>
    <w:rsid w:val="00EF3220"/>
    <w:rsid w:val="00F43903"/>
    <w:rsid w:val="00F94155"/>
    <w:rsid w:val="00F9783F"/>
    <w:rsid w:val="00FC636C"/>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745D4FC"/>
  <w15:docId w15:val="{95C57EF4-F0C0-4A64-BCBC-734142CA7C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75523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AD6F87"/>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BF1A04"/>
    <w:pPr>
      <w:keepNext/>
      <w:outlineLvl w:val="1"/>
    </w:pPr>
    <w:rPr>
      <w:rFonts w:cs="Arial"/>
      <w:bCs/>
      <w:iCs/>
      <w:szCs w:val="28"/>
    </w:rPr>
  </w:style>
  <w:style w:type="paragraph" w:styleId="3">
    <w:name w:val="heading 3"/>
    <w:basedOn w:val="a"/>
    <w:next w:val="a"/>
    <w:semiHidden/>
    <w:rsid w:val="00BF1A04"/>
    <w:pPr>
      <w:keepNext/>
      <w:spacing w:before="240" w:after="60"/>
      <w:outlineLvl w:val="2"/>
    </w:pPr>
    <w:rPr>
      <w:rFonts w:ascii="Arial" w:hAnsi="Arial" w:cs="Arial"/>
      <w:b/>
      <w:bCs/>
      <w:sz w:val="26"/>
      <w:szCs w:val="26"/>
    </w:rPr>
  </w:style>
  <w:style w:type="paragraph" w:styleId="4">
    <w:name w:val="heading 4"/>
    <w:basedOn w:val="a"/>
    <w:next w:val="a"/>
    <w:semiHidden/>
    <w:rsid w:val="00BF1A04"/>
    <w:pPr>
      <w:keepNext/>
      <w:spacing w:before="240" w:after="60"/>
      <w:outlineLvl w:val="3"/>
    </w:pPr>
    <w:rPr>
      <w:b/>
      <w:bCs/>
      <w:sz w:val="28"/>
      <w:szCs w:val="28"/>
    </w:rPr>
  </w:style>
  <w:style w:type="paragraph" w:styleId="5">
    <w:name w:val="heading 5"/>
    <w:basedOn w:val="a"/>
    <w:next w:val="a"/>
    <w:semiHidden/>
    <w:rsid w:val="00BF1A04"/>
    <w:pPr>
      <w:spacing w:before="240" w:after="60"/>
      <w:outlineLvl w:val="4"/>
    </w:pPr>
    <w:rPr>
      <w:b/>
      <w:bCs/>
      <w:i/>
      <w:iCs/>
      <w:sz w:val="26"/>
      <w:szCs w:val="26"/>
    </w:rPr>
  </w:style>
  <w:style w:type="paragraph" w:styleId="6">
    <w:name w:val="heading 6"/>
    <w:basedOn w:val="a"/>
    <w:next w:val="a"/>
    <w:semiHidden/>
    <w:rsid w:val="00BF1A04"/>
    <w:pPr>
      <w:spacing w:before="240" w:after="60"/>
      <w:outlineLvl w:val="5"/>
    </w:pPr>
    <w:rPr>
      <w:b/>
      <w:bCs/>
      <w:sz w:val="22"/>
    </w:rPr>
  </w:style>
  <w:style w:type="paragraph" w:styleId="7">
    <w:name w:val="heading 7"/>
    <w:basedOn w:val="a"/>
    <w:next w:val="a"/>
    <w:semiHidden/>
    <w:rsid w:val="00BF1A04"/>
    <w:pPr>
      <w:spacing w:before="240" w:after="60"/>
      <w:outlineLvl w:val="6"/>
    </w:pPr>
    <w:rPr>
      <w:sz w:val="24"/>
      <w:szCs w:val="24"/>
    </w:rPr>
  </w:style>
  <w:style w:type="paragraph" w:styleId="8">
    <w:name w:val="heading 8"/>
    <w:basedOn w:val="a"/>
    <w:next w:val="a"/>
    <w:semiHidden/>
    <w:rsid w:val="00BF1A04"/>
    <w:pPr>
      <w:spacing w:before="240" w:after="60"/>
      <w:outlineLvl w:val="7"/>
    </w:pPr>
    <w:rPr>
      <w:i/>
      <w:iCs/>
      <w:sz w:val="24"/>
      <w:szCs w:val="24"/>
    </w:rPr>
  </w:style>
  <w:style w:type="paragraph" w:styleId="9">
    <w:name w:val="heading 9"/>
    <w:basedOn w:val="a"/>
    <w:next w:val="a"/>
    <w:semiHidden/>
    <w:rsid w:val="00BF1A04"/>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BF1A04"/>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931A71"/>
    <w:rPr>
      <w:rFonts w:ascii="Tahoma" w:eastAsiaTheme="minorHAnsi" w:hAnsi="Tahoma" w:cs="Tahoma"/>
      <w:sz w:val="16"/>
      <w:szCs w:val="16"/>
      <w:lang w:val="ru-RU" w:eastAsia="en-US"/>
    </w:rPr>
  </w:style>
  <w:style w:type="paragraph" w:customStyle="1" w:styleId="HMG">
    <w:name w:val="_ H __M_G"/>
    <w:basedOn w:val="a"/>
    <w:next w:val="a"/>
    <w:qFormat/>
    <w:rsid w:val="00AD6F87"/>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AD6F87"/>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AD6F87"/>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AD6F87"/>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AD6F87"/>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AD6F87"/>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qFormat/>
    <w:rsid w:val="00931A7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AD6F8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AD6F8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AD6F87"/>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AD6F87"/>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31A7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AD6F8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AD6F8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AD6F8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AD6F87"/>
    <w:rPr>
      <w:b/>
      <w:sz w:val="18"/>
      <w:lang w:val="en-GB" w:eastAsia="ru-RU"/>
    </w:rPr>
  </w:style>
  <w:style w:type="character" w:styleId="a7">
    <w:name w:val="page number"/>
    <w:aliases w:val="7_G"/>
    <w:basedOn w:val="a0"/>
    <w:qFormat/>
    <w:rsid w:val="00AD6F87"/>
    <w:rPr>
      <w:rFonts w:ascii="Times New Roman" w:hAnsi="Times New Roman"/>
      <w:b/>
      <w:sz w:val="18"/>
    </w:rPr>
  </w:style>
  <w:style w:type="paragraph" w:styleId="a8">
    <w:name w:val="footer"/>
    <w:aliases w:val="3_G"/>
    <w:basedOn w:val="a"/>
    <w:link w:val="a9"/>
    <w:qFormat/>
    <w:rsid w:val="00AD6F8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AD6F87"/>
    <w:rPr>
      <w:sz w:val="16"/>
      <w:lang w:val="en-GB" w:eastAsia="ru-RU"/>
    </w:rPr>
  </w:style>
  <w:style w:type="character" w:styleId="aa">
    <w:name w:val="footnote reference"/>
    <w:aliases w:val="4_G"/>
    <w:basedOn w:val="a0"/>
    <w:qFormat/>
    <w:rsid w:val="00AD6F87"/>
    <w:rPr>
      <w:rFonts w:ascii="Times New Roman" w:hAnsi="Times New Roman"/>
      <w:dstrike w:val="0"/>
      <w:sz w:val="18"/>
      <w:vertAlign w:val="superscript"/>
    </w:rPr>
  </w:style>
  <w:style w:type="character" w:styleId="ab">
    <w:name w:val="endnote reference"/>
    <w:aliases w:val="1_G"/>
    <w:basedOn w:val="aa"/>
    <w:qFormat/>
    <w:rsid w:val="00AD6F87"/>
    <w:rPr>
      <w:rFonts w:ascii="Times New Roman" w:hAnsi="Times New Roman"/>
      <w:dstrike w:val="0"/>
      <w:sz w:val="18"/>
      <w:vertAlign w:val="superscript"/>
    </w:rPr>
  </w:style>
  <w:style w:type="table" w:styleId="ac">
    <w:name w:val="Table Grid"/>
    <w:basedOn w:val="a1"/>
    <w:uiPriority w:val="59"/>
    <w:rsid w:val="0075523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AD6F8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AD6F87"/>
    <w:rPr>
      <w:sz w:val="18"/>
      <w:lang w:val="ru-RU" w:eastAsia="ru-RU"/>
    </w:rPr>
  </w:style>
  <w:style w:type="paragraph" w:styleId="af">
    <w:name w:val="endnote text"/>
    <w:aliases w:val="2_G"/>
    <w:basedOn w:val="ad"/>
    <w:link w:val="af0"/>
    <w:qFormat/>
    <w:rsid w:val="00AD6F87"/>
  </w:style>
  <w:style w:type="character" w:customStyle="1" w:styleId="af0">
    <w:name w:val="Текст концевой сноски Знак"/>
    <w:aliases w:val="2_G Знак"/>
    <w:basedOn w:val="a0"/>
    <w:link w:val="af"/>
    <w:rsid w:val="00AD6F87"/>
    <w:rPr>
      <w:sz w:val="18"/>
      <w:lang w:val="ru-RU" w:eastAsia="ru-RU"/>
    </w:rPr>
  </w:style>
  <w:style w:type="character" w:customStyle="1" w:styleId="10">
    <w:name w:val="Заголовок 1 Знак"/>
    <w:aliases w:val="Table_G Знак"/>
    <w:basedOn w:val="a0"/>
    <w:link w:val="1"/>
    <w:rsid w:val="00AD6F87"/>
    <w:rPr>
      <w:rFonts w:cs="Arial"/>
      <w:b/>
      <w:bCs/>
      <w:szCs w:val="32"/>
      <w:lang w:val="ru-RU" w:eastAsia="ru-RU"/>
    </w:rPr>
  </w:style>
  <w:style w:type="character" w:styleId="af1">
    <w:name w:val="Hyperlink"/>
    <w:basedOn w:val="a0"/>
    <w:uiPriority w:val="99"/>
    <w:rsid w:val="00AD6F87"/>
    <w:rPr>
      <w:color w:val="0000FF" w:themeColor="hyperlink"/>
      <w:u w:val="none"/>
    </w:rPr>
  </w:style>
  <w:style w:type="character" w:styleId="af2">
    <w:name w:val="FollowedHyperlink"/>
    <w:basedOn w:val="a0"/>
    <w:rsid w:val="00AD6F87"/>
    <w:rPr>
      <w:color w:val="800080" w:themeColor="followedHyperlink"/>
      <w:u w:val="none"/>
    </w:rPr>
  </w:style>
  <w:style w:type="character" w:styleId="af3">
    <w:name w:val="Unresolved Mention"/>
    <w:basedOn w:val="a0"/>
    <w:uiPriority w:val="99"/>
    <w:semiHidden/>
    <w:unhideWhenUsed/>
    <w:rsid w:val="005C498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ru/CCPR/C/JOR/CO/5"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ohchr.org/EN/HRBodies/CCPR/Pages/Predictable%20ReviewCycle.aspx"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tbinternet.ohchr.org/_layouts/15/treatybodyexternal/Download.aspx?symbolno=INT%2fCCPR%2fNGS%2fJOR%2f46531&amp;Lang=en" TargetMode="External"/><Relationship Id="rId4" Type="http://schemas.openxmlformats.org/officeDocument/2006/relationships/webSettings" Target="webSettings.xml"/><Relationship Id="rId9" Type="http://schemas.openxmlformats.org/officeDocument/2006/relationships/hyperlink" Target="http://undocs.org/en/CCPR/C/JOR/FCO/5"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ru/CCPR/C/JOR/CO/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3</TotalTime>
  <Pages>6</Pages>
  <Words>2204</Words>
  <Characters>15897</Characters>
  <Application>Microsoft Office Word</Application>
  <DocSecurity>0</DocSecurity>
  <Lines>294</Lines>
  <Paragraphs>73</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CCPR/C/133/3/Add.3</vt:lpstr>
      <vt:lpstr>A/</vt:lpstr>
      <vt:lpstr>A/</vt:lpstr>
    </vt:vector>
  </TitlesOfParts>
  <Company>DCM</Company>
  <LinksUpToDate>false</LinksUpToDate>
  <CharactersWithSpaces>18028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CCPR/C/133/3/Add.3</dc:title>
  <dc:subject/>
  <dc:creator>Marina KOROTKOVA</dc:creator>
  <cp:keywords/>
  <cp:lastModifiedBy>Ekaterina SALYNSKAYA</cp:lastModifiedBy>
  <cp:revision>3</cp:revision>
  <cp:lastPrinted>2022-01-31T14:41:00Z</cp:lastPrinted>
  <dcterms:created xsi:type="dcterms:W3CDTF">2022-01-31T14:41:00Z</dcterms:created>
  <dcterms:modified xsi:type="dcterms:W3CDTF">2022-01-31T14:43:00Z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