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6ED" w:rsidRDefault="001406ED" w:rsidP="001406ED">
      <w:pPr>
        <w:spacing w:line="60" w:lineRule="exact"/>
        <w:rPr>
          <w:sz w:val="6"/>
          <w:lang w:val="en-US"/>
        </w:rPr>
        <w:sectPr w:rsidR="001406ED" w:rsidSect="001406E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021B7" w:rsidRDefault="002021B7" w:rsidP="002021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Комитет по ликвидации дискриминации</w:t>
      </w:r>
    </w:p>
    <w:p w:rsidR="002021B7" w:rsidRDefault="002021B7" w:rsidP="002021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 отношении женщин</w:t>
      </w:r>
    </w:p>
    <w:p w:rsidR="002021B7" w:rsidRPr="00CF6865" w:rsidRDefault="002021B7" w:rsidP="002021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пятая сессия</w:t>
      </w:r>
    </w:p>
    <w:p w:rsidR="002021B7" w:rsidRPr="00CF6865" w:rsidRDefault="002021B7" w:rsidP="002021B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18 января — 5 февраля 2010 года</w:t>
      </w:r>
    </w:p>
    <w:p w:rsidR="002021B7" w:rsidRPr="00CF6865" w:rsidRDefault="002021B7" w:rsidP="002021B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Пункт 6 предварительной повестки дня</w:t>
      </w:r>
      <w:r w:rsidRPr="002021B7">
        <w:rPr>
          <w:rStyle w:val="FootnoteReference"/>
        </w:rPr>
        <w:footnoteReference w:customMarkFollows="1" w:id="1"/>
        <w:t>*</w:t>
      </w:r>
    </w:p>
    <w:p w:rsidR="002021B7" w:rsidRPr="002021B7" w:rsidRDefault="002021B7" w:rsidP="002021B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2021B7">
        <w:rPr>
          <w:b/>
        </w:rPr>
        <w:t>Пути и средства повышения оперативности</w:t>
      </w:r>
      <w:r w:rsidRPr="002021B7">
        <w:rPr>
          <w:b/>
        </w:rPr>
        <w:br/>
        <w:t>в работе Комитета</w:t>
      </w:r>
    </w:p>
    <w:p w:rsidR="002021B7" w:rsidRPr="002021B7" w:rsidRDefault="002021B7" w:rsidP="002021B7">
      <w:pPr>
        <w:pStyle w:val="SingleTxt"/>
        <w:spacing w:after="0" w:line="120" w:lineRule="exact"/>
        <w:rPr>
          <w:sz w:val="10"/>
        </w:rPr>
      </w:pPr>
    </w:p>
    <w:p w:rsidR="002021B7" w:rsidRPr="002021B7" w:rsidRDefault="002021B7" w:rsidP="002021B7">
      <w:pPr>
        <w:pStyle w:val="SingleTxt"/>
        <w:spacing w:after="0" w:line="120" w:lineRule="exact"/>
        <w:rPr>
          <w:sz w:val="10"/>
        </w:rPr>
      </w:pPr>
    </w:p>
    <w:p w:rsidR="002021B7" w:rsidRDefault="002021B7" w:rsidP="002021B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Пути и средства повышения оперативности в работе Комитета по ликвидации дискриминации в отношении женщин</w:t>
      </w:r>
    </w:p>
    <w:p w:rsidR="002021B7" w:rsidRPr="002021B7" w:rsidRDefault="002021B7" w:rsidP="002021B7">
      <w:pPr>
        <w:pStyle w:val="SingleTxt"/>
        <w:spacing w:after="0" w:line="120" w:lineRule="exact"/>
        <w:rPr>
          <w:sz w:val="10"/>
        </w:rPr>
      </w:pPr>
    </w:p>
    <w:p w:rsidR="002021B7" w:rsidRPr="002021B7" w:rsidRDefault="002021B7" w:rsidP="002021B7">
      <w:pPr>
        <w:pStyle w:val="SingleTxt"/>
        <w:spacing w:after="0" w:line="120" w:lineRule="exact"/>
        <w:rPr>
          <w:sz w:val="10"/>
        </w:rPr>
      </w:pPr>
    </w:p>
    <w:p w:rsidR="002021B7" w:rsidRDefault="002021B7" w:rsidP="002021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Записка Секретариата</w:t>
      </w:r>
    </w:p>
    <w:p w:rsidR="002021B7" w:rsidRPr="002021B7" w:rsidRDefault="002021B7" w:rsidP="002021B7">
      <w:pPr>
        <w:pStyle w:val="SingleTxt"/>
        <w:spacing w:after="0" w:line="120" w:lineRule="exact"/>
        <w:rPr>
          <w:sz w:val="10"/>
          <w:lang w:val="en-US"/>
        </w:rPr>
      </w:pPr>
    </w:p>
    <w:p w:rsidR="002021B7" w:rsidRPr="002021B7" w:rsidRDefault="002021B7" w:rsidP="002021B7">
      <w:pPr>
        <w:pStyle w:val="SingleTxt"/>
        <w:spacing w:after="0" w:line="120" w:lineRule="exact"/>
        <w:rPr>
          <w:sz w:val="10"/>
          <w:lang w:val="en-US"/>
        </w:rPr>
      </w:pPr>
    </w:p>
    <w:p w:rsidR="002021B7" w:rsidRPr="002021B7" w:rsidRDefault="002021B7" w:rsidP="002021B7">
      <w:pPr>
        <w:pStyle w:val="HCh"/>
        <w:spacing w:after="120"/>
        <w:rPr>
          <w:b w:val="0"/>
          <w:lang w:val="en-US"/>
        </w:rPr>
      </w:pPr>
      <w:r>
        <w:rPr>
          <w:b w:val="0"/>
          <w:lang w:val="en-US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056"/>
        <w:gridCol w:w="994"/>
        <w:gridCol w:w="720"/>
      </w:tblGrid>
      <w:tr w:rsidR="002021B7" w:rsidRPr="002021B7" w:rsidTr="002021B7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2021B7" w:rsidRPr="002021B7" w:rsidRDefault="002021B7" w:rsidP="002021B7">
            <w:pPr>
              <w:spacing w:after="120" w:line="240" w:lineRule="auto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056" w:type="dxa"/>
            <w:shd w:val="clear" w:color="auto" w:fill="auto"/>
          </w:tcPr>
          <w:p w:rsidR="002021B7" w:rsidRPr="002021B7" w:rsidRDefault="002021B7" w:rsidP="002021B7">
            <w:pPr>
              <w:spacing w:after="120" w:line="240" w:lineRule="auto"/>
              <w:rPr>
                <w:i/>
                <w:sz w:val="1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2021B7" w:rsidRPr="002021B7" w:rsidRDefault="002021B7" w:rsidP="002021B7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2021B7" w:rsidRPr="002021B7" w:rsidRDefault="002021B7" w:rsidP="002021B7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2021B7" w:rsidRPr="002021B7" w:rsidTr="002021B7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021B7" w:rsidRPr="002021B7" w:rsidRDefault="002021B7" w:rsidP="002021B7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lang w:val="en-US"/>
              </w:rPr>
            </w:pPr>
            <w:r>
              <w:rPr>
                <w:lang w:val="en-US"/>
              </w:rPr>
              <w:tab/>
            </w:r>
            <w:r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021B7" w:rsidRPr="002021B7" w:rsidRDefault="0091002F" w:rsidP="002021B7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021B7" w:rsidRPr="002021B7" w:rsidTr="002021B7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021B7" w:rsidRPr="002021B7" w:rsidRDefault="002021B7" w:rsidP="002021B7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uppressAutoHyphens/>
              <w:spacing w:after="120"/>
            </w:pPr>
            <w:r>
              <w:tab/>
              <w:t>Изменения в контексте правозащитного режима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021B7" w:rsidRPr="0091002F" w:rsidRDefault="0091002F" w:rsidP="002021B7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021B7" w:rsidRPr="002021B7" w:rsidTr="002021B7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021B7" w:rsidRDefault="002021B7" w:rsidP="002021B7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>
              <w:t>Договорные органы по правам человека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021B7" w:rsidRPr="0091002F" w:rsidRDefault="0091002F" w:rsidP="002021B7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021B7" w:rsidRPr="002021B7" w:rsidTr="002021B7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021B7" w:rsidRDefault="002021B7" w:rsidP="006C2138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245"/>
              </w:tabs>
              <w:suppressAutoHyphens/>
              <w:spacing w:after="120"/>
            </w:pPr>
            <w:r>
              <w:t>Девятое межкомитетское совещание договорных органов по правам человека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021B7" w:rsidRPr="0091002F" w:rsidRDefault="0091002F" w:rsidP="002021B7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2021B7" w:rsidRPr="002021B7" w:rsidTr="002021B7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021B7" w:rsidRDefault="006C2138" w:rsidP="006C2138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>Совет Безопасности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021B7" w:rsidRPr="0091002F" w:rsidRDefault="0091002F" w:rsidP="002021B7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6C2138" w:rsidRPr="002021B7" w:rsidTr="002021B7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6C2138" w:rsidRDefault="006C2138" w:rsidP="006C2138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>Генеральная Ассамблея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6C2138" w:rsidRPr="0091002F" w:rsidRDefault="0091002F" w:rsidP="002021B7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6C2138" w:rsidRPr="002021B7" w:rsidTr="002021B7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6C2138" w:rsidRDefault="006C2138" w:rsidP="006C2138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Совет по правам человека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6C2138" w:rsidRPr="0091002F" w:rsidRDefault="0091002F" w:rsidP="002021B7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6C2138" w:rsidRPr="002021B7" w:rsidTr="002021B7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6C2138" w:rsidRDefault="006C2138" w:rsidP="006C2138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>
              <w:tab/>
              <w:t>Тридцатая годовщина принятия Конвенции о ликвидации всех форм дискриминации в отношении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6C2138" w:rsidRPr="0091002F" w:rsidRDefault="0091002F" w:rsidP="002021B7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6C2138" w:rsidRPr="002021B7" w:rsidTr="002021B7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6C2138" w:rsidRDefault="006C2138" w:rsidP="006C2138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</w:pPr>
            <w:r>
              <w:tab/>
              <w:t>Доклады, которые будут рассмотрены Комитетом на будущих сессиях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6C2138" w:rsidRPr="0091002F" w:rsidRDefault="0091002F" w:rsidP="002021B7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</w:tbl>
    <w:p w:rsidR="00245CE1" w:rsidRDefault="00245CE1" w:rsidP="002021B7"/>
    <w:p w:rsidR="00245CE1" w:rsidRDefault="00245CE1" w:rsidP="00245CE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smartTag w:uri="urn:schemas-microsoft-com:office:smarttags" w:element="place">
        <w:r>
          <w:rPr>
            <w:lang w:val="en-US"/>
          </w:rPr>
          <w:t>I</w:t>
        </w:r>
        <w:r>
          <w:t>.</w:t>
        </w:r>
      </w:smartTag>
      <w:r>
        <w:tab/>
        <w:t>Введение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SingleTxt"/>
      </w:pPr>
      <w:r>
        <w:t>1.</w:t>
      </w:r>
      <w:r>
        <w:tab/>
        <w:t>В настоящем докладе содержится информация, касающаяся работы Ком</w:t>
      </w:r>
      <w:r>
        <w:t>и</w:t>
      </w:r>
      <w:r>
        <w:t>тета по ликвидации дискриминации в отношении женщин. В разделе </w:t>
      </w:r>
      <w:r>
        <w:rPr>
          <w:lang w:val="en-US"/>
        </w:rPr>
        <w:t>II</w:t>
      </w:r>
      <w:r>
        <w:t xml:space="preserve"> осв</w:t>
      </w:r>
      <w:r>
        <w:t>е</w:t>
      </w:r>
      <w:r>
        <w:t>щаются изменения в контексте правозащитного режима, в том числе приводи</w:t>
      </w:r>
      <w:r>
        <w:t>т</w:t>
      </w:r>
      <w:r>
        <w:t>ся информация о работе договорных органов по правам человека, Совета Без</w:t>
      </w:r>
      <w:r>
        <w:t>о</w:t>
      </w:r>
      <w:r>
        <w:t>пасности, Генеральной Ассамблеи и Совета по правам человека. В разделе IV речь идет о докладах, которые должны быть рассмотрены Комитетом на буд</w:t>
      </w:r>
      <w:r>
        <w:t>у</w:t>
      </w:r>
      <w:r>
        <w:t>щих сессиях, и о докладах, которые были получены, но еще не запланированы к рассмотрению. В приложении </w:t>
      </w:r>
      <w:r>
        <w:rPr>
          <w:lang w:val="en-US"/>
        </w:rPr>
        <w:t>I</w:t>
      </w:r>
      <w:r>
        <w:t xml:space="preserve"> к настоящему докладу содержится перечень государств, которые не ратифицировали Конвенцию о ликвидации всех форм дискриминации в отношении женщин или не присоединились к ней. В прил</w:t>
      </w:r>
      <w:r>
        <w:t>о</w:t>
      </w:r>
      <w:r>
        <w:t>жении </w:t>
      </w:r>
      <w:r>
        <w:rPr>
          <w:lang w:val="en-US"/>
        </w:rPr>
        <w:t>II</w:t>
      </w:r>
      <w:r w:rsidRPr="00CF6865">
        <w:t xml:space="preserve"> </w:t>
      </w:r>
      <w:r>
        <w:t>приводится перечень государств-участников, доклады которых были представлены, но еще не рассмотрены или не запланированы к рассмотр</w:t>
      </w:r>
      <w:r>
        <w:t>е</w:t>
      </w:r>
      <w:r>
        <w:t xml:space="preserve">нию Комитетом по состоянию на 20 ноября 2009 года. 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II</w:t>
      </w:r>
      <w:r>
        <w:t>.</w:t>
      </w:r>
      <w:r>
        <w:tab/>
        <w:t>Изменения в контексте правозащитного режима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А.</w:t>
      </w:r>
      <w:r>
        <w:tab/>
        <w:t>Договорные органы по правам человека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SingleTxt"/>
      </w:pPr>
      <w:r>
        <w:t>2.</w:t>
      </w:r>
      <w:r>
        <w:tab/>
        <w:t>С 13 по 31 июля 2009 года Комитет по правам человека провел свою д</w:t>
      </w:r>
      <w:r>
        <w:t>е</w:t>
      </w:r>
      <w:r>
        <w:t>вяносто шестую сессию. В ходе сессии Комитет организовал свой первый ди</w:t>
      </w:r>
      <w:r>
        <w:t>а</w:t>
      </w:r>
      <w:r>
        <w:t>лог по вопросу о будущем сотрудничестве с Межпарламентским союзом и с</w:t>
      </w:r>
      <w:r>
        <w:t>о</w:t>
      </w:r>
      <w:r>
        <w:t>гласился с необходимостью содействовать повышению уровня информирова</w:t>
      </w:r>
      <w:r>
        <w:t>н</w:t>
      </w:r>
      <w:r>
        <w:t>ности парламентариев о международных договорах и механизмах в области прав человека, а также о той роли, которую Межпарламентский союз способен сыграть в деле распространения информации о Международном пакте о гра</w:t>
      </w:r>
      <w:r>
        <w:t>ж</w:t>
      </w:r>
      <w:r>
        <w:t>данских и политических правах и заключительных замечаниях Комитета. К</w:t>
      </w:r>
      <w:r>
        <w:t>о</w:t>
      </w:r>
      <w:r>
        <w:t>митет признал, что национальным парламентам следует играть заме</w:t>
      </w:r>
      <w:r>
        <w:t>т</w:t>
      </w:r>
      <w:r>
        <w:t>ную роль в деле поощрения и защиты гражданских и политических прав, а также в ос</w:t>
      </w:r>
      <w:r>
        <w:t>у</w:t>
      </w:r>
      <w:r>
        <w:t>ществлении рекомендаций государств-членов, в частности в отношении внес</w:t>
      </w:r>
      <w:r>
        <w:t>е</w:t>
      </w:r>
      <w:r>
        <w:t>ния изменений в законодательство в целях обеспечения выполн</w:t>
      </w:r>
      <w:r>
        <w:t>е</w:t>
      </w:r>
      <w:r>
        <w:t>ния положений Пакта. Наряду с этим Комитет постановил раз в год рассылать напоминания всем государствам-участникам, задерживающим представление своих докладов (в тех случаях, когда представление доклада проср</w:t>
      </w:r>
      <w:r>
        <w:t>о</w:t>
      </w:r>
      <w:r>
        <w:t xml:space="preserve">чено более чем на год). </w:t>
      </w:r>
    </w:p>
    <w:p w:rsidR="00245CE1" w:rsidRDefault="00245CE1" w:rsidP="00245CE1">
      <w:pPr>
        <w:pStyle w:val="SingleTxt"/>
      </w:pPr>
      <w:r>
        <w:t>3.</w:t>
      </w:r>
      <w:r>
        <w:tab/>
        <w:t>Комитет по правам человека провел свою девяносто седьмую сессию 12–30 октября 2009 года. На сессии члены Комитета обсудили его методы работы, обратив особое внимание на проект пересмотренных руководящих принципов подг</w:t>
      </w:r>
      <w:r>
        <w:t>о</w:t>
      </w:r>
      <w:r>
        <w:t>товки докладов.</w:t>
      </w:r>
    </w:p>
    <w:p w:rsidR="00245CE1" w:rsidRDefault="00245CE1" w:rsidP="00245CE1">
      <w:pPr>
        <w:pStyle w:val="SingleTxt"/>
      </w:pPr>
      <w:r>
        <w:t>4.</w:t>
      </w:r>
      <w:r>
        <w:tab/>
        <w:t>Комитет по ликвидации расовой дискриминации провел свою семьдесят пятую сессию 3–28 августа 2009 года. Сессия Комитета впервые продолжалась четыре недели после того, как Генеральная Ассамблея приняла решение увел</w:t>
      </w:r>
      <w:r>
        <w:t>и</w:t>
      </w:r>
      <w:r>
        <w:t>чить продолжительность сессии Комитета. Комитет принял решение о том, что, помимо установления приоритетности конкретных рекомендаций для принятия мер в целях их осуществления в течение года, Комитет определит также долг</w:t>
      </w:r>
      <w:r>
        <w:t>о</w:t>
      </w:r>
      <w:r>
        <w:t>срочные перспективы в своих заключительных замечаниях, в том числе в целях обеспечения практического руководства в деле подготовки подборок матери</w:t>
      </w:r>
      <w:r>
        <w:t>а</w:t>
      </w:r>
      <w:r>
        <w:t>лов для универсального периодического обзора. Кроме того, для того чтобы привести свою деятельность в соответствие с практикой большинства догово</w:t>
      </w:r>
      <w:r>
        <w:t>р</w:t>
      </w:r>
      <w:r>
        <w:t>ных органов, Комитет постановил снять запрет на обнародование конфиденц</w:t>
      </w:r>
      <w:r>
        <w:t>и</w:t>
      </w:r>
      <w:r>
        <w:t>альной информации, действовавший в отношении страновых докладчиков. В ходе сессии были утверждены две рекомендации общего характера: рекоме</w:t>
      </w:r>
      <w:r>
        <w:t>н</w:t>
      </w:r>
      <w:r>
        <w:t>дация общего характера № 32, в которой подробно разъясняется значение сп</w:t>
      </w:r>
      <w:r>
        <w:t>е</w:t>
      </w:r>
      <w:r>
        <w:t>циальных мер в контексте Конвенции с целью оказать госуда</w:t>
      </w:r>
      <w:r>
        <w:t>р</w:t>
      </w:r>
      <w:r>
        <w:t>ствам-участникам практическую помощь в выполнении их договорных обяз</w:t>
      </w:r>
      <w:r>
        <w:t>а</w:t>
      </w:r>
      <w:r>
        <w:t>тельств в этом отношении, и рекомендация общего характера № 33, касающаяся посл</w:t>
      </w:r>
      <w:r>
        <w:t>е</w:t>
      </w:r>
      <w:r>
        <w:t>дующей деятельности по итогам Конференции по обзору Дурбанского проце</w:t>
      </w:r>
      <w:r>
        <w:t>с</w:t>
      </w:r>
      <w:r>
        <w:t>са, в которой приветствуется импульс, приданный Конференцией дальнейшему осуществлению Дурбанской декларации и Программы действий, и учтены п</w:t>
      </w:r>
      <w:r>
        <w:t>о</w:t>
      </w:r>
      <w:r>
        <w:t>ложения итогового документа с конкретной ссылкой на Конвенцию и работу Комитета.</w:t>
      </w:r>
    </w:p>
    <w:p w:rsidR="00245CE1" w:rsidRDefault="00245CE1" w:rsidP="00245CE1">
      <w:pPr>
        <w:pStyle w:val="SingleTxt"/>
      </w:pPr>
      <w:r>
        <w:t>5.</w:t>
      </w:r>
      <w:r>
        <w:tab/>
        <w:t>С 14 сентября по 2 октября 2009 года Комитет по правам ребенка провел свою пятьдесят вторую сессию. Комитет постановил пересмотреть свои вр</w:t>
      </w:r>
      <w:r>
        <w:t>е</w:t>
      </w:r>
      <w:r>
        <w:t>менные правила процедуры с целью обновить их и утвердить более конкре</w:t>
      </w:r>
      <w:r>
        <w:t>т</w:t>
      </w:r>
      <w:r>
        <w:t>ные правила в отношении выборов и срока полномочий членов Бюро. В ходе сессии состоялась встреча членов Комитета и Африканского комитета по пр</w:t>
      </w:r>
      <w:r>
        <w:t>а</w:t>
      </w:r>
      <w:r>
        <w:t>вам и благосостоянию ребенка, которые договорились об укреплении сотру</w:t>
      </w:r>
      <w:r>
        <w:t>д</w:t>
      </w:r>
      <w:r>
        <w:t>ничества. В ходе работы сессии члены Комитета впервые встретились со Сп</w:t>
      </w:r>
      <w:r>
        <w:t>е</w:t>
      </w:r>
      <w:r>
        <w:t>циальным представителем Генерального секретаря по вопросу о детях и во</w:t>
      </w:r>
      <w:r>
        <w:t>о</w:t>
      </w:r>
      <w:r>
        <w:t>руженных конфликтах для обсуждения путей сотрудничества и оказания вз</w:t>
      </w:r>
      <w:r>
        <w:t>а</w:t>
      </w:r>
      <w:r>
        <w:t>имной поддержки в выполнении соответствующих мандатов, особенно в том, что касается рассмотрения, в контексте Факультативного протокола к Конве</w:t>
      </w:r>
      <w:r>
        <w:t>н</w:t>
      </w:r>
      <w:r>
        <w:t>ции о правах ребенка, положения в государствах-членах в отношении участия детей в вооруженных конфликтах. На сессии Комитет принял решение не о</w:t>
      </w:r>
      <w:r>
        <w:t>р</w:t>
      </w:r>
      <w:r>
        <w:t>ганизовывать в 2010 году день общей дискуссии в связи с увеличением числа докладов, ож</w:t>
      </w:r>
      <w:r>
        <w:t>и</w:t>
      </w:r>
      <w:r>
        <w:t>дающих рассмотрения.</w:t>
      </w:r>
    </w:p>
    <w:p w:rsidR="00245CE1" w:rsidRDefault="00245CE1" w:rsidP="00245CE1">
      <w:pPr>
        <w:pStyle w:val="SingleTxt"/>
      </w:pPr>
      <w:r>
        <w:t>6.</w:t>
      </w:r>
      <w:r>
        <w:tab/>
        <w:t>Комитет и другие партнеры организовали 8 и 9 октября 2009 года дву</w:t>
      </w:r>
      <w:r>
        <w:t>х</w:t>
      </w:r>
      <w:r>
        <w:t>дневное мероприятие в ознаменование 20</w:t>
      </w:r>
      <w:r>
        <w:noBreakHyphen/>
        <w:t>й годовщины принятия Конвенции о правах ребенка. В рамках мероприятия были проведены презентации в ходе пленарных заседаний и дискуссии на семинарах, в ходе которых были отмеч</w:t>
      </w:r>
      <w:r>
        <w:t>е</w:t>
      </w:r>
      <w:r>
        <w:t>ны успехи в вопросах осуществления и приведены примеры передовой практ</w:t>
      </w:r>
      <w:r>
        <w:t>и</w:t>
      </w:r>
      <w:r>
        <w:t>ки; определены серьезные задачи на будущее, а также сформулированы пр</w:t>
      </w:r>
      <w:r>
        <w:t>и</w:t>
      </w:r>
      <w:r>
        <w:t>оритетные рекомендации в целях повышения эффективности осуществления. Эти рекомендации будут проанализированы и официально утверждены Ком</w:t>
      </w:r>
      <w:r>
        <w:t>и</w:t>
      </w:r>
      <w:r>
        <w:t>тетом по правам ребенка на его следующей сессии в январе 2010 года.</w:t>
      </w:r>
    </w:p>
    <w:p w:rsidR="00245CE1" w:rsidRDefault="00245CE1" w:rsidP="00245CE1">
      <w:pPr>
        <w:pStyle w:val="SingleTxt"/>
      </w:pPr>
      <w:r>
        <w:t>7.</w:t>
      </w:r>
      <w:r>
        <w:tab/>
        <w:t>С 12 по 16 октября 2009 года состоялась одиннадцатая сессия Комитета по вопросу о трудящихся-мигрантах. На открытом заседании Комитет обсудил свои планы в отношении 20</w:t>
      </w:r>
      <w:r>
        <w:noBreakHyphen/>
        <w:t>й годовщины принятия Международной конвенции о защите прав всех трудящихся-мигрантов и членов их семей. Кроме того, К</w:t>
      </w:r>
      <w:r>
        <w:t>о</w:t>
      </w:r>
      <w:r>
        <w:t>митет приступил к работе над комментарием общего характера, касающимся мигрантов, работающих в качестве домашней прислуги, и обсудит первый пр</w:t>
      </w:r>
      <w:r>
        <w:t>о</w:t>
      </w:r>
      <w:r>
        <w:t>ект комментария на своей двенадцатой сессии в апреле 2010 года. Это будет первый комментарий общего характера Комитета с момента, когда он прист</w:t>
      </w:r>
      <w:r>
        <w:t>у</w:t>
      </w:r>
      <w:r>
        <w:t>пил к выпо</w:t>
      </w:r>
      <w:r>
        <w:t>л</w:t>
      </w:r>
      <w:r>
        <w:t>нению своих функций в 2004 году. В ходе сессии Комитет выразил обеспокоенность в связи с тем, что государства-участники задерживают пре</w:t>
      </w:r>
      <w:r>
        <w:t>д</w:t>
      </w:r>
      <w:r>
        <w:t>ставление своих докладов, что может создать препятствия в его работе в бл</w:t>
      </w:r>
      <w:r>
        <w:t>и</w:t>
      </w:r>
      <w:r>
        <w:t>жайшем будущем. Комитет указал, что если положение с представлением до</w:t>
      </w:r>
      <w:r>
        <w:t>к</w:t>
      </w:r>
      <w:r>
        <w:t xml:space="preserve">ладов не улучшится, то он рассмотрит вопрос о том, чтобы проводить анализ положения дел в отношении соблюдения прав мигрантов государств-участников в отсутствие их докладов, — в соответствии с практикой других договорных органов. </w:t>
      </w:r>
    </w:p>
    <w:p w:rsidR="00245CE1" w:rsidRDefault="00245CE1" w:rsidP="00245CE1">
      <w:pPr>
        <w:pStyle w:val="SingleTxt"/>
      </w:pPr>
      <w:r>
        <w:t>8.</w:t>
      </w:r>
      <w:r>
        <w:tab/>
        <w:t>В ходе сессии Комитет посвятил день общей дискуссии обсуждению в</w:t>
      </w:r>
      <w:r>
        <w:t>о</w:t>
      </w:r>
      <w:r>
        <w:t>проса о мигрантах, работающих в качестве домашней прислуги. Цель диску</w:t>
      </w:r>
      <w:r>
        <w:t>с</w:t>
      </w:r>
      <w:r>
        <w:t>сии состояла, в частности, в том, чтобы подготовить базу для прений, которые состоятся в рамках девяносто девятой сессии Международной конференции труда в 2010 году, на которой будет обсуждаться вопрос об обеспечении до</w:t>
      </w:r>
      <w:r>
        <w:t>с</w:t>
      </w:r>
      <w:r>
        <w:t>тойной работы для лиц, работающих в качестве домашней прислуги, и будет рассматриваться вопрос о принятии к 2011 году нового документа Междун</w:t>
      </w:r>
      <w:r>
        <w:t>а</w:t>
      </w:r>
      <w:r>
        <w:t>родной организации труда, касающегося трудящихся, работающих в качестве домашней прислуги. Для обсуждения вопросов найма и трудоустройства, а также эффективной защиты трудящихся-мигрантов, работающих в качестве домашней прислуги, и были организованы две соответствующие рабочие гру</w:t>
      </w:r>
      <w:r>
        <w:t>п</w:t>
      </w:r>
      <w:r>
        <w:t>пы. В общей дискуссии участвовали также представители МОТ. Кроме того, в ее работе принял участие один из членов Комитета по ликвидации дискрим</w:t>
      </w:r>
      <w:r>
        <w:t>и</w:t>
      </w:r>
      <w:r>
        <w:t>нации в о</w:t>
      </w:r>
      <w:r>
        <w:t>т</w:t>
      </w:r>
      <w:r>
        <w:t>ношении женщин.</w:t>
      </w:r>
    </w:p>
    <w:p w:rsidR="00245CE1" w:rsidRDefault="00245CE1" w:rsidP="00245CE1">
      <w:pPr>
        <w:pStyle w:val="SingleTxt"/>
      </w:pPr>
      <w:r w:rsidRPr="00D222CA">
        <w:t>9</w:t>
      </w:r>
      <w:r>
        <w:t>.</w:t>
      </w:r>
      <w:r>
        <w:tab/>
        <w:t>С 19 по 23 октября 2009 года проходила вторая сессия Комитета по пр</w:t>
      </w:r>
      <w:r>
        <w:t>а</w:t>
      </w:r>
      <w:r>
        <w:t>вам инвалидов. Комитет обсудил руководящие принципы представления до</w:t>
      </w:r>
      <w:r>
        <w:t>к</w:t>
      </w:r>
      <w:r>
        <w:t>ладов и правила процедуры. День общей дискуссии 21 октября 2009 года был посвящен статье 12 Конвенции о правах инвалидов, в которой речь идет о пр</w:t>
      </w:r>
      <w:r>
        <w:t>а</w:t>
      </w:r>
      <w:r>
        <w:t>ве на равенство перед законом. Цель дискуссии состояла в том, чтобы дать г</w:t>
      </w:r>
      <w:r>
        <w:t>о</w:t>
      </w:r>
      <w:r>
        <w:t>сударствам-членам и другим субъектам более комплексные установки в отн</w:t>
      </w:r>
      <w:r>
        <w:t>о</w:t>
      </w:r>
      <w:r>
        <w:t>шении их обязанностей, касающихся поо</w:t>
      </w:r>
      <w:r>
        <w:t>щ</w:t>
      </w:r>
      <w:r>
        <w:t>рения и защиты права на равенство перед законом в соотве</w:t>
      </w:r>
      <w:r>
        <w:t>т</w:t>
      </w:r>
      <w:r>
        <w:t>ствии со статьей 12 Конвенции.</w:t>
      </w:r>
    </w:p>
    <w:p w:rsidR="00245CE1" w:rsidRDefault="00245CE1" w:rsidP="00245CE1">
      <w:pPr>
        <w:pStyle w:val="SingleTxt"/>
      </w:pPr>
      <w:r>
        <w:t>10.</w:t>
      </w:r>
      <w:r>
        <w:tab/>
        <w:t>После того как Швейцария ратифицировала 24 сентября 2009 года Ф</w:t>
      </w:r>
      <w:r>
        <w:t>а</w:t>
      </w:r>
      <w:r>
        <w:t>культативный протокол к Конвенции против пыток и других жестоких, бесч</w:t>
      </w:r>
      <w:r>
        <w:t>е</w:t>
      </w:r>
      <w:r>
        <w:t>ловечных или унижающих достоинство видов обращения и наказания и число ратифицировавших Конвенцию государств-участников достигло 50, число н</w:t>
      </w:r>
      <w:r>
        <w:t>е</w:t>
      </w:r>
      <w:r>
        <w:t>зависимых экспертов Подкомитета по предупреждению пыток увеличится с 10 до 25 человек. Число членов Комитета по вопросу о трудящихся-мигрантах также увеличится с 10 до 14 человек после того, как 27 июля 2009 года Ниг</w:t>
      </w:r>
      <w:r>
        <w:t>е</w:t>
      </w:r>
      <w:r>
        <w:t xml:space="preserve">рия стала сорок первым государством, ратифицировавшим Международную конвенцию о защите прав всех трудящихся-мигрантов и членов их семей. </w:t>
      </w:r>
    </w:p>
    <w:p w:rsidR="00245CE1" w:rsidRDefault="00245CE1" w:rsidP="00245CE1">
      <w:pPr>
        <w:pStyle w:val="SingleTxt"/>
      </w:pPr>
      <w:r>
        <w:t>11.</w:t>
      </w:r>
      <w:r>
        <w:tab/>
        <w:t>29 сентября 2009 года был открыт для подписания и получил широкую поддержку Факультативный протокол к Международному пакту об экономич</w:t>
      </w:r>
      <w:r>
        <w:t>е</w:t>
      </w:r>
      <w:r>
        <w:t>ских, социальных и культурных правах, который подписали 30 государств-членов. Управление Верховного комиссара Организации Объ</w:t>
      </w:r>
      <w:r>
        <w:t>е</w:t>
      </w:r>
      <w:r>
        <w:t>диненных Наций по правам человека (УВКПЧ) организовало 28 и 29 октября 2009 года в Женеве для участников Международного пакта об экономических, социальных и кул</w:t>
      </w:r>
      <w:r>
        <w:t>ь</w:t>
      </w:r>
      <w:r>
        <w:t>турных правах двухдневный семинар экспертов, посвященный вопросу о во</w:t>
      </w:r>
      <w:r>
        <w:t>з</w:t>
      </w:r>
      <w:r>
        <w:t>можности защиты в судебном порядке экономических, социальных и культу</w:t>
      </w:r>
      <w:r>
        <w:t>р</w:t>
      </w:r>
      <w:r>
        <w:t>ных прав и Факультативному протоколу к Международному пакту об эконом</w:t>
      </w:r>
      <w:r>
        <w:t>и</w:t>
      </w:r>
      <w:r>
        <w:t>ческих, социальных и культурных правах. Цель семинара состояла в том, чт</w:t>
      </w:r>
      <w:r>
        <w:t>о</w:t>
      </w:r>
      <w:r>
        <w:t>бы обсудить наиболее важные вопросы существа и процедурные вопросы, по</w:t>
      </w:r>
      <w:r>
        <w:t>д</w:t>
      </w:r>
      <w:r>
        <w:t>нимавшиеся в ходе судебного разбирательства споров, касающихся экономич</w:t>
      </w:r>
      <w:r>
        <w:t>е</w:t>
      </w:r>
      <w:r>
        <w:t>ских, социальных и культурных прав, с тем чтобы подробно ознакомить учас</w:t>
      </w:r>
      <w:r>
        <w:t>т</w:t>
      </w:r>
      <w:r>
        <w:t>ников Международного пакта об экономических, социальных и культу</w:t>
      </w:r>
      <w:r>
        <w:t>р</w:t>
      </w:r>
      <w:r>
        <w:t>ных правах с соответствующим накопленным опытом в этой области. Для уч</w:t>
      </w:r>
      <w:r>
        <w:t>а</w:t>
      </w:r>
      <w:r>
        <w:t>стия в семинаре собрались эксперты, занимающиеся рассмотрением споров, каса</w:t>
      </w:r>
      <w:r>
        <w:t>ю</w:t>
      </w:r>
      <w:r>
        <w:t>щихся экономических, социальных и культурных прав на национальном, р</w:t>
      </w:r>
      <w:r>
        <w:t>е</w:t>
      </w:r>
      <w:r>
        <w:t>гиональном и международном уровнях, в частности члены международных и региональных правозащитных механизмов, судов, а также наци</w:t>
      </w:r>
      <w:r>
        <w:t>о</w:t>
      </w:r>
      <w:r>
        <w:t>нальные судьи и практикующие юристы. В семинаре экспертов принял участие Председатель Рабочей группы по сообщениям в соответствии с Факультативным протоколом к Конвенции о ликвидации всех форм дискриминации в отношении женщин, который рассказал об опыте Комитета по ликвидации дискриминации в отн</w:t>
      </w:r>
      <w:r>
        <w:t>о</w:t>
      </w:r>
      <w:r>
        <w:t>шении женщин по рассмотрению споров об экономических, соц</w:t>
      </w:r>
      <w:r>
        <w:t>и</w:t>
      </w:r>
      <w:r>
        <w:t>альных и культурных правах. Он отметил явное дублирование мандатов Комитета по л</w:t>
      </w:r>
      <w:r>
        <w:t>и</w:t>
      </w:r>
      <w:r>
        <w:t>квидации дискриминации в отношении женщин и Комитета по экономическим, социальным и культурным правам и выразил надежду на то, что пра</w:t>
      </w:r>
      <w:r>
        <w:t>к</w:t>
      </w:r>
      <w:r>
        <w:t>тика, применяемая обоими комитетами, будет способствовать более эффективной реализации прав, закрепленных в их соответствующих докуме</w:t>
      </w:r>
      <w:r>
        <w:t>н</w:t>
      </w:r>
      <w:r>
        <w:t xml:space="preserve">тах. </w:t>
      </w:r>
    </w:p>
    <w:p w:rsidR="00245CE1" w:rsidRDefault="00245CE1" w:rsidP="00245CE1">
      <w:pPr>
        <w:pStyle w:val="SingleTxt"/>
      </w:pPr>
      <w:r>
        <w:t>12.</w:t>
      </w:r>
      <w:r>
        <w:tab/>
        <w:t>Сорок третья сессия Комитета по экономическим, социальным и культу</w:t>
      </w:r>
      <w:r>
        <w:t>р</w:t>
      </w:r>
      <w:r>
        <w:t>ным правам проходила в Женеве со 2 по 20 ноября 2009 года. В ходе сессии Комитет принял замечание общего порядка № 21 о праве каждого на участие в культурной жизни (пункт 1(</w:t>
      </w:r>
      <w:r>
        <w:rPr>
          <w:lang w:val="en-US"/>
        </w:rPr>
        <w:t>a</w:t>
      </w:r>
      <w:r>
        <w:t>) статьи 15 Международного пакта об экономич</w:t>
      </w:r>
      <w:r>
        <w:t>е</w:t>
      </w:r>
      <w:r>
        <w:t>ских, социальных и культурных правах). Комитет имеет большой опыт работы в этой области в контексте рассмотрения докладов и диалога с г</w:t>
      </w:r>
      <w:r>
        <w:t>о</w:t>
      </w:r>
      <w:r>
        <w:t>сударствами-участниками. Помимо этого, Комитет дважды, в 1992 году и в 2008 году, орг</w:t>
      </w:r>
      <w:r>
        <w:t>а</w:t>
      </w:r>
      <w:r>
        <w:t>низовал день общей дискуссии с участием представителей международных о</w:t>
      </w:r>
      <w:r>
        <w:t>р</w:t>
      </w:r>
      <w:r>
        <w:t>ганизаций и организаций гражданского общества в целях подготовки замеч</w:t>
      </w:r>
      <w:r>
        <w:t>а</w:t>
      </w:r>
      <w:r>
        <w:t>ния общего порядка № 21. Комитет провел также информационное заседание по вопросу о праве на сексуальное и репродуктивное здоровье, которое было организовано совместно с Фондом Организации Объединенных Наций в обла</w:t>
      </w:r>
      <w:r>
        <w:t>с</w:t>
      </w:r>
      <w:r>
        <w:t>ти народонаселения (ЮНФПА), Всемирной организацией здравоохранения (ВОЗ) и Центром репродуктивных прав для выработки замечания общего п</w:t>
      </w:r>
      <w:r>
        <w:t>о</w:t>
      </w:r>
      <w:r>
        <w:t>рядка по этому вопросу. Информационной сессии предшествовало заседание экспертов, которое было о</w:t>
      </w:r>
      <w:r>
        <w:t>р</w:t>
      </w:r>
      <w:r>
        <w:t>ганизовано ЮНФПА в Нью-Йорке 8–9 октября 2009 года. В заседании приняли участие представители целого ряда учрежд</w:t>
      </w:r>
      <w:r>
        <w:t>е</w:t>
      </w:r>
      <w:r>
        <w:t>ний Организации Объединенных Наций, эксперты, специалисты-практики и ведущие ученые в этой области. Пять членов Комитета участвовали в этом з</w:t>
      </w:r>
      <w:r>
        <w:t>а</w:t>
      </w:r>
      <w:r>
        <w:t>седании, которое предоставило возможность для проведения исключительно полезного и информативного обмена мнениями по вопросу о том, каким обр</w:t>
      </w:r>
      <w:r>
        <w:t>а</w:t>
      </w:r>
      <w:r>
        <w:t>зом работать над замечанием общего порядка такого рода. Возможно, Ком</w:t>
      </w:r>
      <w:r>
        <w:t>и</w:t>
      </w:r>
      <w:r>
        <w:t>тет рассмотрит вопрос о том, чтобы посвятить этому вопросу день общей диску</w:t>
      </w:r>
      <w:r>
        <w:t>с</w:t>
      </w:r>
      <w:r>
        <w:t>сии в н</w:t>
      </w:r>
      <w:r>
        <w:t>о</w:t>
      </w:r>
      <w:r>
        <w:t xml:space="preserve">ябре 2010 года. 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8E679F" w:rsidRDefault="00245CE1" w:rsidP="00245C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B</w:t>
      </w:r>
      <w:r w:rsidRPr="008E679F">
        <w:t>.</w:t>
      </w:r>
      <w:r w:rsidRPr="008E679F">
        <w:tab/>
        <w:t xml:space="preserve">Девятое межкомитетское </w:t>
      </w:r>
      <w:r>
        <w:t>совещание договорных органов по </w:t>
      </w:r>
      <w:r w:rsidRPr="008E679F">
        <w:t>правам человека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SingleTxt"/>
      </w:pPr>
      <w:r>
        <w:t>13.</w:t>
      </w:r>
      <w:r>
        <w:tab/>
      </w:r>
      <w:r w:rsidRPr="002665B8">
        <w:t>Девятое межкомитетское совещание договорных органов по правам чел</w:t>
      </w:r>
      <w:r w:rsidRPr="002665B8">
        <w:t>о</w:t>
      </w:r>
      <w:r w:rsidRPr="002665B8">
        <w:t>века и двадцать первое совещание председателей договорных органов по пр</w:t>
      </w:r>
      <w:r w:rsidRPr="002665B8">
        <w:t>а</w:t>
      </w:r>
      <w:r w:rsidRPr="002665B8">
        <w:t>вам человека проходили, соответственно, с 29</w:t>
      </w:r>
      <w:r>
        <w:rPr>
          <w:lang w:val="en-US"/>
        </w:rPr>
        <w:t> </w:t>
      </w:r>
      <w:r w:rsidRPr="002665B8">
        <w:t xml:space="preserve">июня </w:t>
      </w:r>
      <w:r>
        <w:t>по 1 июля 2009 года и 2 и 3 июля 2009 года. В центре внимания обоих совещаний находились вопросы эффективного осуществления положений международных документов в обла</w:t>
      </w:r>
      <w:r>
        <w:t>с</w:t>
      </w:r>
      <w:r>
        <w:t>ти прав человека, включая обязанность в отношении представления докладов в соответствии с международными документами по правам человека. На межк</w:t>
      </w:r>
      <w:r>
        <w:t>о</w:t>
      </w:r>
      <w:r>
        <w:t>митетском совещании обсуждался также вопрос о реформе системы догово</w:t>
      </w:r>
      <w:r>
        <w:t>р</w:t>
      </w:r>
      <w:r>
        <w:t>ных органов, включая согласование методов работы и механизм универсальн</w:t>
      </w:r>
      <w:r>
        <w:t>о</w:t>
      </w:r>
      <w:r>
        <w:t xml:space="preserve">го периодического обзора Совета по правам человека. </w:t>
      </w:r>
    </w:p>
    <w:p w:rsidR="00245CE1" w:rsidRDefault="00245CE1" w:rsidP="00245CE1">
      <w:pPr>
        <w:pStyle w:val="SingleTxt"/>
      </w:pPr>
      <w:r>
        <w:t>14.</w:t>
      </w:r>
      <w:r>
        <w:tab/>
        <w:t>На двадцать первом совещании председателей договорных органов по правам человека был признан важный вклад мандатариев специальных проц</w:t>
      </w:r>
      <w:r>
        <w:t>е</w:t>
      </w:r>
      <w:r>
        <w:t>дур в работу договорных органов. Председатели вновь заявили о важном зн</w:t>
      </w:r>
      <w:r>
        <w:t>а</w:t>
      </w:r>
      <w:r>
        <w:t>чении повышения эффективности сотрудничества и координации между двумя механизмами, в том числе в отношении обмена информацией и более эффе</w:t>
      </w:r>
      <w:r>
        <w:t>к</w:t>
      </w:r>
      <w:r>
        <w:t>тивного использования результатов своей общей работы. Участники совещания рекомендовали, чтобы каждый договорной орган рассмотрел вопрос о назнач</w:t>
      </w:r>
      <w:r>
        <w:t>е</w:t>
      </w:r>
      <w:r>
        <w:t>нии координатора в целях расширения сотрудничества, обеспечения более э</w:t>
      </w:r>
      <w:r>
        <w:t>ф</w:t>
      </w:r>
      <w:r>
        <w:t>фективного взаимодействия по конкретным страновым и тематическим вопр</w:t>
      </w:r>
      <w:r>
        <w:t>о</w:t>
      </w:r>
      <w:r>
        <w:t>сам и принятия последующих мер совместно с мандатариями специальных процедур. Председатели подчеркнули взаимодополняющий и взаимоусил</w:t>
      </w:r>
      <w:r>
        <w:t>и</w:t>
      </w:r>
      <w:r>
        <w:t>вающий характер системы договорных органов и механизма универсального периодического обзора и особо отметили важное значение продолжения диал</w:t>
      </w:r>
      <w:r>
        <w:t>о</w:t>
      </w:r>
      <w:r>
        <w:t>га по этому вопросу. Был также отмечен позитивный характер итогов работы в рамках универсального периодического обзора как межправительственного процесса. Председатели подчеркнули также, что оба процесса являются в ра</w:t>
      </w:r>
      <w:r>
        <w:t>в</w:t>
      </w:r>
      <w:r>
        <w:t>ной степени важными, и рекомендовали учитывать этот принцип при выдел</w:t>
      </w:r>
      <w:r>
        <w:t>е</w:t>
      </w:r>
      <w:r>
        <w:t>нии ресурсов.</w:t>
      </w:r>
    </w:p>
    <w:p w:rsidR="00245CE1" w:rsidRDefault="00245CE1" w:rsidP="00245CE1">
      <w:pPr>
        <w:pStyle w:val="SingleTxt"/>
      </w:pPr>
      <w:r>
        <w:t>15.</w:t>
      </w:r>
      <w:r>
        <w:tab/>
        <w:t>Совещание председателей приняло к сведению резолюцию 63/167 Ген</w:t>
      </w:r>
      <w:r>
        <w:t>е</w:t>
      </w:r>
      <w:r>
        <w:t>ральной Ассамблеи о справедливом географическом распред</w:t>
      </w:r>
      <w:r>
        <w:t>е</w:t>
      </w:r>
      <w:r>
        <w:t>лении членского состава договорных органов по правам человека и рекомендовало, чтобы гос</w:t>
      </w:r>
      <w:r>
        <w:t>у</w:t>
      </w:r>
      <w:r>
        <w:t>дарства-участники при выдвижении кандидатур и выборах членов договорных органов учитывали соответствующие положения, изложенные в имеющих об</w:t>
      </w:r>
      <w:r>
        <w:t>я</w:t>
      </w:r>
      <w:r>
        <w:t>зательную юридическую силу документах по правам человека. Председатели рекомендовали также представлять всем договорным органам доклад Незав</w:t>
      </w:r>
      <w:r>
        <w:t>и</w:t>
      </w:r>
      <w:r>
        <w:t>симого эксперта Организации Объединенных Наций по вопросам меньшинств (A/HRC/10/11/Add.1), содержащий рекомендации Форума по вопросам мен</w:t>
      </w:r>
      <w:r>
        <w:t>ь</w:t>
      </w:r>
      <w:r>
        <w:t>шинств, а также будущие доклады Форума, с тем чтобы содействовать обсу</w:t>
      </w:r>
      <w:r>
        <w:t>ж</w:t>
      </w:r>
      <w:r>
        <w:t>дению его рекомендаций и возможному формулированию совместного замеч</w:t>
      </w:r>
      <w:r>
        <w:t>а</w:t>
      </w:r>
      <w:r>
        <w:t xml:space="preserve">ния общего порядка по вопросам меньшинств. 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t>C.</w:t>
      </w:r>
      <w:r>
        <w:tab/>
        <w:t>Совет Безопасности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SingleTxt"/>
      </w:pPr>
      <w:r>
        <w:t>16.</w:t>
      </w:r>
      <w:r>
        <w:tab/>
        <w:t>Совет Безопасности Организации Объединенных Наций единогласно принял резолюцию 1888 (2009), в которой к государствам-членам был обр</w:t>
      </w:r>
      <w:r>
        <w:t>а</w:t>
      </w:r>
      <w:r>
        <w:t>щен настоятельный призыв принять действенные меры с целью прекратить испол</w:t>
      </w:r>
      <w:r>
        <w:t>ь</w:t>
      </w:r>
      <w:r>
        <w:t>зовать сексуальное насилие в качестве тактики войны. В резолюции, авт</w:t>
      </w:r>
      <w:r>
        <w:t>о</w:t>
      </w:r>
      <w:r>
        <w:t>рами которой выступила 61 страна, Совет вновь потребовал немедленного и полного прекращения всеми сторонами в вооруженном конфликте всех аспектов секс</w:t>
      </w:r>
      <w:r>
        <w:t>у</w:t>
      </w:r>
      <w:r>
        <w:t>ального насилия. Основу резолюции составляют положения резолюций 1325 (2000) и 1820 (2008), благодаря которым вопросы сексуального насилия заняли важное место в работе Совета Безопасности. В резолюции 1888 (2009) по</w:t>
      </w:r>
      <w:r>
        <w:t>д</w:t>
      </w:r>
      <w:r>
        <w:t>тверждается, что принятие действенных мер в целях предупреждения таких а</w:t>
      </w:r>
      <w:r>
        <w:t>к</w:t>
      </w:r>
      <w:r>
        <w:t>тов сексуального насилия и реагирования на них может в значительной степ</w:t>
      </w:r>
      <w:r>
        <w:t>е</w:t>
      </w:r>
      <w:r>
        <w:t>ни способствовать поддержанию международного мира и безопасности. Совет настоятельно призывает государства безотлагательно осуществить всеобъе</w:t>
      </w:r>
      <w:r>
        <w:t>м</w:t>
      </w:r>
      <w:r>
        <w:t>лющие законодательные и судебные реформы в целях привлечения к ответс</w:t>
      </w:r>
      <w:r>
        <w:t>т</w:t>
      </w:r>
      <w:r>
        <w:t>венности лиц, виновных в совершении актов сексуального насилия в период конфликтов. Стороны в конфликте должны также обеспечивать тщ</w:t>
      </w:r>
      <w:r>
        <w:t>а</w:t>
      </w:r>
      <w:r>
        <w:t>тельное расследование всех сообщений о совершении гражданскими лицами или вое</w:t>
      </w:r>
      <w:r>
        <w:t>н</w:t>
      </w:r>
      <w:r>
        <w:t>нослужащими актов сексуального насилия и привлечение к судебной ответс</w:t>
      </w:r>
      <w:r>
        <w:t>т</w:t>
      </w:r>
      <w:r>
        <w:t>венности предполагаемых испо</w:t>
      </w:r>
      <w:r>
        <w:t>л</w:t>
      </w:r>
      <w:r>
        <w:t>нителей.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</w:t>
      </w:r>
      <w:r>
        <w:tab/>
        <w:t>Генеральная Ассамблея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SingleTxt"/>
      </w:pPr>
      <w:r>
        <w:t>17.</w:t>
      </w:r>
      <w:r>
        <w:tab/>
        <w:t>14 сентября 2009 года Генеральная Ассамблея приняла резолюцию 63/311, в которой поддержала идею создания новой структуры, которая будет зан</w:t>
      </w:r>
      <w:r>
        <w:t>и</w:t>
      </w:r>
      <w:r>
        <w:t>маться правами женщин. Четыре структуры системы Организации Объедине</w:t>
      </w:r>
      <w:r>
        <w:t>н</w:t>
      </w:r>
      <w:r>
        <w:t>ных Наций, а именно Фонд Организации Объ</w:t>
      </w:r>
      <w:r>
        <w:t>е</w:t>
      </w:r>
      <w:r>
        <w:t>диненных Наций для развития в интересах женщин (ЮНИФЕМ), Отдел по улучшению положения женщин, Канцелярия Специального советника Генерального секретаря по гендерным вопросам и улучшению положения женщин и Международный учебный и н</w:t>
      </w:r>
      <w:r>
        <w:t>а</w:t>
      </w:r>
      <w:r>
        <w:t>учно-исследовательский институт по улучшению положения женщин, будут объединены в единую структуру в рамках Организации Объединенных Наций, которая будет содействовать реализации прав и обеспечению благоп</w:t>
      </w:r>
      <w:r>
        <w:t>о</w:t>
      </w:r>
      <w:r>
        <w:t>лучия женщин во всем мире и добиваться установления равенства между му</w:t>
      </w:r>
      <w:r>
        <w:t>ж</w:t>
      </w:r>
      <w:r>
        <w:t>чинами и женщинами. Резолюция была принята с целью повысить степень согласова</w:t>
      </w:r>
      <w:r>
        <w:t>н</w:t>
      </w:r>
      <w:r>
        <w:t>ности усилий и действий в рамках системы Организации Объединенных Н</w:t>
      </w:r>
      <w:r>
        <w:t>а</w:t>
      </w:r>
      <w:r>
        <w:t>ций. Согласно резолюции, новую объединенную структуру возглавит один из заместителей Генерального секретаря. В резолюции в адрес Генерального се</w:t>
      </w:r>
      <w:r>
        <w:t>к</w:t>
      </w:r>
      <w:r>
        <w:t>ретаря обращена просьба представить государствам-членам всеобъемлющее предложение с указанием программного заявления, организационной структ</w:t>
      </w:r>
      <w:r>
        <w:t>у</w:t>
      </w:r>
      <w:r>
        <w:t>ры, порядка финансирования и надзора за деятельностью новой структуры, с тем чтобы ее можно было создать в самое ближайшее время. Резолюция пр</w:t>
      </w:r>
      <w:r>
        <w:t>и</w:t>
      </w:r>
      <w:r>
        <w:t>зывает также принять более активные меры в целях гармонизации методов р</w:t>
      </w:r>
      <w:r>
        <w:t>а</w:t>
      </w:r>
      <w:r>
        <w:t>боты организаций системы развития Организации Объединенных Н</w:t>
      </w:r>
      <w:r>
        <w:t>а</w:t>
      </w:r>
      <w:r>
        <w:t>ций и изыскать способы совершенствования системы финансирования такой де</w:t>
      </w:r>
      <w:r>
        <w:t>я</w:t>
      </w:r>
      <w:r>
        <w:t>тельности и принять другие меры в целях упорядочения и согласования пра</w:t>
      </w:r>
      <w:r>
        <w:t>к</w:t>
      </w:r>
      <w:r>
        <w:t>тики работы в рамках Организации. Следует отметить, что в настоящее время на руководящие посты назначается больше женщин, чем когда бы то ни было в истории Организации Объединенных Наций, в том числе девять женщин зан</w:t>
      </w:r>
      <w:r>
        <w:t>и</w:t>
      </w:r>
      <w:r>
        <w:t>мают пост заместителя Генерального секретаря. С 2007 года число женщин, занимающих руководящие посты, выросло на 40 процентов.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E.</w:t>
      </w:r>
      <w:r>
        <w:tab/>
        <w:t>Совет по правам человека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SingleTxt"/>
      </w:pPr>
      <w:r>
        <w:t>18.</w:t>
      </w:r>
      <w:r>
        <w:tab/>
        <w:t>В июне 2009 года Совет по правам человека принял резолюцию 11/1, оз</w:t>
      </w:r>
      <w:r>
        <w:t>а</w:t>
      </w:r>
      <w:r>
        <w:t>главленную «Рабочая группа открытого состава по факультативному прот</w:t>
      </w:r>
      <w:r>
        <w:t>о</w:t>
      </w:r>
      <w:r>
        <w:t>колу к Конвенции о правах ребенка, предусматривающему процедуру сообщ</w:t>
      </w:r>
      <w:r>
        <w:t>е</w:t>
      </w:r>
      <w:r>
        <w:t>ний». В резолюции учреждается рабочая группа открытого состава по изучению во</w:t>
      </w:r>
      <w:r>
        <w:t>з</w:t>
      </w:r>
      <w:r>
        <w:t>можностей разработки факультативного протокола к Конвенции о правах р</w:t>
      </w:r>
      <w:r>
        <w:t>е</w:t>
      </w:r>
      <w:r>
        <w:t>бенка, предусматривающего процедуру сообщений в дополнение к процедуре представления докладов согласно Конвенции. Рабочая группа открытого сост</w:t>
      </w:r>
      <w:r>
        <w:t>а</w:t>
      </w:r>
      <w:r>
        <w:t>ва проведет свои заседания с 14 по 18 декабря 2009 года.</w:t>
      </w:r>
    </w:p>
    <w:p w:rsidR="00245CE1" w:rsidRDefault="00245CE1" w:rsidP="00245CE1">
      <w:pPr>
        <w:pStyle w:val="SingleTxt"/>
      </w:pPr>
      <w:r>
        <w:t>19.</w:t>
      </w:r>
      <w:r>
        <w:tab/>
        <w:t>Консультативный комитет Совета по правам человека провел свою третью сессию с 3 по 7 августа 2009 года. Консультативный комитет утвердил свод р</w:t>
      </w:r>
      <w:r>
        <w:t>у</w:t>
      </w:r>
      <w:r>
        <w:t>ководящих принципов, касающихся ликвидации дискриминации в отношении лиц, пораженных проказой, и членов их семей, и обсудил проект декларации об образовании и подготовке в области прав человека. Кроме того, Консульт</w:t>
      </w:r>
      <w:r>
        <w:t>а</w:t>
      </w:r>
      <w:r>
        <w:t>тивный комитет постановил рассмотреть вопрос о проведении исследования, посвященного поощрению права народов на мир. В своем решении Консульт</w:t>
      </w:r>
      <w:r>
        <w:t>а</w:t>
      </w:r>
      <w:r>
        <w:t>тивный комитет отметил, что необходимо уточнить содержание и объем этого права, предложил меры в целях повышения степени информирова</w:t>
      </w:r>
      <w:r>
        <w:t>н</w:t>
      </w:r>
      <w:r>
        <w:t>ности о важном значении его практической реализации и предложил конкретные шаги для мобилизации государств, межправительственных и неправительственных организаций в целях поощрения права народов на мир. Было решено, что эта новая инициатива позволит Консультативному комитету внести вклад в обсу</w:t>
      </w:r>
      <w:r>
        <w:t>ж</w:t>
      </w:r>
      <w:r>
        <w:t>дение вопросов мира и безопасности с учетом правозащитных аспектов. Было принято решение о том, что результаты исследования будут представлены на рассмотрение Консультативному комитету не позднее его пятой сессии. Ко</w:t>
      </w:r>
      <w:r>
        <w:t>н</w:t>
      </w:r>
      <w:r>
        <w:t>сультативный комитет постановил также определить в качестве нового приор</w:t>
      </w:r>
      <w:r>
        <w:t>и</w:t>
      </w:r>
      <w:r>
        <w:t>тетного направления деятельность по поощрению прав человека пожилых л</w:t>
      </w:r>
      <w:r>
        <w:t>ю</w:t>
      </w:r>
      <w:r>
        <w:t>дей. Комитет отметил, что число пожилых людей стремительно растет и возн</w:t>
      </w:r>
      <w:r>
        <w:t>и</w:t>
      </w:r>
      <w:r>
        <w:t>кает опасность того, что они могут пострадать в результате нарушения их прав человека в различных контекстах — экономическом, институциональном, о</w:t>
      </w:r>
      <w:r>
        <w:t>б</w:t>
      </w:r>
      <w:r>
        <w:t>щественном и семейном.</w:t>
      </w:r>
    </w:p>
    <w:p w:rsidR="00245CE1" w:rsidRDefault="00245CE1" w:rsidP="00245CE1">
      <w:pPr>
        <w:pStyle w:val="SingleTxt"/>
      </w:pPr>
      <w:r>
        <w:t>20.</w:t>
      </w:r>
      <w:r>
        <w:tab/>
        <w:t>С 14 сентября по 2 октября 2009 года Совет по правам человека провел свою двенадцатую сессию. В этом контексте он провел ежегодную дискуссию по вопросу об интеграции гендерных аспектов в работу Совета по правам ч</w:t>
      </w:r>
      <w:r>
        <w:t>е</w:t>
      </w:r>
      <w:r>
        <w:t>ловека с особым упором на механизм универсального периодического обз</w:t>
      </w:r>
      <w:r>
        <w:t>о</w:t>
      </w:r>
      <w:r>
        <w:t>ра. В ходе дискуссии особый акцент был сделан на том, что Совет по правам чел</w:t>
      </w:r>
      <w:r>
        <w:t>о</w:t>
      </w:r>
      <w:r>
        <w:t>века, правозащитные механизмы Организации Объединенных Н</w:t>
      </w:r>
      <w:r>
        <w:t>а</w:t>
      </w:r>
      <w:r>
        <w:t>ций и процесс универсального периодического обзора особенно актуальны для стран, не р</w:t>
      </w:r>
      <w:r>
        <w:t>а</w:t>
      </w:r>
      <w:r>
        <w:t>тифицировавших некоторые международные договоры в области прав челов</w:t>
      </w:r>
      <w:r>
        <w:t>е</w:t>
      </w:r>
      <w:r>
        <w:t>ка, включая Конвенцию о ликвидации всех форм дискриминации в отношении женщин. Следует отметить, что в ходе обзора некоторые государства взяли на себя обязательство снять оговорки к Конвенции, которые были сдел</w:t>
      </w:r>
      <w:r>
        <w:t>а</w:t>
      </w:r>
      <w:r>
        <w:t>ны давно и имеют далеко идущие последствия. Комитет по ликвидации ди</w:t>
      </w:r>
      <w:r>
        <w:t>с</w:t>
      </w:r>
      <w:r>
        <w:t>криминации в отношении женщин был представлен одним членом, который особо подчер</w:t>
      </w:r>
      <w:r>
        <w:t>к</w:t>
      </w:r>
      <w:r>
        <w:t>нул, что Совету по правам человека необходимо обеспечить, чтобы все его м</w:t>
      </w:r>
      <w:r>
        <w:t>е</w:t>
      </w:r>
      <w:r>
        <w:t>ханизмы и вспомогательные органы выработали и начали применять рабочее определение понятия «гендерный» в контексте процессов, процедур и резул</w:t>
      </w:r>
      <w:r>
        <w:t>ь</w:t>
      </w:r>
      <w:r>
        <w:t>татов своей раб</w:t>
      </w:r>
      <w:r>
        <w:t>о</w:t>
      </w:r>
      <w:r>
        <w:t>ты.</w:t>
      </w:r>
    </w:p>
    <w:p w:rsidR="00245CE1" w:rsidRDefault="00245CE1" w:rsidP="00245CE1">
      <w:pPr>
        <w:pStyle w:val="SingleTxt"/>
      </w:pPr>
      <w:r>
        <w:t>21.</w:t>
      </w:r>
      <w:r>
        <w:tab/>
        <w:t>29 и 30 сентября 2009 года Совет по правам человека обсудил доклад Миссии Организации Объединенных Наций по установлению фактов в связи с конфликтом в Газе (</w:t>
      </w:r>
      <w:r>
        <w:rPr>
          <w:lang w:val="en-US"/>
        </w:rPr>
        <w:t>A</w:t>
      </w:r>
      <w:r w:rsidRPr="00AC1387">
        <w:t>/</w:t>
      </w:r>
      <w:r>
        <w:rPr>
          <w:lang w:val="en-US"/>
        </w:rPr>
        <w:t>HRC</w:t>
      </w:r>
      <w:r w:rsidRPr="00AC1387">
        <w:t>/12/48)</w:t>
      </w:r>
      <w:r>
        <w:t>. Решение об учреждении Миссии было пр</w:t>
      </w:r>
      <w:r>
        <w:t>и</w:t>
      </w:r>
      <w:r>
        <w:t>нято Советом на его девятой специальной сессии. Совет также обсудил доклад Верховного комиссара по правам человека об осуществлении резолюции S</w:t>
      </w:r>
      <w:r>
        <w:noBreakHyphen/>
        <w:t>9/1 Совета по правам человека (</w:t>
      </w:r>
      <w:r>
        <w:rPr>
          <w:lang w:val="en-US"/>
        </w:rPr>
        <w:t>A</w:t>
      </w:r>
      <w:r w:rsidRPr="00E808BF">
        <w:t>/</w:t>
      </w:r>
      <w:r>
        <w:rPr>
          <w:lang w:val="en-US"/>
        </w:rPr>
        <w:t>HRC</w:t>
      </w:r>
      <w:r w:rsidRPr="00E808BF">
        <w:t>/12/37</w:t>
      </w:r>
      <w:r>
        <w:t>). Совет созвал свою двенадцатую специальную се</w:t>
      </w:r>
      <w:r>
        <w:t>с</w:t>
      </w:r>
      <w:r>
        <w:t>сию 15 и 16 октября 2009 года. Сессия была созвана членами Совета с целью обсудить положение в области прав человека на оккупирова</w:t>
      </w:r>
      <w:r>
        <w:t>н</w:t>
      </w:r>
      <w:r>
        <w:t>ной палестинской территории и в Восточном Иерусалиме, а также рекоменд</w:t>
      </w:r>
      <w:r>
        <w:t>а</w:t>
      </w:r>
      <w:r>
        <w:t>ции Миссии по установлению фактов. Практически все государства призвали провести независимое расследование в целях привлечения к ответственности лиц, виновных в нарушении права прав человека и международного гуман</w:t>
      </w:r>
      <w:r>
        <w:t>и</w:t>
      </w:r>
      <w:r>
        <w:t>тарного права. Резолюция была принята в результате голосования в конце се</w:t>
      </w:r>
      <w:r>
        <w:t>с</w:t>
      </w:r>
      <w:r>
        <w:t>сии.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  <w:t>III</w:t>
      </w:r>
      <w:r>
        <w:t>.</w:t>
      </w:r>
      <w:r>
        <w:tab/>
        <w:t>Тридцатая годовщина принятия Конвенции</w:t>
      </w:r>
      <w:r>
        <w:br/>
        <w:t xml:space="preserve">о ликвидации всех форм дискриминации </w:t>
      </w:r>
      <w:r>
        <w:br/>
        <w:t>в отношении женщин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SingleTxt"/>
      </w:pPr>
      <w:r>
        <w:t>22.</w:t>
      </w:r>
      <w:r>
        <w:tab/>
        <w:t>18 декабря 1979 года Генеральная Ассамблея приняла Конвенцию о ли</w:t>
      </w:r>
      <w:r>
        <w:t>к</w:t>
      </w:r>
      <w:r>
        <w:t>видации всех форм дискриминации в отношении женщин. Тридцатая годовщ</w:t>
      </w:r>
      <w:r>
        <w:t>и</w:t>
      </w:r>
      <w:r>
        <w:t>на принятия Конвенции — это серьезный повод торжественно отметить ее практически универсальную ратификацию, а также прогресс, достигнутый за последнее время в деле осуществления Конвенции на национал</w:t>
      </w:r>
      <w:r>
        <w:t>ь</w:t>
      </w:r>
      <w:r>
        <w:t>ном уровне. В ознаменование этой годовщины на национальном и регионал</w:t>
      </w:r>
      <w:r>
        <w:t>ь</w:t>
      </w:r>
      <w:r>
        <w:t>ном уровнях был проведен ряд мероприятий. Региональные мероприятия были организованы УВКПЧ, ЮНИФЕМ и региональными комиссиями Организации Объедине</w:t>
      </w:r>
      <w:r>
        <w:t>н</w:t>
      </w:r>
      <w:r>
        <w:t>ных Наций в контексте 15</w:t>
      </w:r>
      <w:r>
        <w:noBreakHyphen/>
        <w:t>летнего обзора осуществления Пекинской платфо</w:t>
      </w:r>
      <w:r>
        <w:t>р</w:t>
      </w:r>
      <w:r>
        <w:t>мы действий. Мероприятия в ознаменование годовщины в течение 2009 года проводятся в Аргентине, Гамбии, Египте, Кыргызстане, Ливане, Таиланде и Швейцарии. Кульминационным моментом в этом смысле станет глобальное мероприятие, которой пройдет 3 декабря 2009 года в Центральных учрежден</w:t>
      </w:r>
      <w:r>
        <w:t>и</w:t>
      </w:r>
      <w:r>
        <w:t>ях Организ</w:t>
      </w:r>
      <w:r>
        <w:t>а</w:t>
      </w:r>
      <w:r>
        <w:t>ции Объединенных Наций в Нью-Йорке.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IV</w:t>
      </w:r>
      <w:r>
        <w:t>.</w:t>
      </w:r>
      <w:r>
        <w:tab/>
        <w:t>Доклады, которые будут рассмотрены Комитетом</w:t>
      </w:r>
      <w:r>
        <w:br/>
        <w:t>на будущих сессиях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SingleTxt"/>
      </w:pPr>
      <w:r>
        <w:t>23.</w:t>
      </w:r>
      <w:r>
        <w:tab/>
        <w:t>На своей сорок пятой сессии, которая пройдет с 18 января по 5 февраля 2010 года, Комитет рассмотрит доклады следующих государств-участников: Ботсваны, Египта, Малави, Нидерландов, Объединенных Арабских Эмиратов, Панамы, Узбекистана и Украины. Представить свои доклады сорок шестой сессии Комитета в июле-августе 2010 года предлагается следующим государс</w:t>
      </w:r>
      <w:r>
        <w:t>т</w:t>
      </w:r>
      <w:r>
        <w:t>вам-участникам: Австралии, Албании, Аргентине, Гренаде, Папуа — Новой Гвинее, Российской Федерации, Сейшельским Островам, Турции, Фиджи и Центральноафриканской Республике. Аргентина, доклад которой должен был рассматриваться на сорок четвертой сессии в июле 2009 года, просила отл</w:t>
      </w:r>
      <w:r>
        <w:t>о</w:t>
      </w:r>
      <w:r>
        <w:t>жить рассмотрение ее доклада. При составлении перечня гос</w:t>
      </w:r>
      <w:r>
        <w:t>у</w:t>
      </w:r>
      <w:r>
        <w:t>дарств-участников, доклады которых будут рассматриваться на будущих сессиях, К</w:t>
      </w:r>
      <w:r>
        <w:t>о</w:t>
      </w:r>
      <w:r>
        <w:t>митету предлагается учитывать информацию, содержащуюся в прил</w:t>
      </w:r>
      <w:r>
        <w:t>о</w:t>
      </w:r>
      <w:r>
        <w:t>жении </w:t>
      </w:r>
      <w:r>
        <w:rPr>
          <w:lang w:val="en-US"/>
        </w:rPr>
        <w:t>II</w:t>
      </w:r>
      <w:r>
        <w:t xml:space="preserve"> к настоящему докладу, в котором содержится перечень государств-участников, чьи доклады были представлены, но еще не запланированы к рассмотрению. Комитет, возможно, помнит также, что он принял решение рассмо</w:t>
      </w:r>
      <w:r>
        <w:t>т</w:t>
      </w:r>
      <w:r>
        <w:t>реть вопрос об осуществлении Конвенции в Гренаде, Сейшельских Островах и Централ</w:t>
      </w:r>
      <w:r>
        <w:t>ь</w:t>
      </w:r>
      <w:r>
        <w:t>ноафриканской Республике в начале 2010 года, а в Коморских Островах, Лес</w:t>
      </w:r>
      <w:r>
        <w:t>о</w:t>
      </w:r>
      <w:r>
        <w:t>то и Чаде — во второй половине 2010 года, если это потребуется, в отсутствие доклада. На своей сорок первой сессии в июне 2008 года Комитет предложил Афганистану, Болгарии, Джибути, Зимбабве, Кот-д</w:t>
      </w:r>
      <w:r w:rsidRPr="00E11B17">
        <w:t>’</w:t>
      </w:r>
      <w:r>
        <w:t>Ивуару, Сенег</w:t>
      </w:r>
      <w:r>
        <w:t>а</w:t>
      </w:r>
      <w:r>
        <w:t>лу, Сент-Винсенту и Гренадинам и Соломоновым Островам представить свои проср</w:t>
      </w:r>
      <w:r>
        <w:t>о</w:t>
      </w:r>
      <w:r>
        <w:t>ченные доклады в виде объединенного доклада в течение двух лет и заявил, что в противном случае он проведет рассмотрение хода осуществления Ко</w:t>
      </w:r>
      <w:r>
        <w:t>н</w:t>
      </w:r>
      <w:r>
        <w:t>венции в этих государствах-участниках в отсутствие докладов. Аналогичное предложение было направлено Комитетом на его сорок второй сессии в октя</w:t>
      </w:r>
      <w:r>
        <w:t>б</w:t>
      </w:r>
      <w:r>
        <w:t>ре и ноябре 2008 года Ираку, Уганде и Шри-Ланке. После принятого Комит</w:t>
      </w:r>
      <w:r>
        <w:t>е</w:t>
      </w:r>
      <w:r>
        <w:t>том решения на его сорок четвертой сессии в июле 2009 года предложение представить все свои просроченные доклады получили также Антигуа и Ба</w:t>
      </w:r>
      <w:r>
        <w:t>р</w:t>
      </w:r>
      <w:r>
        <w:t>буда, Барбадос, Замбия, Сент-Китс и Невис и Тринидад и Тобаго.</w:t>
      </w:r>
    </w:p>
    <w:p w:rsidR="00245CE1" w:rsidRDefault="00245CE1" w:rsidP="00245CE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 </w:t>
      </w:r>
      <w:r>
        <w:rPr>
          <w:lang w:val="en-US"/>
        </w:rPr>
        <w:t>I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Государства, которые не ратифицировали Конвенцию или не присоединились к ней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Африка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SingleTxt"/>
      </w:pPr>
      <w:r>
        <w:tab/>
        <w:t>Сомали</w:t>
      </w:r>
    </w:p>
    <w:p w:rsidR="00245CE1" w:rsidRDefault="00245CE1" w:rsidP="00245CE1">
      <w:pPr>
        <w:pStyle w:val="SingleTxt"/>
      </w:pPr>
      <w:r>
        <w:tab/>
        <w:t>Судан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Азиатско-Тихоокеанский регион 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SingleTxt"/>
      </w:pPr>
      <w:r>
        <w:tab/>
        <w:t>Иран (Исламская Республика)</w:t>
      </w:r>
    </w:p>
    <w:p w:rsidR="00245CE1" w:rsidRDefault="00245CE1" w:rsidP="00245CE1">
      <w:pPr>
        <w:pStyle w:val="SingleTxt"/>
      </w:pPr>
      <w:r>
        <w:tab/>
        <w:t xml:space="preserve">Науру </w:t>
      </w:r>
    </w:p>
    <w:p w:rsidR="00245CE1" w:rsidRDefault="00245CE1" w:rsidP="00245CE1">
      <w:pPr>
        <w:pStyle w:val="SingleTxt"/>
      </w:pPr>
      <w:r>
        <w:tab/>
        <w:t>Палау</w:t>
      </w:r>
    </w:p>
    <w:p w:rsidR="00245CE1" w:rsidRDefault="00245CE1" w:rsidP="00245CE1">
      <w:pPr>
        <w:pStyle w:val="SingleTxt"/>
      </w:pPr>
      <w:r>
        <w:tab/>
        <w:t>Тонга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Западная Европа и другие государства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SingleTxt"/>
      </w:pPr>
      <w:r>
        <w:tab/>
        <w:t>Святой Престол</w:t>
      </w:r>
    </w:p>
    <w:p w:rsidR="00245CE1" w:rsidRDefault="00245CE1" w:rsidP="00245CE1">
      <w:pPr>
        <w:pStyle w:val="SingleTxt"/>
      </w:pPr>
      <w:r>
        <w:tab/>
        <w:t>Соединенные Штаты Америки</w:t>
      </w:r>
    </w:p>
    <w:p w:rsidR="00245CE1" w:rsidRPr="00E11B17" w:rsidRDefault="00245CE1" w:rsidP="00245CE1">
      <w:pPr>
        <w:pStyle w:val="SingleTxt"/>
      </w:pPr>
    </w:p>
    <w:p w:rsidR="00245CE1" w:rsidRDefault="00245CE1" w:rsidP="00245CE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rPr>
          <w:sz w:val="10"/>
        </w:rPr>
        <w:tab/>
      </w:r>
      <w:r>
        <w:t>Приложение II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Default="00245CE1" w:rsidP="00245CE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Государства-участники, доклады которых были представлены, но еще не рассмотрены или </w:t>
      </w:r>
      <w:r>
        <w:br/>
        <w:t>не запланированы к рассмотрению Комитетом по состоянию на 20 ноября 2009 года</w:t>
      </w: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p w:rsidR="00245CE1" w:rsidRPr="00245CE1" w:rsidRDefault="00245CE1" w:rsidP="00245CE1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3"/>
        <w:gridCol w:w="1773"/>
        <w:gridCol w:w="1764"/>
        <w:gridCol w:w="1593"/>
        <w:gridCol w:w="760"/>
      </w:tblGrid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Государство-участник</w:t>
            </w:r>
          </w:p>
        </w:tc>
        <w:tc>
          <w:tcPr>
            <w:tcW w:w="1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left="43"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Срок представления</w:t>
            </w:r>
            <w:r w:rsidRPr="00FF41DC">
              <w:rPr>
                <w:i/>
                <w:sz w:val="14"/>
              </w:rPr>
              <w:br/>
            </w:r>
            <w:r>
              <w:rPr>
                <w:i/>
                <w:sz w:val="14"/>
              </w:rPr>
              <w:t>до</w:t>
            </w:r>
            <w:r>
              <w:rPr>
                <w:i/>
                <w:sz w:val="14"/>
              </w:rPr>
              <w:t>к</w:t>
            </w:r>
            <w:r>
              <w:rPr>
                <w:i/>
                <w:sz w:val="14"/>
              </w:rPr>
              <w:t>лада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left="43"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Дата получения</w:t>
            </w:r>
            <w:r>
              <w:rPr>
                <w:i/>
                <w:sz w:val="14"/>
              </w:rPr>
              <w:br/>
              <w:t>до</w:t>
            </w:r>
            <w:r>
              <w:rPr>
                <w:i/>
                <w:sz w:val="14"/>
              </w:rPr>
              <w:t>к</w:t>
            </w:r>
            <w:r>
              <w:rPr>
                <w:i/>
                <w:sz w:val="14"/>
              </w:rPr>
              <w:t xml:space="preserve">лада 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left="43"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Дата предыдущего рассмотрения (се</w:t>
            </w:r>
            <w:r>
              <w:rPr>
                <w:i/>
                <w:sz w:val="14"/>
              </w:rPr>
              <w:t>с</w:t>
            </w:r>
            <w:r>
              <w:rPr>
                <w:i/>
                <w:sz w:val="14"/>
              </w:rPr>
              <w:t>сия)</w:t>
            </w:r>
          </w:p>
        </w:tc>
        <w:tc>
          <w:tcPr>
            <w:tcW w:w="7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left="43"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Пред</w:t>
            </w:r>
            <w:r>
              <w:rPr>
                <w:i/>
                <w:sz w:val="14"/>
              </w:rPr>
              <w:t>ы</w:t>
            </w:r>
            <w:r>
              <w:rPr>
                <w:i/>
                <w:sz w:val="14"/>
              </w:rPr>
              <w:t>дущий доклад(ы)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6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7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b/>
                <w:sz w:val="17"/>
              </w:rPr>
              <w:t>Алжир</w:t>
            </w:r>
          </w:p>
        </w:tc>
        <w:tc>
          <w:tcPr>
            <w:tcW w:w="17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4006C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4006C3">
              <w:rPr>
                <w:sz w:val="17"/>
              </w:rPr>
              <w:t>Объединенны</w:t>
            </w:r>
            <w:r>
              <w:rPr>
                <w:sz w:val="17"/>
              </w:rPr>
              <w:t>е</w:t>
            </w:r>
            <w:r w:rsidRPr="004006C3">
              <w:rPr>
                <w:sz w:val="17"/>
              </w:rPr>
              <w:t xml:space="preserve"> третий и четве</w:t>
            </w:r>
            <w:r w:rsidRPr="004006C3">
              <w:rPr>
                <w:sz w:val="17"/>
              </w:rPr>
              <w:t>р</w:t>
            </w:r>
            <w:r w:rsidRPr="004006C3">
              <w:rPr>
                <w:sz w:val="17"/>
              </w:rPr>
              <w:t>тый периодические до</w:t>
            </w:r>
            <w:r w:rsidRPr="004006C3">
              <w:rPr>
                <w:sz w:val="17"/>
              </w:rPr>
              <w:t>к</w:t>
            </w:r>
            <w:r w:rsidRPr="004006C3">
              <w:rPr>
                <w:sz w:val="17"/>
              </w:rPr>
              <w:t>лады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21 июня 2009 года</w:t>
            </w: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22 июня 2009 года</w:t>
            </w: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2005 год (32)</w:t>
            </w: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AC4EF4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Беларусь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Седьмой периодический доклад</w:t>
            </w:r>
          </w:p>
        </w:tc>
        <w:tc>
          <w:tcPr>
            <w:tcW w:w="17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3 сентября 2006 года</w:t>
            </w:r>
          </w:p>
        </w:tc>
        <w:tc>
          <w:tcPr>
            <w:tcW w:w="1764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1 июля 2009 года</w:t>
            </w:r>
          </w:p>
        </w:tc>
        <w:tc>
          <w:tcPr>
            <w:tcW w:w="159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2004 год (30)</w:t>
            </w:r>
          </w:p>
        </w:tc>
        <w:tc>
          <w:tcPr>
            <w:tcW w:w="760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4–6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b/>
                <w:sz w:val="17"/>
              </w:rPr>
              <w:t>Экваториальная Гвинея</w:t>
            </w:r>
          </w:p>
        </w:tc>
        <w:tc>
          <w:tcPr>
            <w:tcW w:w="17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DD0A0D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Шестой периодический доклад</w:t>
            </w:r>
          </w:p>
        </w:tc>
        <w:tc>
          <w:tcPr>
            <w:tcW w:w="17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22 ноября 2005 года</w:t>
            </w:r>
          </w:p>
        </w:tc>
        <w:tc>
          <w:tcPr>
            <w:tcW w:w="1764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30 октября 2009 года</w:t>
            </w:r>
          </w:p>
        </w:tc>
        <w:tc>
          <w:tcPr>
            <w:tcW w:w="159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2004 год (31)</w:t>
            </w:r>
          </w:p>
        </w:tc>
        <w:tc>
          <w:tcPr>
            <w:tcW w:w="760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2–3, 4–5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b/>
                <w:sz w:val="17"/>
              </w:rPr>
              <w:t>Эфиопия</w:t>
            </w:r>
          </w:p>
        </w:tc>
        <w:tc>
          <w:tcPr>
            <w:tcW w:w="17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Объединенные шестой и сед</w:t>
            </w:r>
            <w:r>
              <w:rPr>
                <w:sz w:val="17"/>
              </w:rPr>
              <w:t>ь</w:t>
            </w:r>
            <w:r>
              <w:rPr>
                <w:sz w:val="17"/>
              </w:rPr>
              <w:t>мой периодические доклады</w:t>
            </w:r>
          </w:p>
        </w:tc>
        <w:tc>
          <w:tcPr>
            <w:tcW w:w="17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10 октября 2006 года</w:t>
            </w:r>
          </w:p>
        </w:tc>
        <w:tc>
          <w:tcPr>
            <w:tcW w:w="1764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28 июля 2009 года</w:t>
            </w:r>
          </w:p>
        </w:tc>
        <w:tc>
          <w:tcPr>
            <w:tcW w:w="159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2004 год (30)</w:t>
            </w:r>
          </w:p>
        </w:tc>
        <w:tc>
          <w:tcPr>
            <w:tcW w:w="760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4–5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b/>
                <w:sz w:val="17"/>
              </w:rPr>
              <w:t>Израиль</w:t>
            </w:r>
          </w:p>
        </w:tc>
        <w:tc>
          <w:tcPr>
            <w:tcW w:w="17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Четвертый периодический до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лад</w:t>
            </w:r>
          </w:p>
        </w:tc>
        <w:tc>
          <w:tcPr>
            <w:tcW w:w="17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 ноября 2004 года</w:t>
            </w:r>
          </w:p>
        </w:tc>
        <w:tc>
          <w:tcPr>
            <w:tcW w:w="1764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4 мая 2005 года</w:t>
            </w:r>
          </w:p>
        </w:tc>
        <w:tc>
          <w:tcPr>
            <w:tcW w:w="159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2005 год (33)</w:t>
            </w:r>
          </w:p>
        </w:tc>
        <w:tc>
          <w:tcPr>
            <w:tcW w:w="760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Пятый периодический до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лад</w:t>
            </w:r>
          </w:p>
        </w:tc>
        <w:tc>
          <w:tcPr>
            <w:tcW w:w="17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 ноября 2008 года</w:t>
            </w:r>
          </w:p>
        </w:tc>
        <w:tc>
          <w:tcPr>
            <w:tcW w:w="1764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4 мая 2009 года</w:t>
            </w:r>
          </w:p>
        </w:tc>
        <w:tc>
          <w:tcPr>
            <w:tcW w:w="159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DD0A0D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>
              <w:rPr>
                <w:b/>
                <w:sz w:val="17"/>
              </w:rPr>
              <w:t>Кения</w:t>
            </w:r>
          </w:p>
        </w:tc>
        <w:tc>
          <w:tcPr>
            <w:tcW w:w="17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Седьмой периодический доклад</w:t>
            </w:r>
          </w:p>
        </w:tc>
        <w:tc>
          <w:tcPr>
            <w:tcW w:w="177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8 апреля 2009 года</w:t>
            </w:r>
          </w:p>
        </w:tc>
        <w:tc>
          <w:tcPr>
            <w:tcW w:w="1764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10 июля 2009 года</w:t>
            </w:r>
          </w:p>
        </w:tc>
        <w:tc>
          <w:tcPr>
            <w:tcW w:w="1593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2007 год (39)</w:t>
            </w:r>
          </w:p>
        </w:tc>
        <w:tc>
          <w:tcPr>
            <w:tcW w:w="760" w:type="dxa"/>
            <w:shd w:val="clear" w:color="auto" w:fill="auto"/>
          </w:tcPr>
          <w:p w:rsidR="00245CE1" w:rsidRPr="00965DF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5–6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DD0A0D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Лихтенштейн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DD0A0D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0A0D">
              <w:rPr>
                <w:sz w:val="17"/>
              </w:rPr>
              <w:t>Четв</w:t>
            </w:r>
            <w:r>
              <w:rPr>
                <w:sz w:val="17"/>
              </w:rPr>
              <w:t>ертый периодический до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лад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21 января 2009 года</w:t>
            </w: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8 сентября 2009 года</w:t>
            </w: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2007 год (39)</w:t>
            </w: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2,3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Оман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Первоначальный периодический доклад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9 марта 2007 года</w:t>
            </w: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8 октября 2009 года</w:t>
            </w: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Непал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Объединенные четвертый и п</w:t>
            </w:r>
            <w:r>
              <w:rPr>
                <w:sz w:val="17"/>
              </w:rPr>
              <w:t>я</w:t>
            </w:r>
            <w:r>
              <w:rPr>
                <w:sz w:val="17"/>
              </w:rPr>
              <w:t>тый периодические доклады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22 мая 2008 года</w:t>
            </w: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6 ноября 2009 года</w:t>
            </w: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2004 год (30)</w:t>
            </w: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2–3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Нигер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Объединенные третий и четве</w:t>
            </w:r>
            <w:r>
              <w:rPr>
                <w:sz w:val="17"/>
              </w:rPr>
              <w:t>р</w:t>
            </w:r>
            <w:r>
              <w:rPr>
                <w:sz w:val="17"/>
              </w:rPr>
              <w:t>тый периодические доклады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7 ноября 2012 года</w:t>
            </w: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21 марта 2009 года</w:t>
            </w: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2007 год (38)</w:t>
            </w: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1–2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Сингапур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Четвертый периодический до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лад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4 ноября 2008 года</w:t>
            </w: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25 марта 2009 года</w:t>
            </w: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2007 год (39)</w:t>
            </w: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Южная Африка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Объединенные второй, третий и четвертый периодические докл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ды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14 января 2009 года</w:t>
            </w: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 июля 2009 года</w:t>
            </w: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1998 год (19)</w:t>
            </w: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Шри-Ланка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Объединенные пятый, шестой и седьмой периодические доклады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4 ноября 2006 года</w:t>
            </w: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31 июля 2009 года</w:t>
            </w: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2002 год (26)</w:t>
            </w: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3–4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Йемен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Седьмой периодический доклад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29 июня 2009 года</w:t>
            </w: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3 июня 2009 года</w:t>
            </w: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2008 год (41)</w:t>
            </w: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Зимбабве</w:t>
            </w:r>
          </w:p>
        </w:tc>
        <w:tc>
          <w:tcPr>
            <w:tcW w:w="177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764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1593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</w:p>
        </w:tc>
        <w:tc>
          <w:tcPr>
            <w:tcW w:w="760" w:type="dxa"/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</w:tr>
      <w:tr w:rsidR="00245CE1" w:rsidRPr="00965DF1" w:rsidTr="00245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73" w:type="dxa"/>
            <w:tcBorders>
              <w:bottom w:val="single" w:sz="12" w:space="0" w:color="auto"/>
            </w:tcBorders>
            <w:shd w:val="clear" w:color="auto" w:fill="auto"/>
          </w:tcPr>
          <w:p w:rsidR="00245CE1" w:rsidRPr="00CD7443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Объединенные второй, третий, четвертый и пятый периодич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ские доклады</w:t>
            </w:r>
          </w:p>
        </w:tc>
        <w:tc>
          <w:tcPr>
            <w:tcW w:w="1773" w:type="dxa"/>
            <w:tcBorders>
              <w:bottom w:val="single" w:sz="12" w:space="0" w:color="auto"/>
            </w:tcBorders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12 июня 2008 года</w:t>
            </w:r>
          </w:p>
        </w:tc>
        <w:tc>
          <w:tcPr>
            <w:tcW w:w="1764" w:type="dxa"/>
            <w:tcBorders>
              <w:bottom w:val="single" w:sz="12" w:space="0" w:color="auto"/>
            </w:tcBorders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6 октября 2009 года</w:t>
            </w:r>
          </w:p>
        </w:tc>
        <w:tc>
          <w:tcPr>
            <w:tcW w:w="1593" w:type="dxa"/>
            <w:tcBorders>
              <w:bottom w:val="single" w:sz="12" w:space="0" w:color="auto"/>
            </w:tcBorders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rPr>
                <w:sz w:val="17"/>
              </w:rPr>
            </w:pPr>
            <w:r>
              <w:rPr>
                <w:sz w:val="17"/>
              </w:rPr>
              <w:t>1998 год (18)</w:t>
            </w:r>
          </w:p>
        </w:tc>
        <w:tc>
          <w:tcPr>
            <w:tcW w:w="760" w:type="dxa"/>
            <w:tcBorders>
              <w:bottom w:val="single" w:sz="12" w:space="0" w:color="auto"/>
            </w:tcBorders>
            <w:shd w:val="clear" w:color="auto" w:fill="auto"/>
          </w:tcPr>
          <w:p w:rsidR="00245CE1" w:rsidRDefault="00245CE1" w:rsidP="00245C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:rsidR="002021B7" w:rsidRPr="002021B7" w:rsidRDefault="00245CE1" w:rsidP="00245CE1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;mso-position-horizontal-relative:text;mso-position-vertical-relative:text" from="210.2pt,30pt" to="282.2pt,30pt" strokeweight=".25pt"/>
        </w:pict>
      </w:r>
    </w:p>
    <w:sectPr w:rsidR="002021B7" w:rsidRPr="002021B7" w:rsidSect="002021B7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2-11T16:13:00Z" w:initials="Start">
    <w:p w:rsidR="00245CE1" w:rsidRPr="002021B7" w:rsidRDefault="00245CE1">
      <w:pPr>
        <w:pStyle w:val="CommentText"/>
        <w:rPr>
          <w:lang w:val="en-US"/>
        </w:rPr>
      </w:pPr>
      <w:r>
        <w:fldChar w:fldCharType="begin"/>
      </w:r>
      <w:r w:rsidRPr="002021B7">
        <w:rPr>
          <w:rStyle w:val="CommentReference"/>
          <w:lang w:val="en-US"/>
        </w:rPr>
        <w:instrText xml:space="preserve"> </w:instrText>
      </w:r>
      <w:r w:rsidRPr="002021B7">
        <w:rPr>
          <w:lang w:val="en-US"/>
        </w:rPr>
        <w:instrText>PAGE \# "'Page: '#'</w:instrText>
      </w:r>
      <w:r w:rsidRPr="002021B7">
        <w:rPr>
          <w:lang w:val="en-US"/>
        </w:rPr>
        <w:br/>
        <w:instrText>'"</w:instrText>
      </w:r>
      <w:r w:rsidRPr="002021B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021B7">
        <w:rPr>
          <w:lang w:val="en-US"/>
        </w:rPr>
        <w:t>&lt;&lt;ODS JOB NO&gt;&gt;N0962031R&lt;&lt;ODS JOB NO&gt;&gt;</w:t>
      </w:r>
    </w:p>
    <w:p w:rsidR="00245CE1" w:rsidRPr="002021B7" w:rsidRDefault="00245CE1">
      <w:pPr>
        <w:pStyle w:val="CommentText"/>
        <w:rPr>
          <w:lang w:val="en-US"/>
        </w:rPr>
      </w:pPr>
      <w:r w:rsidRPr="002021B7">
        <w:rPr>
          <w:lang w:val="en-US"/>
        </w:rPr>
        <w:t>&lt;&lt;ODS DOC SYMBOL1&gt;&gt;CEDAW/C/2010/45/4&lt;&lt;ODS DOC SYMBOL1&gt;&gt;</w:t>
      </w:r>
    </w:p>
    <w:p w:rsidR="00245CE1" w:rsidRPr="002021B7" w:rsidRDefault="00245CE1">
      <w:pPr>
        <w:pStyle w:val="CommentText"/>
        <w:rPr>
          <w:lang w:val="en-US"/>
        </w:rPr>
      </w:pPr>
      <w:r w:rsidRPr="002021B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9D6" w:rsidRPr="0074574F" w:rsidRDefault="003049D6" w:rsidP="001406ED">
      <w:pPr>
        <w:rPr>
          <w:sz w:val="14"/>
        </w:rPr>
      </w:pPr>
      <w:r>
        <w:separator/>
      </w:r>
    </w:p>
  </w:endnote>
  <w:endnote w:type="continuationSeparator" w:id="0">
    <w:p w:rsidR="003049D6" w:rsidRPr="0074574F" w:rsidRDefault="003049D6" w:rsidP="001406ED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45CE1" w:rsidTr="001406E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45CE1" w:rsidRPr="001406ED" w:rsidRDefault="00245CE1" w:rsidP="001406E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51EA1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45CE1" w:rsidRPr="001406ED" w:rsidRDefault="00245CE1" w:rsidP="001406E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1002F">
            <w:rPr>
              <w:b w:val="0"/>
              <w:sz w:val="14"/>
            </w:rPr>
            <w:t>09-62031</w:t>
          </w:r>
          <w:r>
            <w:rPr>
              <w:b w:val="0"/>
              <w:sz w:val="14"/>
            </w:rPr>
            <w:fldChar w:fldCharType="end"/>
          </w:r>
        </w:p>
      </w:tc>
    </w:tr>
  </w:tbl>
  <w:p w:rsidR="00245CE1" w:rsidRPr="001406ED" w:rsidRDefault="00245CE1" w:rsidP="001406E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45CE1" w:rsidTr="001406E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45CE1" w:rsidRPr="001406ED" w:rsidRDefault="00245CE1" w:rsidP="001406E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1002F">
            <w:rPr>
              <w:b w:val="0"/>
              <w:sz w:val="14"/>
            </w:rPr>
            <w:t>09-62031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45CE1" w:rsidRPr="001406ED" w:rsidRDefault="00245CE1" w:rsidP="001406E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51EA1">
            <w:t>13</w:t>
          </w:r>
          <w:r>
            <w:fldChar w:fldCharType="end"/>
          </w:r>
        </w:p>
      </w:tc>
    </w:tr>
  </w:tbl>
  <w:p w:rsidR="00245CE1" w:rsidRPr="001406ED" w:rsidRDefault="00245CE1" w:rsidP="001406E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CE1" w:rsidRDefault="00245CE1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45CE1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245CE1" w:rsidRDefault="00245CE1" w:rsidP="001406ED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91002F">
            <w:rPr>
              <w:b w:val="0"/>
              <w:sz w:val="20"/>
            </w:rPr>
            <w:t>09-62031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</w:t>
          </w:r>
          <w:r w:rsidR="00E51EA1">
            <w:rPr>
              <w:b w:val="0"/>
              <w:sz w:val="20"/>
              <w:lang w:val="ru-RU"/>
            </w:rPr>
            <w:t>04</w:t>
          </w:r>
          <w:r>
            <w:rPr>
              <w:b w:val="0"/>
              <w:sz w:val="20"/>
            </w:rPr>
            <w:t>1209    111209</w:t>
          </w:r>
        </w:p>
        <w:p w:rsidR="00245CE1" w:rsidRPr="001406ED" w:rsidRDefault="00245CE1" w:rsidP="001406ED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91002F">
            <w:rPr>
              <w:rFonts w:ascii="Barcode 3 of 9 by request" w:hAnsi="Barcode 3 of 9 by request"/>
              <w:b w:val="0"/>
              <w:sz w:val="24"/>
            </w:rPr>
            <w:t>*0962031*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245CE1" w:rsidRDefault="00245CE1" w:rsidP="001406ED">
          <w:pPr>
            <w:pStyle w:val="Footer"/>
            <w:jc w:val="right"/>
            <w:rPr>
              <w:b w:val="0"/>
              <w:sz w:val="20"/>
            </w:rPr>
          </w:pPr>
          <w:r w:rsidRPr="001406ED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245CE1" w:rsidRPr="001406ED" w:rsidRDefault="00245CE1" w:rsidP="001406E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9D6" w:rsidRPr="002021B7" w:rsidRDefault="003049D6" w:rsidP="002021B7">
      <w:pPr>
        <w:pStyle w:val="Footer"/>
        <w:spacing w:after="80"/>
        <w:ind w:left="792"/>
        <w:rPr>
          <w:sz w:val="16"/>
        </w:rPr>
      </w:pPr>
      <w:r w:rsidRPr="002021B7">
        <w:rPr>
          <w:sz w:val="16"/>
        </w:rPr>
        <w:t>__________________</w:t>
      </w:r>
    </w:p>
  </w:footnote>
  <w:footnote w:type="continuationSeparator" w:id="0">
    <w:p w:rsidR="003049D6" w:rsidRPr="002021B7" w:rsidRDefault="003049D6" w:rsidP="002021B7">
      <w:pPr>
        <w:pStyle w:val="Footer"/>
        <w:spacing w:after="80"/>
        <w:ind w:left="792"/>
        <w:rPr>
          <w:sz w:val="16"/>
        </w:rPr>
      </w:pPr>
      <w:r w:rsidRPr="002021B7">
        <w:rPr>
          <w:sz w:val="16"/>
        </w:rPr>
        <w:t>__________________</w:t>
      </w:r>
    </w:p>
  </w:footnote>
  <w:footnote w:id="1">
    <w:p w:rsidR="00245CE1" w:rsidRPr="00CF6865" w:rsidRDefault="00245CE1" w:rsidP="002021B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 w:rsidRPr="00CF6865">
        <w:rPr>
          <w:rStyle w:val="FootnoteReference"/>
          <w:lang w:val="en-US"/>
        </w:rPr>
        <w:t>*</w:t>
      </w:r>
      <w:r w:rsidRPr="00CF6865">
        <w:rPr>
          <w:lang w:val="en-US"/>
        </w:rPr>
        <w:tab/>
      </w:r>
      <w:r>
        <w:rPr>
          <w:lang w:val="en-US"/>
        </w:rPr>
        <w:t>CEDAW/C/20</w:t>
      </w:r>
      <w:r>
        <w:t>10</w:t>
      </w:r>
      <w:r>
        <w:rPr>
          <w:lang w:val="en-US"/>
        </w:rPr>
        <w:t>/45/1</w:t>
      </w:r>
      <w:r w:rsidRPr="00CF6865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45CE1" w:rsidTr="001406E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45CE1" w:rsidRPr="001406ED" w:rsidRDefault="00245CE1" w:rsidP="001406E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1002F">
            <w:rPr>
              <w:b/>
            </w:rPr>
            <w:t>CEDAW/C/2010/45/4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45CE1" w:rsidRDefault="00245CE1" w:rsidP="001406ED">
          <w:pPr>
            <w:pStyle w:val="Header"/>
          </w:pPr>
        </w:p>
      </w:tc>
    </w:tr>
  </w:tbl>
  <w:p w:rsidR="00245CE1" w:rsidRPr="001406ED" w:rsidRDefault="00245CE1" w:rsidP="001406E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45CE1" w:rsidTr="001406E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45CE1" w:rsidRDefault="00245CE1" w:rsidP="001406E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45CE1" w:rsidRPr="001406ED" w:rsidRDefault="00245CE1" w:rsidP="001406E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1002F">
            <w:rPr>
              <w:b/>
            </w:rPr>
            <w:t>CEDAW/C/2010/45/4</w:t>
          </w:r>
          <w:r>
            <w:rPr>
              <w:b/>
            </w:rPr>
            <w:fldChar w:fldCharType="end"/>
          </w:r>
        </w:p>
      </w:tc>
    </w:tr>
  </w:tbl>
  <w:p w:rsidR="00245CE1" w:rsidRPr="001406ED" w:rsidRDefault="00245CE1" w:rsidP="001406E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45CE1" w:rsidTr="001406E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45CE1" w:rsidRPr="001406ED" w:rsidRDefault="00245CE1" w:rsidP="001406E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45CE1" w:rsidRDefault="00245CE1" w:rsidP="001406E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45CE1" w:rsidRPr="001406ED" w:rsidRDefault="00245CE1" w:rsidP="001406E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/C/2010/45/4</w:t>
          </w:r>
        </w:p>
      </w:tc>
    </w:tr>
    <w:tr w:rsidR="00245CE1" w:rsidRPr="002021B7" w:rsidTr="001406E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5CE1" w:rsidRDefault="00245CE1" w:rsidP="001406E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245CE1" w:rsidRPr="001406ED" w:rsidRDefault="00245CE1" w:rsidP="001406E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5CE1" w:rsidRPr="001406ED" w:rsidRDefault="00245CE1" w:rsidP="001406E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5CE1" w:rsidRPr="002021B7" w:rsidRDefault="00245CE1" w:rsidP="001406E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5CE1" w:rsidRPr="002021B7" w:rsidRDefault="00245CE1" w:rsidP="001406ED">
          <w:pPr>
            <w:spacing w:before="240"/>
            <w:rPr>
              <w:lang w:val="en-US"/>
            </w:rPr>
          </w:pPr>
          <w:r w:rsidRPr="002021B7">
            <w:rPr>
              <w:lang w:val="en-US"/>
            </w:rPr>
            <w:t>Distr.: General</w:t>
          </w:r>
        </w:p>
        <w:p w:rsidR="00245CE1" w:rsidRPr="002021B7" w:rsidRDefault="00245CE1" w:rsidP="001406ED">
          <w:pPr>
            <w:rPr>
              <w:lang w:val="en-US"/>
            </w:rPr>
          </w:pPr>
          <w:r w:rsidRPr="002021B7">
            <w:rPr>
              <w:lang w:val="en-US"/>
            </w:rPr>
            <w:t>25 December 2009</w:t>
          </w:r>
        </w:p>
        <w:p w:rsidR="00245CE1" w:rsidRPr="002021B7" w:rsidRDefault="00245CE1" w:rsidP="001406ED">
          <w:pPr>
            <w:rPr>
              <w:lang w:val="en-US"/>
            </w:rPr>
          </w:pPr>
          <w:r w:rsidRPr="002021B7">
            <w:rPr>
              <w:lang w:val="en-US"/>
            </w:rPr>
            <w:t>Russian</w:t>
          </w:r>
        </w:p>
        <w:p w:rsidR="00245CE1" w:rsidRPr="002021B7" w:rsidRDefault="00245CE1" w:rsidP="001406ED">
          <w:pPr>
            <w:rPr>
              <w:lang w:val="en-US"/>
            </w:rPr>
          </w:pPr>
          <w:r w:rsidRPr="002021B7">
            <w:rPr>
              <w:lang w:val="en-US"/>
            </w:rPr>
            <w:t>Original: English</w:t>
          </w:r>
        </w:p>
      </w:tc>
    </w:tr>
  </w:tbl>
  <w:p w:rsidR="00245CE1" w:rsidRPr="001406ED" w:rsidRDefault="00245CE1" w:rsidP="001406E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1B2299"/>
    <w:multiLevelType w:val="multilevel"/>
    <w:tmpl w:val="037E395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6">
    <w:nsid w:val="2D0D7BEF"/>
    <w:multiLevelType w:val="multilevel"/>
    <w:tmpl w:val="5650C4EE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748157E7"/>
    <w:multiLevelType w:val="multilevel"/>
    <w:tmpl w:val="D26290B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62031*"/>
    <w:docVar w:name="CreationDt" w:val="11/12/2009 16:13:35"/>
    <w:docVar w:name="DocCategory" w:val="Doc"/>
    <w:docVar w:name="DocType" w:val="Final"/>
    <w:docVar w:name="FooterJN" w:val="09-62031"/>
    <w:docVar w:name="jobn" w:val="09-62031 (R)"/>
    <w:docVar w:name="jobnDT" w:val="09-62031 (R)   111209"/>
    <w:docVar w:name="jobnDTDT" w:val="09-62031 (R)   111209   111209"/>
    <w:docVar w:name="JobNo" w:val="0962031R"/>
    <w:docVar w:name="OandT" w:val=" "/>
    <w:docVar w:name="sss1" w:val="CEDAW/C/2010/45/4"/>
    <w:docVar w:name="sss2" w:val="-"/>
    <w:docVar w:name="Symbol1" w:val="CEDAW/C/2010/45/4"/>
    <w:docVar w:name="Symbol2" w:val="-"/>
  </w:docVars>
  <w:rsids>
    <w:rsidRoot w:val="00FB282D"/>
    <w:rsid w:val="000121EB"/>
    <w:rsid w:val="000453DA"/>
    <w:rsid w:val="000456EE"/>
    <w:rsid w:val="00051525"/>
    <w:rsid w:val="000559C4"/>
    <w:rsid w:val="00067768"/>
    <w:rsid w:val="00086C68"/>
    <w:rsid w:val="00094451"/>
    <w:rsid w:val="000967F2"/>
    <w:rsid w:val="000D160A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B1A"/>
    <w:rsid w:val="00137928"/>
    <w:rsid w:val="001406ED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21B7"/>
    <w:rsid w:val="002063C7"/>
    <w:rsid w:val="00206D99"/>
    <w:rsid w:val="00224617"/>
    <w:rsid w:val="002300BF"/>
    <w:rsid w:val="00237C5D"/>
    <w:rsid w:val="00245CE1"/>
    <w:rsid w:val="00252F1F"/>
    <w:rsid w:val="00253913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049D6"/>
    <w:rsid w:val="00322BEE"/>
    <w:rsid w:val="00323640"/>
    <w:rsid w:val="00324CF9"/>
    <w:rsid w:val="00334763"/>
    <w:rsid w:val="00337D58"/>
    <w:rsid w:val="00340AEC"/>
    <w:rsid w:val="0034182F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1253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14BFC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86ADB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720F0"/>
    <w:rsid w:val="006777CE"/>
    <w:rsid w:val="006A4674"/>
    <w:rsid w:val="006A70C8"/>
    <w:rsid w:val="006B39A5"/>
    <w:rsid w:val="006C2138"/>
    <w:rsid w:val="006E57BD"/>
    <w:rsid w:val="006F23E6"/>
    <w:rsid w:val="006F365F"/>
    <w:rsid w:val="0070092E"/>
    <w:rsid w:val="007211BA"/>
    <w:rsid w:val="007465AD"/>
    <w:rsid w:val="007529E4"/>
    <w:rsid w:val="0077752C"/>
    <w:rsid w:val="00777664"/>
    <w:rsid w:val="007807F7"/>
    <w:rsid w:val="00785467"/>
    <w:rsid w:val="00785A7B"/>
    <w:rsid w:val="007A7D19"/>
    <w:rsid w:val="007D0821"/>
    <w:rsid w:val="007D2266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571A0"/>
    <w:rsid w:val="00864B77"/>
    <w:rsid w:val="00871EEE"/>
    <w:rsid w:val="008816A1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002F"/>
    <w:rsid w:val="0091632F"/>
    <w:rsid w:val="00920724"/>
    <w:rsid w:val="00927EEA"/>
    <w:rsid w:val="00944E74"/>
    <w:rsid w:val="00954ACB"/>
    <w:rsid w:val="00956090"/>
    <w:rsid w:val="00960D80"/>
    <w:rsid w:val="00975ABA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9776A"/>
    <w:rsid w:val="00AB0F2F"/>
    <w:rsid w:val="00AB20FA"/>
    <w:rsid w:val="00AB749A"/>
    <w:rsid w:val="00AC27C8"/>
    <w:rsid w:val="00AC4CCE"/>
    <w:rsid w:val="00AD5747"/>
    <w:rsid w:val="00AE4E7F"/>
    <w:rsid w:val="00AF046A"/>
    <w:rsid w:val="00AF4CCE"/>
    <w:rsid w:val="00AF56B9"/>
    <w:rsid w:val="00B10627"/>
    <w:rsid w:val="00B33B92"/>
    <w:rsid w:val="00B37093"/>
    <w:rsid w:val="00B40134"/>
    <w:rsid w:val="00B44850"/>
    <w:rsid w:val="00B46D7A"/>
    <w:rsid w:val="00B50A04"/>
    <w:rsid w:val="00B53281"/>
    <w:rsid w:val="00B742FC"/>
    <w:rsid w:val="00B76F1E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303A"/>
    <w:rsid w:val="00C74A64"/>
    <w:rsid w:val="00C75B7B"/>
    <w:rsid w:val="00C83C27"/>
    <w:rsid w:val="00C91290"/>
    <w:rsid w:val="00C916ED"/>
    <w:rsid w:val="00CA13D0"/>
    <w:rsid w:val="00CA39C4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3617"/>
    <w:rsid w:val="00D5676A"/>
    <w:rsid w:val="00D60737"/>
    <w:rsid w:val="00D620B2"/>
    <w:rsid w:val="00D62FD0"/>
    <w:rsid w:val="00D66C34"/>
    <w:rsid w:val="00D70633"/>
    <w:rsid w:val="00D80D97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22AE4"/>
    <w:rsid w:val="00E3468B"/>
    <w:rsid w:val="00E45B2C"/>
    <w:rsid w:val="00E51EA1"/>
    <w:rsid w:val="00E54D9D"/>
    <w:rsid w:val="00E563B4"/>
    <w:rsid w:val="00E6707A"/>
    <w:rsid w:val="00E72374"/>
    <w:rsid w:val="00E825E7"/>
    <w:rsid w:val="00E84004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87F12"/>
    <w:rsid w:val="00F91203"/>
    <w:rsid w:val="00FA0AC9"/>
    <w:rsid w:val="00FB282D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406ED"/>
  </w:style>
  <w:style w:type="paragraph" w:styleId="CommentSubject">
    <w:name w:val="annotation subject"/>
    <w:basedOn w:val="CommentText"/>
    <w:next w:val="CommentText"/>
    <w:semiHidden/>
    <w:rsid w:val="001406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3855</Words>
  <Characters>25373</Characters>
  <Application>Microsoft Office Word</Application>
  <DocSecurity>4</DocSecurity>
  <Lines>685</Lines>
  <Paragraphs>197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29031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6</cp:revision>
  <cp:lastPrinted>2009-12-11T14:35:00Z</cp:lastPrinted>
  <dcterms:created xsi:type="dcterms:W3CDTF">2009-12-11T14:20:00Z</dcterms:created>
  <dcterms:modified xsi:type="dcterms:W3CDTF">2009-12-11T15:09:00Z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0962031</vt:lpwstr>
  </property>
  <property fmtid="{D5CDD505-2E9C-101B-9397-08002B2CF9AE}" pid="3" name="Symbol1">
    <vt:lpwstr>CEDAW/C/2010/45/4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Korshunova</vt:lpwstr>
  </property>
</Properties>
</file>