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8005D2" w:rsidP="008005D2">
            <w:pPr>
              <w:jc w:val="right"/>
            </w:pPr>
            <w:r w:rsidRPr="008005D2">
              <w:rPr>
                <w:sz w:val="40"/>
              </w:rPr>
              <w:t>CERD</w:t>
            </w:r>
            <w:r>
              <w:t>/C/GEO/4-5</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311F5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8005D2" w:rsidRDefault="008005D2" w:rsidP="00593658">
            <w:pPr>
              <w:spacing w:before="240"/>
            </w:pPr>
            <w:r>
              <w:t>Distr. générale</w:t>
            </w:r>
          </w:p>
          <w:p w:rsidR="008005D2" w:rsidRDefault="008005D2" w:rsidP="008005D2">
            <w:pPr>
              <w:spacing w:line="240" w:lineRule="exact"/>
            </w:pPr>
            <w:r>
              <w:t>25 février 2011</w:t>
            </w:r>
          </w:p>
          <w:p w:rsidR="008005D2" w:rsidRDefault="008005D2" w:rsidP="008005D2">
            <w:pPr>
              <w:spacing w:line="240" w:lineRule="exact"/>
            </w:pPr>
            <w:r>
              <w:t>Français</w:t>
            </w:r>
          </w:p>
          <w:p w:rsidR="002E0D40" w:rsidRPr="00DB58B5" w:rsidRDefault="008005D2" w:rsidP="008005D2">
            <w:pPr>
              <w:spacing w:line="240" w:lineRule="exact"/>
            </w:pPr>
            <w:r>
              <w:t>Original: anglais</w:t>
            </w:r>
          </w:p>
        </w:tc>
      </w:tr>
    </w:tbl>
    <w:p w:rsidR="00FF1DBD" w:rsidRDefault="0078670C" w:rsidP="008005D2">
      <w:pPr>
        <w:spacing w:before="120"/>
        <w:rPr>
          <w:b/>
          <w:sz w:val="24"/>
          <w:szCs w:val="24"/>
        </w:rPr>
      </w:pPr>
      <w:r w:rsidRPr="00C56102">
        <w:rPr>
          <w:b/>
          <w:sz w:val="24"/>
          <w:szCs w:val="24"/>
        </w:rPr>
        <w:t>Comité pour l</w:t>
      </w:r>
      <w:r w:rsidR="00311F58">
        <w:rPr>
          <w:b/>
          <w:sz w:val="24"/>
          <w:szCs w:val="24"/>
        </w:rPr>
        <w:t>’</w:t>
      </w:r>
      <w:r w:rsidRPr="00C56102">
        <w:rPr>
          <w:b/>
          <w:sz w:val="24"/>
          <w:szCs w:val="24"/>
        </w:rPr>
        <w:t>éliminati</w:t>
      </w:r>
      <w:r w:rsidR="008005D2">
        <w:rPr>
          <w:b/>
          <w:sz w:val="24"/>
          <w:szCs w:val="24"/>
        </w:rPr>
        <w:t>on de la discrimination raciale</w:t>
      </w:r>
    </w:p>
    <w:p w:rsidR="008005D2" w:rsidRDefault="008005D2" w:rsidP="009902E4">
      <w:pPr>
        <w:pStyle w:val="HMG"/>
      </w:pPr>
      <w:r w:rsidRPr="00AB23A8">
        <w:tab/>
      </w:r>
      <w:r w:rsidRPr="00AB23A8">
        <w:tab/>
        <w:t>Rapports présentés par les États parties</w:t>
      </w:r>
      <w:r>
        <w:t xml:space="preserve"> conformément à l</w:t>
      </w:r>
      <w:r w:rsidR="00311F58">
        <w:t>’</w:t>
      </w:r>
      <w:r>
        <w:t>article 9 de la Convention</w:t>
      </w:r>
    </w:p>
    <w:p w:rsidR="008005D2" w:rsidRDefault="008005D2" w:rsidP="008005D2">
      <w:pPr>
        <w:pStyle w:val="HChG"/>
        <w:rPr>
          <w:b w:val="0"/>
          <w:sz w:val="20"/>
        </w:rPr>
      </w:pPr>
      <w:r>
        <w:tab/>
      </w:r>
      <w:r>
        <w:tab/>
        <w:t xml:space="preserve">Quatrième et cinquième rapports périodiques attendus </w:t>
      </w:r>
      <w:r>
        <w:br/>
        <w:t>en 2008</w:t>
      </w:r>
      <w:r w:rsidRPr="008005D2">
        <w:rPr>
          <w:rStyle w:val="FootnoteReference"/>
          <w:b w:val="0"/>
          <w:sz w:val="20"/>
          <w:vertAlign w:val="baseline"/>
        </w:rPr>
        <w:footnoteReference w:customMarkFollows="1" w:id="2"/>
        <w:t>*</w:t>
      </w:r>
    </w:p>
    <w:p w:rsidR="008005D2" w:rsidRDefault="008005D2" w:rsidP="009902E4">
      <w:pPr>
        <w:pStyle w:val="HMG"/>
        <w:rPr>
          <w:b w:val="0"/>
          <w:sz w:val="20"/>
        </w:rPr>
      </w:pPr>
      <w:r>
        <w:tab/>
      </w:r>
      <w:r>
        <w:tab/>
        <w:t>Géorgie</w:t>
      </w:r>
      <w:r w:rsidRPr="008005D2">
        <w:rPr>
          <w:rStyle w:val="FootnoteReference"/>
          <w:b w:val="0"/>
          <w:sz w:val="20"/>
          <w:vertAlign w:val="baseline"/>
        </w:rPr>
        <w:footnoteReference w:customMarkFollows="1" w:id="3"/>
        <w:t>**</w:t>
      </w:r>
    </w:p>
    <w:p w:rsidR="009902E4" w:rsidRPr="009902E4" w:rsidRDefault="009902E4" w:rsidP="009902E4">
      <w:pPr>
        <w:pStyle w:val="SingleTxtG"/>
        <w:jc w:val="right"/>
      </w:pPr>
      <w:r>
        <w:t>[31 mai 2010]</w:t>
      </w:r>
    </w:p>
    <w:p w:rsidR="00BC0755" w:rsidRPr="00BC0755" w:rsidRDefault="00BC0755" w:rsidP="00BC0755">
      <w:pPr>
        <w:spacing w:after="120"/>
        <w:rPr>
          <w:sz w:val="28"/>
        </w:rPr>
      </w:pPr>
      <w:r>
        <w:br w:type="page"/>
      </w:r>
      <w:r w:rsidRPr="00BC0755">
        <w:rPr>
          <w:sz w:val="28"/>
        </w:rPr>
        <w:t>Table des matières</w:t>
      </w:r>
    </w:p>
    <w:p w:rsidR="00BC0755" w:rsidRPr="00BC0755" w:rsidRDefault="00BC0755" w:rsidP="00BC0755">
      <w:pPr>
        <w:tabs>
          <w:tab w:val="right" w:pos="8929"/>
          <w:tab w:val="right" w:pos="9638"/>
        </w:tabs>
        <w:spacing w:after="120"/>
        <w:ind w:left="283"/>
        <w:rPr>
          <w:i/>
          <w:sz w:val="18"/>
        </w:rPr>
      </w:pPr>
      <w:r w:rsidRPr="00BC0755">
        <w:rPr>
          <w:i/>
          <w:sz w:val="18"/>
        </w:rPr>
        <w:tab/>
        <w:t>Paragraphes</w:t>
      </w:r>
      <w:r w:rsidRPr="00BC0755">
        <w:rPr>
          <w:i/>
          <w:sz w:val="18"/>
        </w:rPr>
        <w:tab/>
        <w:t>Page</w:t>
      </w:r>
    </w:p>
    <w:p w:rsidR="00D66201" w:rsidRDefault="00D66201" w:rsidP="00BC0755">
      <w:pPr>
        <w:tabs>
          <w:tab w:val="right" w:pos="850"/>
          <w:tab w:val="right" w:leader="dot" w:pos="7654"/>
          <w:tab w:val="right" w:pos="8929"/>
          <w:tab w:val="right" w:pos="9638"/>
        </w:tabs>
        <w:spacing w:after="120"/>
        <w:ind w:left="1134" w:hanging="1134"/>
      </w:pPr>
      <w:r>
        <w:tab/>
      </w:r>
      <w:r>
        <w:tab/>
        <w:t xml:space="preserve">Introduction </w:t>
      </w:r>
      <w:r>
        <w:tab/>
      </w:r>
      <w:r>
        <w:tab/>
      </w:r>
      <w:r w:rsidR="00983543">
        <w:t>1</w:t>
      </w:r>
      <w:r>
        <w:tab/>
      </w:r>
      <w:r w:rsidR="00123493">
        <w:t>3</w:t>
      </w:r>
    </w:p>
    <w:p w:rsidR="00BC0755" w:rsidRDefault="00BC0755" w:rsidP="00BC0755">
      <w:pPr>
        <w:tabs>
          <w:tab w:val="right" w:pos="850"/>
          <w:tab w:val="right" w:leader="dot" w:pos="7654"/>
          <w:tab w:val="right" w:pos="8929"/>
          <w:tab w:val="right" w:pos="9638"/>
        </w:tabs>
        <w:spacing w:after="120"/>
        <w:ind w:left="1134" w:hanging="1134"/>
      </w:pPr>
      <w:r>
        <w:tab/>
        <w:t>I.</w:t>
      </w:r>
      <w:r>
        <w:tab/>
      </w:r>
      <w:r w:rsidR="00D66201">
        <w:t>Présentation générale</w:t>
      </w:r>
      <w:r>
        <w:tab/>
      </w:r>
      <w:r>
        <w:tab/>
      </w:r>
      <w:r w:rsidR="00983543">
        <w:t>2−13</w:t>
      </w:r>
      <w:r>
        <w:tab/>
      </w:r>
      <w:r w:rsidR="00123493">
        <w:t>3</w:t>
      </w:r>
    </w:p>
    <w:p w:rsidR="00BC0755" w:rsidRDefault="00BC0755" w:rsidP="00BC0755">
      <w:pPr>
        <w:tabs>
          <w:tab w:val="right" w:leader="dot" w:pos="7654"/>
          <w:tab w:val="right" w:pos="8929"/>
          <w:tab w:val="right" w:pos="9638"/>
        </w:tabs>
        <w:spacing w:after="120"/>
        <w:ind w:left="1559" w:hanging="425"/>
      </w:pPr>
      <w:r>
        <w:t>A.</w:t>
      </w:r>
      <w:r>
        <w:tab/>
      </w:r>
      <w:r w:rsidR="00D66201">
        <w:t>Plac</w:t>
      </w:r>
      <w:r w:rsidR="00D66201" w:rsidRPr="00BC0755">
        <w:rPr>
          <w:b/>
        </w:rPr>
        <w:t>e</w:t>
      </w:r>
      <w:r w:rsidR="00D66201">
        <w:t xml:space="preserve"> du droit international dans l</w:t>
      </w:r>
      <w:r w:rsidR="00311F58">
        <w:t>’</w:t>
      </w:r>
      <w:r w:rsidR="00D66201">
        <w:t>ordre juridique interne</w:t>
      </w:r>
      <w:r>
        <w:tab/>
      </w:r>
      <w:r>
        <w:tab/>
      </w:r>
      <w:r w:rsidR="00983543">
        <w:t>3−4</w:t>
      </w:r>
      <w:r>
        <w:tab/>
      </w:r>
      <w:r w:rsidR="00123493">
        <w:t>3</w:t>
      </w:r>
    </w:p>
    <w:p w:rsidR="00D66201" w:rsidRPr="00983543" w:rsidRDefault="00D66201" w:rsidP="00BC0755">
      <w:pPr>
        <w:tabs>
          <w:tab w:val="right" w:leader="dot" w:pos="7654"/>
          <w:tab w:val="right" w:pos="8929"/>
          <w:tab w:val="right" w:pos="9638"/>
        </w:tabs>
        <w:spacing w:after="120"/>
        <w:ind w:left="1559" w:hanging="425"/>
      </w:pPr>
      <w:r>
        <w:t>B.</w:t>
      </w:r>
      <w:r>
        <w:tab/>
      </w:r>
      <w:r w:rsidR="00BC0755" w:rsidRPr="00983543">
        <w:t>Instruments juridiques internationaux relatifs aux droits de l</w:t>
      </w:r>
      <w:r w:rsidR="00311F58">
        <w:t>’</w:t>
      </w:r>
      <w:r w:rsidR="00BC0755" w:rsidRPr="00983543">
        <w:t>homme</w:t>
      </w:r>
      <w:r w:rsidRPr="00983543">
        <w:tab/>
      </w:r>
      <w:r w:rsidRPr="00983543">
        <w:tab/>
      </w:r>
      <w:r w:rsidR="00983543">
        <w:t>5</w:t>
      </w:r>
      <w:r w:rsidRPr="00983543">
        <w:tab/>
      </w:r>
      <w:r w:rsidR="00123493">
        <w:t>4</w:t>
      </w:r>
    </w:p>
    <w:p w:rsidR="00D66201" w:rsidRPr="00983543" w:rsidRDefault="00D66201" w:rsidP="00BC0755">
      <w:pPr>
        <w:tabs>
          <w:tab w:val="right" w:leader="dot" w:pos="7654"/>
          <w:tab w:val="right" w:pos="8929"/>
          <w:tab w:val="right" w:pos="9638"/>
        </w:tabs>
        <w:spacing w:after="120"/>
        <w:ind w:left="1559" w:hanging="425"/>
      </w:pPr>
      <w:r w:rsidRPr="00983543">
        <w:t>C.</w:t>
      </w:r>
      <w:r w:rsidRPr="00983543">
        <w:tab/>
        <w:t xml:space="preserve">Institutions publiques et autres organes spécialisés de lutte </w:t>
      </w:r>
      <w:r w:rsidRPr="00983543">
        <w:br/>
        <w:t>contre la discrimination</w:t>
      </w:r>
      <w:r w:rsidRPr="00983543">
        <w:tab/>
      </w:r>
      <w:r w:rsidRPr="00983543">
        <w:tab/>
      </w:r>
      <w:r w:rsidR="00983543">
        <w:t>6−11</w:t>
      </w:r>
      <w:r w:rsidRPr="00983543">
        <w:tab/>
      </w:r>
      <w:r w:rsidR="00123493">
        <w:t>4</w:t>
      </w:r>
    </w:p>
    <w:p w:rsidR="00D66201" w:rsidRPr="00983543" w:rsidRDefault="00D66201" w:rsidP="00BC0755">
      <w:pPr>
        <w:tabs>
          <w:tab w:val="right" w:leader="dot" w:pos="7654"/>
          <w:tab w:val="right" w:pos="8929"/>
          <w:tab w:val="right" w:pos="9638"/>
        </w:tabs>
        <w:spacing w:after="120"/>
        <w:ind w:left="1559" w:hanging="425"/>
      </w:pPr>
      <w:r w:rsidRPr="00983543">
        <w:t>D.</w:t>
      </w:r>
      <w:r w:rsidRPr="00983543">
        <w:tab/>
        <w:t>Politique d</w:t>
      </w:r>
      <w:r w:rsidR="00311F58">
        <w:t>’</w:t>
      </w:r>
      <w:r w:rsidRPr="00983543">
        <w:t>intégration civile</w:t>
      </w:r>
      <w:r w:rsidRPr="00983543">
        <w:tab/>
      </w:r>
      <w:r w:rsidRPr="00983543">
        <w:tab/>
      </w:r>
      <w:r w:rsidR="00983543">
        <w:t>12−13</w:t>
      </w:r>
      <w:r w:rsidRPr="00983543">
        <w:tab/>
      </w:r>
      <w:r w:rsidR="00123493">
        <w:t>6</w:t>
      </w:r>
    </w:p>
    <w:p w:rsidR="00D66201" w:rsidRPr="00D66201" w:rsidRDefault="00D66201" w:rsidP="00D66201">
      <w:pPr>
        <w:tabs>
          <w:tab w:val="right" w:pos="850"/>
          <w:tab w:val="right" w:leader="dot" w:pos="7654"/>
          <w:tab w:val="right" w:pos="8929"/>
          <w:tab w:val="right" w:pos="9638"/>
        </w:tabs>
        <w:spacing w:after="120"/>
        <w:ind w:left="1134" w:hanging="1134"/>
      </w:pPr>
      <w:r>
        <w:tab/>
        <w:t>II.</w:t>
      </w:r>
      <w:r>
        <w:tab/>
      </w:r>
      <w:r w:rsidRPr="00A168B3">
        <w:t>Questions soulevées dans les observations finales du Comité en 2005</w:t>
      </w:r>
      <w:r>
        <w:br/>
      </w:r>
      <w:r w:rsidRPr="00A168B3">
        <w:t>(CERD/C/GEO/CO/3)</w:t>
      </w:r>
      <w:r>
        <w:tab/>
      </w:r>
      <w:r>
        <w:tab/>
      </w:r>
      <w:r w:rsidR="00983543">
        <w:t>14−</w:t>
      </w:r>
      <w:r w:rsidR="00AE37FD">
        <w:t>67</w:t>
      </w:r>
      <w:r>
        <w:tab/>
      </w:r>
      <w:r w:rsidR="00123493">
        <w:t>7</w:t>
      </w:r>
    </w:p>
    <w:p w:rsidR="00D66201" w:rsidRDefault="00D66201" w:rsidP="00D66201">
      <w:pPr>
        <w:tabs>
          <w:tab w:val="right" w:leader="dot" w:pos="7654"/>
          <w:tab w:val="right" w:pos="8929"/>
          <w:tab w:val="right" w:pos="9638"/>
        </w:tabs>
        <w:spacing w:after="120"/>
        <w:ind w:left="1559" w:hanging="425"/>
      </w:pPr>
      <w:r>
        <w:t>A.</w:t>
      </w:r>
      <w:r>
        <w:tab/>
      </w:r>
      <w:r w:rsidR="00983543" w:rsidRPr="00A168B3">
        <w:t>Réponses aux questions soulevées au paragraphe 10</w:t>
      </w:r>
      <w:r>
        <w:tab/>
      </w:r>
      <w:r>
        <w:tab/>
      </w:r>
      <w:r w:rsidR="00983543">
        <w:t>14</w:t>
      </w:r>
      <w:r>
        <w:tab/>
      </w:r>
      <w:r w:rsidR="00123493">
        <w:t>7</w:t>
      </w:r>
    </w:p>
    <w:p w:rsidR="00983543" w:rsidRDefault="00983543" w:rsidP="00D66201">
      <w:pPr>
        <w:tabs>
          <w:tab w:val="right" w:leader="dot" w:pos="7654"/>
          <w:tab w:val="right" w:pos="8929"/>
          <w:tab w:val="right" w:pos="9638"/>
        </w:tabs>
        <w:spacing w:after="120"/>
        <w:ind w:left="1559" w:hanging="425"/>
      </w:pPr>
      <w:r>
        <w:t>B.</w:t>
      </w:r>
      <w:r>
        <w:tab/>
      </w:r>
      <w:r w:rsidR="00123493">
        <w:t>Réponses aux questions soulevées au paragraphe 11</w:t>
      </w:r>
      <w:r w:rsidR="00123493">
        <w:tab/>
      </w:r>
      <w:r w:rsidR="00123493">
        <w:tab/>
        <w:t>15−19</w:t>
      </w:r>
      <w:r w:rsidR="00123493">
        <w:tab/>
        <w:t>7</w:t>
      </w:r>
    </w:p>
    <w:p w:rsidR="00123493" w:rsidRDefault="00123493" w:rsidP="00D66201">
      <w:pPr>
        <w:tabs>
          <w:tab w:val="right" w:leader="dot" w:pos="7654"/>
          <w:tab w:val="right" w:pos="8929"/>
          <w:tab w:val="right" w:pos="9638"/>
        </w:tabs>
        <w:spacing w:after="120"/>
        <w:ind w:left="1559" w:hanging="425"/>
      </w:pPr>
      <w:r>
        <w:t>C.</w:t>
      </w:r>
      <w:r>
        <w:tab/>
        <w:t>Réponses aux questions soulevées au paragraphe 12</w:t>
      </w:r>
      <w:r>
        <w:tab/>
      </w:r>
      <w:r>
        <w:tab/>
        <w:t>20−23</w:t>
      </w:r>
      <w:r>
        <w:tab/>
        <w:t>9</w:t>
      </w:r>
    </w:p>
    <w:p w:rsidR="00123493" w:rsidRDefault="00123493" w:rsidP="00D66201">
      <w:pPr>
        <w:tabs>
          <w:tab w:val="right" w:leader="dot" w:pos="7654"/>
          <w:tab w:val="right" w:pos="8929"/>
          <w:tab w:val="right" w:pos="9638"/>
        </w:tabs>
        <w:spacing w:after="120"/>
        <w:ind w:left="1559" w:hanging="425"/>
      </w:pPr>
      <w:r>
        <w:t>D.</w:t>
      </w:r>
      <w:r>
        <w:tab/>
        <w:t>Réponses aux questions soulevées au paragraphe 13</w:t>
      </w:r>
      <w:r>
        <w:tab/>
      </w:r>
      <w:r>
        <w:tab/>
        <w:t>24−30</w:t>
      </w:r>
      <w:r>
        <w:tab/>
        <w:t>11</w:t>
      </w:r>
    </w:p>
    <w:p w:rsidR="00123493" w:rsidRDefault="00123493" w:rsidP="00D66201">
      <w:pPr>
        <w:tabs>
          <w:tab w:val="right" w:leader="dot" w:pos="7654"/>
          <w:tab w:val="right" w:pos="8929"/>
          <w:tab w:val="right" w:pos="9638"/>
        </w:tabs>
        <w:spacing w:after="120"/>
        <w:ind w:left="1559" w:hanging="425"/>
        <w:rPr>
          <w:lang w:val="fr-FR"/>
        </w:rPr>
      </w:pPr>
      <w:r>
        <w:t>E.</w:t>
      </w:r>
      <w:r>
        <w:tab/>
      </w:r>
      <w:r w:rsidRPr="00190F4C">
        <w:rPr>
          <w:lang w:val="fr-FR"/>
        </w:rPr>
        <w:t>Rép</w:t>
      </w:r>
      <w:r>
        <w:rPr>
          <w:lang w:val="fr-FR"/>
        </w:rPr>
        <w:t>o</w:t>
      </w:r>
      <w:r w:rsidRPr="00190F4C">
        <w:rPr>
          <w:lang w:val="fr-FR"/>
        </w:rPr>
        <w:t>nses aux questions soulevées au paragraphe 14</w:t>
      </w:r>
      <w:r>
        <w:rPr>
          <w:lang w:val="fr-FR"/>
        </w:rPr>
        <w:tab/>
      </w:r>
      <w:r>
        <w:rPr>
          <w:lang w:val="fr-FR"/>
        </w:rPr>
        <w:tab/>
        <w:t>31−35</w:t>
      </w:r>
      <w:r>
        <w:rPr>
          <w:lang w:val="fr-FR"/>
        </w:rPr>
        <w:tab/>
        <w:t>13</w:t>
      </w:r>
    </w:p>
    <w:p w:rsidR="00123493" w:rsidRDefault="00123493" w:rsidP="00D66201">
      <w:pPr>
        <w:tabs>
          <w:tab w:val="right" w:leader="dot" w:pos="7654"/>
          <w:tab w:val="right" w:pos="8929"/>
          <w:tab w:val="right" w:pos="9638"/>
        </w:tabs>
        <w:spacing w:after="120"/>
        <w:ind w:left="1559" w:hanging="425"/>
        <w:rPr>
          <w:rFonts w:eastAsia="MS Mincho"/>
          <w:lang w:val="fr-FR"/>
        </w:rPr>
      </w:pPr>
      <w:r>
        <w:rPr>
          <w:lang w:val="fr-FR"/>
        </w:rPr>
        <w:t>F.</w:t>
      </w:r>
      <w:r>
        <w:rPr>
          <w:lang w:val="fr-FR"/>
        </w:rPr>
        <w:tab/>
      </w:r>
      <w:r>
        <w:rPr>
          <w:rFonts w:eastAsia="MS Mincho"/>
          <w:lang w:val="fr-FR"/>
        </w:rPr>
        <w:t>Réponses aux questions soulevées au paragraphe 15</w:t>
      </w:r>
      <w:r>
        <w:rPr>
          <w:rFonts w:eastAsia="MS Mincho"/>
          <w:lang w:val="fr-FR"/>
        </w:rPr>
        <w:tab/>
      </w:r>
      <w:r>
        <w:rPr>
          <w:rFonts w:eastAsia="MS Mincho"/>
          <w:lang w:val="fr-FR"/>
        </w:rPr>
        <w:tab/>
        <w:t>36−41</w:t>
      </w:r>
      <w:r>
        <w:rPr>
          <w:rFonts w:eastAsia="MS Mincho"/>
          <w:lang w:val="fr-FR"/>
        </w:rPr>
        <w:tab/>
        <w:t>15</w:t>
      </w:r>
    </w:p>
    <w:p w:rsidR="00123493" w:rsidRDefault="00123493" w:rsidP="00D66201">
      <w:pPr>
        <w:tabs>
          <w:tab w:val="right" w:leader="dot" w:pos="7654"/>
          <w:tab w:val="right" w:pos="8929"/>
          <w:tab w:val="right" w:pos="9638"/>
        </w:tabs>
        <w:spacing w:after="120"/>
        <w:ind w:left="1559" w:hanging="425"/>
      </w:pPr>
      <w:r>
        <w:rPr>
          <w:rFonts w:eastAsia="MS Mincho"/>
          <w:lang w:val="fr-FR"/>
        </w:rPr>
        <w:t>G.</w:t>
      </w:r>
      <w:r>
        <w:rPr>
          <w:rFonts w:eastAsia="MS Mincho"/>
          <w:lang w:val="fr-FR"/>
        </w:rPr>
        <w:tab/>
      </w:r>
      <w:r>
        <w:t>Réponses aux questions soulevées au paragraphe 16</w:t>
      </w:r>
      <w:r>
        <w:tab/>
      </w:r>
      <w:r>
        <w:tab/>
        <w:t>42−43</w:t>
      </w:r>
      <w:r>
        <w:tab/>
        <w:t>16</w:t>
      </w:r>
    </w:p>
    <w:p w:rsidR="00123493" w:rsidRDefault="00123493" w:rsidP="00D66201">
      <w:pPr>
        <w:tabs>
          <w:tab w:val="right" w:leader="dot" w:pos="7654"/>
          <w:tab w:val="right" w:pos="8929"/>
          <w:tab w:val="right" w:pos="9638"/>
        </w:tabs>
        <w:spacing w:after="120"/>
        <w:ind w:left="1559" w:hanging="425"/>
      </w:pPr>
      <w:r>
        <w:t>H.</w:t>
      </w:r>
      <w:r>
        <w:tab/>
        <w:t>Réponses aux questions soulevées au paragraphe 17</w:t>
      </w:r>
      <w:r>
        <w:tab/>
      </w:r>
      <w:r>
        <w:tab/>
        <w:t>44−48</w:t>
      </w:r>
      <w:r>
        <w:tab/>
        <w:t>16</w:t>
      </w:r>
    </w:p>
    <w:p w:rsidR="00123493" w:rsidRDefault="00123493" w:rsidP="00D66201">
      <w:pPr>
        <w:tabs>
          <w:tab w:val="right" w:leader="dot" w:pos="7654"/>
          <w:tab w:val="right" w:pos="8929"/>
          <w:tab w:val="right" w:pos="9638"/>
        </w:tabs>
        <w:spacing w:after="120"/>
        <w:ind w:left="1559" w:hanging="425"/>
        <w:rPr>
          <w:lang w:val="fr-FR"/>
        </w:rPr>
      </w:pPr>
      <w:r>
        <w:t>I.</w:t>
      </w:r>
      <w:r>
        <w:tab/>
      </w:r>
      <w:r w:rsidRPr="0017720E">
        <w:rPr>
          <w:lang w:val="fr-FR"/>
        </w:rPr>
        <w:t xml:space="preserve">Réponses aux questions soulevées </w:t>
      </w:r>
      <w:r>
        <w:rPr>
          <w:lang w:val="fr-FR"/>
        </w:rPr>
        <w:t xml:space="preserve">au </w:t>
      </w:r>
      <w:r w:rsidRPr="0017720E">
        <w:rPr>
          <w:lang w:val="fr-FR"/>
        </w:rPr>
        <w:t>paragraphe 18</w:t>
      </w:r>
      <w:r>
        <w:rPr>
          <w:lang w:val="fr-FR"/>
        </w:rPr>
        <w:tab/>
      </w:r>
      <w:r>
        <w:rPr>
          <w:lang w:val="fr-FR"/>
        </w:rPr>
        <w:tab/>
        <w:t>49−51</w:t>
      </w:r>
      <w:r>
        <w:rPr>
          <w:lang w:val="fr-FR"/>
        </w:rPr>
        <w:tab/>
        <w:t>18</w:t>
      </w:r>
    </w:p>
    <w:p w:rsidR="00123493" w:rsidRDefault="00123493" w:rsidP="00D66201">
      <w:pPr>
        <w:tabs>
          <w:tab w:val="right" w:leader="dot" w:pos="7654"/>
          <w:tab w:val="right" w:pos="8929"/>
          <w:tab w:val="right" w:pos="9638"/>
        </w:tabs>
        <w:spacing w:after="120"/>
        <w:ind w:left="1559" w:hanging="425"/>
        <w:rPr>
          <w:lang w:val="fr-FR"/>
        </w:rPr>
      </w:pPr>
      <w:r>
        <w:rPr>
          <w:lang w:val="fr-FR"/>
        </w:rPr>
        <w:t>J.</w:t>
      </w:r>
      <w:r>
        <w:rPr>
          <w:lang w:val="fr-FR"/>
        </w:rPr>
        <w:tab/>
      </w:r>
      <w:r w:rsidRPr="0017720E">
        <w:rPr>
          <w:lang w:val="fr-FR"/>
        </w:rPr>
        <w:t xml:space="preserve">Réponses aux questions soulevées </w:t>
      </w:r>
      <w:r>
        <w:rPr>
          <w:lang w:val="fr-FR"/>
        </w:rPr>
        <w:t xml:space="preserve">au </w:t>
      </w:r>
      <w:r w:rsidRPr="0017720E">
        <w:rPr>
          <w:lang w:val="fr-FR"/>
        </w:rPr>
        <w:t>paragraphe 19</w:t>
      </w:r>
      <w:r>
        <w:rPr>
          <w:lang w:val="fr-FR"/>
        </w:rPr>
        <w:tab/>
      </w:r>
      <w:r>
        <w:rPr>
          <w:lang w:val="fr-FR"/>
        </w:rPr>
        <w:tab/>
        <w:t>52−53</w:t>
      </w:r>
      <w:r>
        <w:rPr>
          <w:lang w:val="fr-FR"/>
        </w:rPr>
        <w:tab/>
        <w:t>19</w:t>
      </w:r>
    </w:p>
    <w:p w:rsidR="00123493" w:rsidRDefault="00123493" w:rsidP="00D66201">
      <w:pPr>
        <w:tabs>
          <w:tab w:val="right" w:leader="dot" w:pos="7654"/>
          <w:tab w:val="right" w:pos="8929"/>
          <w:tab w:val="right" w:pos="9638"/>
        </w:tabs>
        <w:spacing w:after="120"/>
        <w:ind w:left="1559" w:hanging="425"/>
        <w:rPr>
          <w:lang w:val="fr-FR"/>
        </w:rPr>
      </w:pPr>
      <w:r>
        <w:rPr>
          <w:lang w:val="fr-FR"/>
        </w:rPr>
        <w:t>K.</w:t>
      </w:r>
      <w:r>
        <w:rPr>
          <w:lang w:val="fr-FR"/>
        </w:rPr>
        <w:tab/>
      </w:r>
      <w:r w:rsidRPr="0017720E">
        <w:t xml:space="preserve">Réponses aux questions soulevées </w:t>
      </w:r>
      <w:r>
        <w:t>au</w:t>
      </w:r>
      <w:r w:rsidRPr="0017720E">
        <w:t xml:space="preserve"> paragraphe 20</w:t>
      </w:r>
      <w:r>
        <w:tab/>
      </w:r>
      <w:r>
        <w:tab/>
        <w:t>54−58</w:t>
      </w:r>
      <w:r>
        <w:tab/>
        <w:t>19</w:t>
      </w:r>
    </w:p>
    <w:p w:rsidR="00123493" w:rsidRDefault="00123493" w:rsidP="00D66201">
      <w:pPr>
        <w:tabs>
          <w:tab w:val="right" w:leader="dot" w:pos="7654"/>
          <w:tab w:val="right" w:pos="8929"/>
          <w:tab w:val="right" w:pos="9638"/>
        </w:tabs>
        <w:spacing w:after="120"/>
        <w:ind w:left="1559" w:hanging="425"/>
      </w:pPr>
      <w:r>
        <w:t>L.</w:t>
      </w:r>
      <w:r>
        <w:tab/>
      </w:r>
      <w:r w:rsidRPr="0017720E">
        <w:t xml:space="preserve">Réponses aux questions soulevées </w:t>
      </w:r>
      <w:r>
        <w:t xml:space="preserve">au </w:t>
      </w:r>
      <w:r w:rsidRPr="0017720E">
        <w:t>paragraphe 21</w:t>
      </w:r>
      <w:r>
        <w:tab/>
      </w:r>
      <w:r>
        <w:tab/>
        <w:t>59−61</w:t>
      </w:r>
      <w:r>
        <w:tab/>
        <w:t>20</w:t>
      </w:r>
    </w:p>
    <w:p w:rsidR="00123493" w:rsidRDefault="00123493" w:rsidP="00D66201">
      <w:pPr>
        <w:tabs>
          <w:tab w:val="right" w:leader="dot" w:pos="7654"/>
          <w:tab w:val="right" w:pos="8929"/>
          <w:tab w:val="right" w:pos="9638"/>
        </w:tabs>
        <w:spacing w:after="120"/>
        <w:ind w:left="1559" w:hanging="425"/>
      </w:pPr>
      <w:r>
        <w:t>M.</w:t>
      </w:r>
      <w:r>
        <w:tab/>
        <w:t xml:space="preserve">Réponses aux questions soulevées au </w:t>
      </w:r>
      <w:r w:rsidRPr="008C7E6E">
        <w:t>paragraphe</w:t>
      </w:r>
      <w:r>
        <w:t xml:space="preserve"> 22</w:t>
      </w:r>
      <w:r>
        <w:tab/>
      </w:r>
      <w:r>
        <w:tab/>
        <w:t>62−67</w:t>
      </w:r>
      <w:r>
        <w:tab/>
        <w:t>21</w:t>
      </w:r>
    </w:p>
    <w:p w:rsidR="00123493" w:rsidRDefault="00123493" w:rsidP="00123493">
      <w:pPr>
        <w:tabs>
          <w:tab w:val="right" w:pos="850"/>
          <w:tab w:val="right" w:leader="dot" w:pos="7654"/>
          <w:tab w:val="right" w:pos="8929"/>
          <w:tab w:val="right" w:pos="9638"/>
        </w:tabs>
        <w:spacing w:after="120"/>
        <w:ind w:left="1134" w:hanging="1134"/>
      </w:pPr>
      <w:r>
        <w:tab/>
        <w:t>III.</w:t>
      </w:r>
      <w:r>
        <w:tab/>
        <w:t>Renseignements concernant l’application de la Convention</w:t>
      </w:r>
      <w:r>
        <w:tab/>
      </w:r>
      <w:r>
        <w:tab/>
        <w:t>68−</w:t>
      </w:r>
      <w:r w:rsidR="00AE37FD">
        <w:t>92</w:t>
      </w:r>
      <w:r>
        <w:tab/>
        <w:t>23</w:t>
      </w:r>
    </w:p>
    <w:p w:rsidR="00123493" w:rsidRDefault="00123493" w:rsidP="00123493">
      <w:pPr>
        <w:tabs>
          <w:tab w:val="right" w:leader="dot" w:pos="7654"/>
          <w:tab w:val="right" w:pos="8929"/>
          <w:tab w:val="right" w:pos="9638"/>
        </w:tabs>
        <w:spacing w:after="120"/>
        <w:ind w:left="1559" w:hanging="425"/>
      </w:pPr>
      <w:r>
        <w:t>A.</w:t>
      </w:r>
      <w:r>
        <w:tab/>
        <w:t>Article 2</w:t>
      </w:r>
      <w:r>
        <w:tab/>
      </w:r>
      <w:r>
        <w:tab/>
        <w:t>68</w:t>
      </w:r>
      <w:r>
        <w:tab/>
        <w:t>23</w:t>
      </w:r>
    </w:p>
    <w:p w:rsidR="00123493" w:rsidRDefault="00123493" w:rsidP="00123493">
      <w:pPr>
        <w:tabs>
          <w:tab w:val="right" w:leader="dot" w:pos="7654"/>
          <w:tab w:val="right" w:pos="8929"/>
          <w:tab w:val="right" w:pos="9638"/>
        </w:tabs>
        <w:spacing w:after="120"/>
        <w:ind w:left="1559" w:hanging="425"/>
      </w:pPr>
      <w:r>
        <w:t>B.</w:t>
      </w:r>
      <w:r>
        <w:tab/>
        <w:t>Article 3</w:t>
      </w:r>
      <w:r>
        <w:tab/>
      </w:r>
      <w:r>
        <w:tab/>
        <w:t>69</w:t>
      </w:r>
      <w:r>
        <w:tab/>
        <w:t>23</w:t>
      </w:r>
    </w:p>
    <w:p w:rsidR="00123493" w:rsidRDefault="00123493" w:rsidP="00123493">
      <w:pPr>
        <w:tabs>
          <w:tab w:val="right" w:leader="dot" w:pos="7654"/>
          <w:tab w:val="right" w:pos="8929"/>
          <w:tab w:val="right" w:pos="9638"/>
        </w:tabs>
        <w:spacing w:after="120"/>
        <w:ind w:left="1559" w:hanging="425"/>
      </w:pPr>
      <w:r>
        <w:t>C.</w:t>
      </w:r>
      <w:r>
        <w:tab/>
        <w:t>Article 4</w:t>
      </w:r>
      <w:r>
        <w:tab/>
      </w:r>
      <w:r>
        <w:tab/>
        <w:t>70−71</w:t>
      </w:r>
      <w:r>
        <w:tab/>
        <w:t>24</w:t>
      </w:r>
    </w:p>
    <w:p w:rsidR="00123493" w:rsidRDefault="00123493" w:rsidP="00123493">
      <w:pPr>
        <w:tabs>
          <w:tab w:val="right" w:leader="dot" w:pos="7654"/>
          <w:tab w:val="right" w:pos="8929"/>
          <w:tab w:val="right" w:pos="9638"/>
        </w:tabs>
        <w:spacing w:after="120"/>
        <w:ind w:left="1559" w:hanging="425"/>
      </w:pPr>
      <w:r>
        <w:t>D.</w:t>
      </w:r>
      <w:r>
        <w:tab/>
        <w:t>Article 5</w:t>
      </w:r>
      <w:r>
        <w:tab/>
      </w:r>
      <w:r>
        <w:tab/>
        <w:t>72−79</w:t>
      </w:r>
      <w:r>
        <w:tab/>
        <w:t>24</w:t>
      </w:r>
    </w:p>
    <w:p w:rsidR="00123493" w:rsidRDefault="00123493" w:rsidP="00123493">
      <w:pPr>
        <w:tabs>
          <w:tab w:val="right" w:leader="dot" w:pos="7654"/>
          <w:tab w:val="right" w:pos="8929"/>
          <w:tab w:val="right" w:pos="9638"/>
        </w:tabs>
        <w:spacing w:after="120"/>
        <w:ind w:left="1559" w:hanging="425"/>
      </w:pPr>
      <w:r>
        <w:t>E.</w:t>
      </w:r>
      <w:r>
        <w:tab/>
        <w:t>Article 6</w:t>
      </w:r>
      <w:r>
        <w:tab/>
      </w:r>
      <w:r>
        <w:tab/>
        <w:t>80−82</w:t>
      </w:r>
      <w:r>
        <w:tab/>
        <w:t>27</w:t>
      </w:r>
    </w:p>
    <w:p w:rsidR="00123493" w:rsidRDefault="00123493" w:rsidP="00123493">
      <w:pPr>
        <w:tabs>
          <w:tab w:val="right" w:leader="dot" w:pos="7654"/>
          <w:tab w:val="right" w:pos="8929"/>
          <w:tab w:val="right" w:pos="9638"/>
        </w:tabs>
        <w:spacing w:after="120"/>
        <w:ind w:left="1559" w:hanging="425"/>
      </w:pPr>
      <w:r>
        <w:t>F.</w:t>
      </w:r>
      <w:r>
        <w:tab/>
        <w:t>Article 7</w:t>
      </w:r>
      <w:r>
        <w:tab/>
      </w:r>
      <w:r>
        <w:tab/>
        <w:t>83−91</w:t>
      </w:r>
      <w:r>
        <w:tab/>
        <w:t>28</w:t>
      </w:r>
    </w:p>
    <w:p w:rsidR="00123493" w:rsidRDefault="00123493" w:rsidP="00123493">
      <w:pPr>
        <w:tabs>
          <w:tab w:val="right" w:leader="dot" w:pos="7654"/>
          <w:tab w:val="right" w:pos="8929"/>
          <w:tab w:val="right" w:pos="9638"/>
        </w:tabs>
        <w:spacing w:after="120"/>
        <w:ind w:left="1559" w:hanging="425"/>
      </w:pPr>
      <w:r>
        <w:t>G.</w:t>
      </w:r>
      <w:r>
        <w:tab/>
        <w:t>Article 22</w:t>
      </w:r>
      <w:r>
        <w:tab/>
      </w:r>
      <w:r>
        <w:tab/>
        <w:t>92</w:t>
      </w:r>
      <w:r>
        <w:tab/>
        <w:t>30</w:t>
      </w:r>
    </w:p>
    <w:p w:rsidR="00BC0755" w:rsidRDefault="00BC0755" w:rsidP="00BC0755">
      <w:pPr>
        <w:pStyle w:val="HChG"/>
      </w:pPr>
      <w:r>
        <w:br w:type="page"/>
      </w:r>
      <w:r>
        <w:tab/>
      </w:r>
      <w:r>
        <w:tab/>
        <w:t>Introduction</w:t>
      </w:r>
    </w:p>
    <w:p w:rsidR="00BC0755" w:rsidRPr="00BC0755" w:rsidRDefault="00BC0755" w:rsidP="00311F58">
      <w:pPr>
        <w:pStyle w:val="SingleTxtG"/>
      </w:pPr>
      <w:r w:rsidRPr="00BC0755">
        <w:t>1.</w:t>
      </w:r>
      <w:r w:rsidRPr="00BC0755">
        <w:tab/>
        <w:t xml:space="preserve">Le présent rapport contient les quatrième et cinquième rapports périodiques </w:t>
      </w:r>
      <w:r>
        <w:t>du Gouvernement g</w:t>
      </w:r>
      <w:r w:rsidRPr="00BC0755">
        <w:t>éorgie</w:t>
      </w:r>
      <w:r>
        <w:t>n, rassemblés en un seul document, sur</w:t>
      </w:r>
      <w:r w:rsidRPr="00BC0755">
        <w:t xml:space="preserve"> l</w:t>
      </w:r>
      <w:r w:rsidR="00311F58">
        <w:t>’</w:t>
      </w:r>
      <w:r w:rsidRPr="00BC0755">
        <w:t>application de la Convention internationale sur l</w:t>
      </w:r>
      <w:r w:rsidR="00311F58">
        <w:t>’</w:t>
      </w:r>
      <w:r w:rsidRPr="00BC0755">
        <w:t xml:space="preserve">élimination de toutes les formes de discrimination raciale, présentés </w:t>
      </w:r>
      <w:r>
        <w:t>conformément à</w:t>
      </w:r>
      <w:r w:rsidRPr="00BC0755">
        <w:t xml:space="preserve"> l</w:t>
      </w:r>
      <w:r w:rsidR="00311F58">
        <w:t>’</w:t>
      </w:r>
      <w:r w:rsidRPr="00BC0755">
        <w:t xml:space="preserve">article 9 de la Convention. Le rapport a été élaboré en application des </w:t>
      </w:r>
      <w:r>
        <w:t>D</w:t>
      </w:r>
      <w:r w:rsidRPr="00BC0755">
        <w:t>irectives pour l</w:t>
      </w:r>
      <w:r w:rsidR="00311F58">
        <w:t>’</w:t>
      </w:r>
      <w:r w:rsidRPr="00BC0755">
        <w:t>établissement du document se rapportant spécifiquement à la Convention sur l</w:t>
      </w:r>
      <w:r w:rsidR="00311F58">
        <w:t>’</w:t>
      </w:r>
      <w:r w:rsidRPr="00BC0755">
        <w:t>élimination de toutes les formes de discrimination raciale</w:t>
      </w:r>
      <w:r>
        <w:t xml:space="preserve"> présenté</w:t>
      </w:r>
      <w:r w:rsidRPr="00BC0755">
        <w:t xml:space="preserve"> par les États parties confor</w:t>
      </w:r>
      <w:r w:rsidR="00DF3978">
        <w:t xml:space="preserve">mément au paragraphe </w:t>
      </w:r>
      <w:r w:rsidRPr="00BC0755">
        <w:t>1 de l</w:t>
      </w:r>
      <w:r w:rsidR="00311F58">
        <w:t>’</w:t>
      </w:r>
      <w:r w:rsidR="00DF3978">
        <w:t xml:space="preserve">article </w:t>
      </w:r>
      <w:r w:rsidRPr="00BC0755">
        <w:t xml:space="preserve">9 de la Convention (CERD/C/2007/1). Il contient des informations sur les mesures législatives, judiciaires, administratives et autres mises en œuvre par la Géorgie </w:t>
      </w:r>
      <w:r>
        <w:t>pour donner effet aux</w:t>
      </w:r>
      <w:r w:rsidRPr="00BC0755">
        <w:t xml:space="preserve"> dispositions de la Convention</w:t>
      </w:r>
      <w:r>
        <w:t xml:space="preserve"> </w:t>
      </w:r>
      <w:r w:rsidRPr="00BC0755">
        <w:t>depuis la soumission de son précédent rapport</w:t>
      </w:r>
      <w:r>
        <w:t xml:space="preserve">. </w:t>
      </w:r>
      <w:r w:rsidRPr="00BC0755">
        <w:t>Le rapport répond notamment aux questions soulevées dans les observations finales du Comité pour l</w:t>
      </w:r>
      <w:r w:rsidR="00311F58">
        <w:t>’</w:t>
      </w:r>
      <w:r w:rsidRPr="00BC0755">
        <w:t>élimination de la discrimination raciale (CERD/C/GEO/CO/3).</w:t>
      </w:r>
    </w:p>
    <w:p w:rsidR="00BC0755" w:rsidRPr="00BC0755" w:rsidRDefault="00BC0755" w:rsidP="00BC0755">
      <w:pPr>
        <w:pStyle w:val="HChG"/>
      </w:pPr>
      <w:r>
        <w:tab/>
      </w:r>
      <w:r w:rsidRPr="00BC0755">
        <w:t>I.</w:t>
      </w:r>
      <w:r w:rsidRPr="00BC0755">
        <w:tab/>
        <w:t>Présentation générale</w:t>
      </w:r>
    </w:p>
    <w:p w:rsidR="00BC0755" w:rsidRPr="00BC0755" w:rsidRDefault="00BC0755" w:rsidP="00BC0755">
      <w:pPr>
        <w:pStyle w:val="SingleTxtG"/>
      </w:pPr>
      <w:r w:rsidRPr="00BC0755">
        <w:t>2.</w:t>
      </w:r>
      <w:r w:rsidRPr="00BC0755">
        <w:tab/>
        <w:t>La Géorgie est un pays présentant une diversité ethnique, culturelle, linguistique et religieuse, dans lequel le Gouvernement doit accorder une attention particulière au</w:t>
      </w:r>
      <w:r>
        <w:t>x</w:t>
      </w:r>
      <w:r w:rsidRPr="00BC0755">
        <w:t xml:space="preserve"> minorités nationales</w:t>
      </w:r>
      <w:r>
        <w:t xml:space="preserve"> et à leur </w:t>
      </w:r>
      <w:r w:rsidRPr="00BC0755">
        <w:t>développement. La Constitution garantit le</w:t>
      </w:r>
      <w:r>
        <w:t>s</w:t>
      </w:r>
      <w:r w:rsidRPr="00BC0755">
        <w:t xml:space="preserve"> droit</w:t>
      </w:r>
      <w:r>
        <w:t>s</w:t>
      </w:r>
      <w:r w:rsidRPr="00BC0755">
        <w:t xml:space="preserve"> des personnes appartenant à des minorités nationales et interdit la discrimination, y compris la discrimination fondée sur l</w:t>
      </w:r>
      <w:r w:rsidR="00311F58">
        <w:t>’</w:t>
      </w:r>
      <w:r w:rsidRPr="00BC0755">
        <w:t>appartenance ethnique ou religi</w:t>
      </w:r>
      <w:r>
        <w:t>euse. Après la «révolution des r</w:t>
      </w:r>
      <w:r w:rsidRPr="00BC0755">
        <w:t xml:space="preserve">oses», la pleine intégration de toutes les minorités ethniques en Géorgie reste une </w:t>
      </w:r>
      <w:r>
        <w:t>entreprise difficile</w:t>
      </w:r>
      <w:r w:rsidRPr="00BC0755">
        <w:t xml:space="preserve"> pour le gouvernement actuel.</w:t>
      </w:r>
    </w:p>
    <w:p w:rsidR="00BC0755" w:rsidRPr="00BC0755" w:rsidRDefault="00BC0755" w:rsidP="00BC0755">
      <w:pPr>
        <w:pStyle w:val="H1G"/>
      </w:pPr>
      <w:r>
        <w:tab/>
      </w:r>
      <w:r w:rsidRPr="00BC0755">
        <w:t>A.</w:t>
      </w:r>
      <w:r w:rsidRPr="00BC0755">
        <w:tab/>
      </w:r>
      <w:r>
        <w:t>Plac</w:t>
      </w:r>
      <w:r w:rsidRPr="00BC0755">
        <w:t>e</w:t>
      </w:r>
      <w:r>
        <w:t xml:space="preserve"> du droit international dans l</w:t>
      </w:r>
      <w:r w:rsidR="00311F58">
        <w:t>’</w:t>
      </w:r>
      <w:r>
        <w:t>ordre juridique interne</w:t>
      </w:r>
    </w:p>
    <w:p w:rsidR="00BC0755" w:rsidRPr="00BC0755" w:rsidRDefault="00BC0755" w:rsidP="00BC0755">
      <w:pPr>
        <w:pStyle w:val="SingleTxtG"/>
      </w:pPr>
      <w:r w:rsidRPr="00BC0755">
        <w:t>3.</w:t>
      </w:r>
      <w:r w:rsidRPr="00BC0755">
        <w:tab/>
        <w:t>Les traités internationaux font partie intégrante de la législation géorgienne. Conformément à la loi de Géorgie sur les «textes normatifs» (art. 19.1), un traité ou un accord international prime sur tous les autres textes normatifs, à l</w:t>
      </w:r>
      <w:r w:rsidR="00311F58">
        <w:t>’</w:t>
      </w:r>
      <w:r w:rsidRPr="00BC0755">
        <w:t>exception de la Constitution (ou de la Loi constitutionnelle) et des accords constitutionnels. Conformément à l</w:t>
      </w:r>
      <w:r w:rsidR="00311F58">
        <w:t>’</w:t>
      </w:r>
      <w:r w:rsidRPr="00BC0755">
        <w:t>article 6 de la Constitution, au paragraphe 2 d</w:t>
      </w:r>
      <w:r>
        <w:t>e l</w:t>
      </w:r>
      <w:r w:rsidR="00311F58">
        <w:t>’</w:t>
      </w:r>
      <w:r>
        <w:t>article 20 de la loi g</w:t>
      </w:r>
      <w:r w:rsidRPr="00BC0755">
        <w:t>éorgie</w:t>
      </w:r>
      <w:r>
        <w:t>nne</w:t>
      </w:r>
      <w:r w:rsidRPr="00BC0755">
        <w:t xml:space="preserve"> sur les actes normatifs et </w:t>
      </w:r>
      <w:r>
        <w:t>à</w:t>
      </w:r>
      <w:r w:rsidRPr="00BC0755">
        <w:t xml:space="preserve"> l</w:t>
      </w:r>
      <w:r w:rsidR="00311F58">
        <w:t>’</w:t>
      </w:r>
      <w:r w:rsidRPr="00BC0755">
        <w:t xml:space="preserve">article 6 de la loi géorgienne relative aux traités internationaux, </w:t>
      </w:r>
      <w:r>
        <w:t>un</w:t>
      </w:r>
      <w:r w:rsidRPr="00BC0755">
        <w:t xml:space="preserve"> traité ou accord international auquel la Géorgie est partie l</w:t>
      </w:r>
      <w:r w:rsidR="00311F58">
        <w:t>’</w:t>
      </w:r>
      <w:r w:rsidRPr="00BC0755">
        <w:t xml:space="preserve">emporte sur les </w:t>
      </w:r>
      <w:r>
        <w:t>textes normatifs nationaux, dans la mesure où leurs dispositions ne sont pas contraires à celles</w:t>
      </w:r>
      <w:r w:rsidRPr="00BC0755">
        <w:t xml:space="preserve"> de la Constitution de la Géorgie. Les dispositions d</w:t>
      </w:r>
      <w:r w:rsidR="00311F58">
        <w:t>’</w:t>
      </w:r>
      <w:r w:rsidRPr="00BC0755">
        <w:t xml:space="preserve">un traité international ayant immédiatement force de loi sont directement applicables en Géorgie et </w:t>
      </w:r>
      <w:r>
        <w:t>ne requièrent pas l</w:t>
      </w:r>
      <w:r w:rsidR="00311F58">
        <w:t>’</w:t>
      </w:r>
      <w:r>
        <w:t>adoption d</w:t>
      </w:r>
      <w:r w:rsidR="00311F58">
        <w:t>’</w:t>
      </w:r>
      <w:r w:rsidRPr="00BC0755">
        <w:t>un a</w:t>
      </w:r>
      <w:r>
        <w:t xml:space="preserve">cte normatif interne de </w:t>
      </w:r>
      <w:r w:rsidRPr="00BC0755">
        <w:t xml:space="preserve">conformité. </w:t>
      </w:r>
    </w:p>
    <w:p w:rsidR="00BC0755" w:rsidRPr="00BC0755" w:rsidRDefault="00BC0755" w:rsidP="00BC0755">
      <w:pPr>
        <w:pStyle w:val="SingleTxtG"/>
      </w:pPr>
      <w:r w:rsidRPr="00BC0755">
        <w:t>4.</w:t>
      </w:r>
      <w:r w:rsidRPr="00BC0755">
        <w:tab/>
        <w:t>Le principe d</w:t>
      </w:r>
      <w:r w:rsidR="00311F58">
        <w:t>’</w:t>
      </w:r>
      <w:r w:rsidRPr="00BC0755">
        <w:t xml:space="preserve">égalité est appliqué par le biais de plusieurs </w:t>
      </w:r>
      <w:r w:rsidR="00526B1B">
        <w:t>actes législatifs nationaux</w:t>
      </w:r>
      <w:r w:rsidRPr="00BC0755">
        <w:t>: la Constit</w:t>
      </w:r>
      <w:r w:rsidR="00526B1B">
        <w:t>ution de Géorgie, le Code pénal</w:t>
      </w:r>
      <w:r w:rsidRPr="00BC0755">
        <w:t xml:space="preserve">, le Code de procédure pénale, le Code civil, le Code de procédure civile et le Code administratif général de Géorgie. La liste ci-dessous </w:t>
      </w:r>
      <w:r w:rsidR="00526B1B">
        <w:t>énumère</w:t>
      </w:r>
      <w:r w:rsidRPr="00BC0755">
        <w:t xml:space="preserve"> d</w:t>
      </w:r>
      <w:r w:rsidR="00311F58">
        <w:t>’</w:t>
      </w:r>
      <w:r w:rsidRPr="00BC0755">
        <w:t xml:space="preserve">autres lois </w:t>
      </w:r>
      <w:r w:rsidR="00526B1B">
        <w:t>ayant</w:t>
      </w:r>
      <w:r w:rsidRPr="00BC0755">
        <w:t xml:space="preserve"> directement ou indirectement </w:t>
      </w:r>
      <w:r w:rsidR="00526B1B">
        <w:t xml:space="preserve">trait </w:t>
      </w:r>
      <w:r w:rsidRPr="00BC0755">
        <w:t>à l</w:t>
      </w:r>
      <w:r w:rsidR="00311F58">
        <w:t>’</w:t>
      </w:r>
      <w:r w:rsidRPr="00BC0755">
        <w:t xml:space="preserve">interdiction de la discrimination fondée sur différents motifs: loi sur les </w:t>
      </w:r>
      <w:r w:rsidR="00526B1B">
        <w:t>associat</w:t>
      </w:r>
      <w:r w:rsidRPr="00BC0755">
        <w:t>ions politiques de citoyens; loi sur les rasse</w:t>
      </w:r>
      <w:r w:rsidR="00526B1B">
        <w:t>mblements et les manifestations;</w:t>
      </w:r>
      <w:r w:rsidRPr="00BC0755">
        <w:t xml:space="preserve"> Code du travail; loi sur la radiodiffusion</w:t>
      </w:r>
      <w:r w:rsidR="00526B1B">
        <w:t xml:space="preserve"> et la télévision</w:t>
      </w:r>
      <w:r w:rsidRPr="00BC0755">
        <w:t>; loi sur l</w:t>
      </w:r>
      <w:r w:rsidR="00311F58">
        <w:t>’</w:t>
      </w:r>
      <w:r w:rsidR="00526B1B">
        <w:t>enseignement public</w:t>
      </w:r>
      <w:r w:rsidRPr="00BC0755">
        <w:t>; loi sur l</w:t>
      </w:r>
      <w:r w:rsidR="00311F58">
        <w:t>’</w:t>
      </w:r>
      <w:r w:rsidRPr="00BC0755">
        <w:t>enseignement supérieur; loi sur les droits d</w:t>
      </w:r>
      <w:r w:rsidR="00526B1B">
        <w:t>es</w:t>
      </w:r>
      <w:r w:rsidRPr="00BC0755">
        <w:t xml:space="preserve"> patient</w:t>
      </w:r>
      <w:r w:rsidR="00526B1B">
        <w:t>s;</w:t>
      </w:r>
      <w:r w:rsidRPr="00BC0755">
        <w:t xml:space="preserve"> loi sur la protection de la santé; loi sur la culture; loi sur l</w:t>
      </w:r>
      <w:r w:rsidR="00311F58">
        <w:t>’</w:t>
      </w:r>
      <w:r w:rsidRPr="00BC0755">
        <w:t>application des peines non</w:t>
      </w:r>
      <w:r w:rsidR="00526B1B">
        <w:t xml:space="preserve"> privatives de liberté et sur la probation; loi de la Géorgie</w:t>
      </w:r>
      <w:r w:rsidRPr="00BC0755">
        <w:t xml:space="preserve"> sur la réhabilitation et la restitution de propriétés des victimes du conflit armé dans l</w:t>
      </w:r>
      <w:r w:rsidR="00311F58">
        <w:t>’</w:t>
      </w:r>
      <w:r w:rsidRPr="00BC0755">
        <w:t>ancien district autonome d</w:t>
      </w:r>
      <w:r w:rsidR="00311F58">
        <w:t>’</w:t>
      </w:r>
      <w:r w:rsidRPr="00BC0755">
        <w:t xml:space="preserve">Ossétie du Sud sur le territoire de </w:t>
      </w:r>
      <w:r w:rsidR="00526B1B">
        <w:t xml:space="preserve">la </w:t>
      </w:r>
      <w:r w:rsidRPr="00BC0755">
        <w:t>Géorgie; loi sur la lutte contre la traite</w:t>
      </w:r>
      <w:r w:rsidR="00526B1B">
        <w:t xml:space="preserve"> des personnes;</w:t>
      </w:r>
      <w:r w:rsidRPr="00BC0755">
        <w:t xml:space="preserve"> loi sur les communications électr</w:t>
      </w:r>
      <w:r w:rsidR="009902E4">
        <w:t>on</w:t>
      </w:r>
      <w:r w:rsidRPr="00BC0755">
        <w:t>iques, loi sur le libre</w:t>
      </w:r>
      <w:r w:rsidR="009902E4">
        <w:t>-</w:t>
      </w:r>
      <w:r w:rsidRPr="00BC0755">
        <w:t>échange et la concurrence; loi sur les avocats, loi sur le droit privé international; loi sur les conflits d</w:t>
      </w:r>
      <w:r w:rsidR="00311F58">
        <w:t>’</w:t>
      </w:r>
      <w:r w:rsidRPr="00BC0755">
        <w:t xml:space="preserve">intérêts dans </w:t>
      </w:r>
      <w:r w:rsidR="00526B1B">
        <w:t>la fonction</w:t>
      </w:r>
      <w:r w:rsidRPr="00BC0755">
        <w:t xml:space="preserve"> publi</w:t>
      </w:r>
      <w:r w:rsidR="00526B1B">
        <w:t>que</w:t>
      </w:r>
      <w:r w:rsidRPr="00BC0755">
        <w:t xml:space="preserve"> et la corruption; loi sur la protection sociale des personnes handicapées.</w:t>
      </w:r>
    </w:p>
    <w:p w:rsidR="00BC0755" w:rsidRPr="00BC0755" w:rsidRDefault="00526B1B" w:rsidP="00526B1B">
      <w:pPr>
        <w:pStyle w:val="H1G"/>
      </w:pPr>
      <w:r>
        <w:tab/>
      </w:r>
      <w:r w:rsidR="00BC0755" w:rsidRPr="00BC0755">
        <w:t>B.</w:t>
      </w:r>
      <w:r w:rsidR="00BC0755" w:rsidRPr="00BC0755">
        <w:tab/>
        <w:t>Instruments juridiques internationaux relatifs aux droits de l</w:t>
      </w:r>
      <w:r w:rsidR="00311F58">
        <w:t>’</w:t>
      </w:r>
      <w:r w:rsidR="00BC0755" w:rsidRPr="00BC0755">
        <w:t>homme</w:t>
      </w:r>
    </w:p>
    <w:p w:rsidR="00BC0755" w:rsidRPr="00BC0755" w:rsidRDefault="00BC0755" w:rsidP="00BC0755">
      <w:pPr>
        <w:pStyle w:val="SingleTxtG"/>
      </w:pPr>
      <w:r w:rsidRPr="00BC0755">
        <w:t>5.</w:t>
      </w:r>
      <w:r w:rsidRPr="00BC0755">
        <w:tab/>
        <w:t>Les principes fondamentaux de la Déclaration universelle des droits de l</w:t>
      </w:r>
      <w:r w:rsidR="00311F58">
        <w:t>’</w:t>
      </w:r>
      <w:r w:rsidRPr="00BC0755">
        <w:t>homme ont été incorporés dans les lois géorgiennes. La Géorgie a ratifié des accords internationaux d</w:t>
      </w:r>
      <w:r w:rsidR="00311F58">
        <w:t>’</w:t>
      </w:r>
      <w:r w:rsidRPr="00BC0755">
        <w:t xml:space="preserve">une importance fondamentale dans la protection des droits et des libertés des minorités nationales, à savoir: </w:t>
      </w:r>
      <w:r w:rsidR="00526B1B">
        <w:t xml:space="preserve">la </w:t>
      </w:r>
      <w:r w:rsidRPr="00BC0755">
        <w:t>Convention pour la prévention et la répression du crime génocide</w:t>
      </w:r>
      <w:r w:rsidR="00526B1B">
        <w:t>;</w:t>
      </w:r>
      <w:r w:rsidRPr="00BC0755">
        <w:t xml:space="preserve"> </w:t>
      </w:r>
      <w:r w:rsidR="00526B1B">
        <w:t>le</w:t>
      </w:r>
      <w:r w:rsidRPr="00BC0755">
        <w:t xml:space="preserve"> Pacte international relatif aux droits civils et politiques</w:t>
      </w:r>
      <w:r w:rsidR="00526B1B">
        <w:t xml:space="preserve"> et le Protocole facultatif s</w:t>
      </w:r>
      <w:r w:rsidR="00311F58">
        <w:t>’</w:t>
      </w:r>
      <w:r w:rsidR="00526B1B">
        <w:t>y rapportant</w:t>
      </w:r>
      <w:r w:rsidRPr="00BC0755">
        <w:t xml:space="preserve">; </w:t>
      </w:r>
      <w:r w:rsidR="00526B1B">
        <w:t xml:space="preserve">le </w:t>
      </w:r>
      <w:r w:rsidR="00A4183D">
        <w:t>Pacte international relatif au</w:t>
      </w:r>
      <w:r w:rsidRPr="00BC0755">
        <w:t xml:space="preserve"> Pacte international relatif aux droits économiques, sociaux et culturels; </w:t>
      </w:r>
      <w:r w:rsidR="00526B1B">
        <w:t xml:space="preserve">la </w:t>
      </w:r>
      <w:r w:rsidRPr="00BC0755">
        <w:t>Convention contre la torture et autres peines ou traitements c</w:t>
      </w:r>
      <w:r w:rsidR="00526B1B">
        <w:t xml:space="preserve">ruels, inhumains ou dégradants et son </w:t>
      </w:r>
      <w:r w:rsidRPr="00BC0755">
        <w:t>P</w:t>
      </w:r>
      <w:r w:rsidR="00526B1B">
        <w:t>rotocole facultatif;</w:t>
      </w:r>
      <w:r w:rsidRPr="00BC0755">
        <w:t xml:space="preserve"> la Convention </w:t>
      </w:r>
      <w:r w:rsidR="00526B1B">
        <w:t>concernant la discrimination (emploi et profession)</w:t>
      </w:r>
      <w:r w:rsidRPr="00BC0755">
        <w:t>;</w:t>
      </w:r>
      <w:r w:rsidR="00526B1B">
        <w:t xml:space="preserve"> la Convention sur la politique de l</w:t>
      </w:r>
      <w:r w:rsidR="00311F58">
        <w:t>’</w:t>
      </w:r>
      <w:r w:rsidR="00526B1B">
        <w:t>emploi; la Convention internationale sur l</w:t>
      </w:r>
      <w:r w:rsidR="00311F58">
        <w:t>’</w:t>
      </w:r>
      <w:r w:rsidR="00526B1B">
        <w:t>élimination de tou</w:t>
      </w:r>
      <w:r w:rsidR="00A4183D">
        <w:t>t</w:t>
      </w:r>
      <w:r w:rsidR="00526B1B">
        <w:t>es les formes de discrimination raciale; la</w:t>
      </w:r>
      <w:r w:rsidRPr="00BC0755">
        <w:t xml:space="preserve"> Convention sur l</w:t>
      </w:r>
      <w:r w:rsidR="00311F58">
        <w:t>’</w:t>
      </w:r>
      <w:r w:rsidRPr="00BC0755">
        <w:t>élimination et la répression du crime d</w:t>
      </w:r>
      <w:r w:rsidR="00311F58">
        <w:t>’</w:t>
      </w:r>
      <w:r w:rsidRPr="00BC0755">
        <w:t xml:space="preserve">apartheid; </w:t>
      </w:r>
      <w:r w:rsidR="00526B1B">
        <w:t xml:space="preserve">la </w:t>
      </w:r>
      <w:r w:rsidRPr="00BC0755">
        <w:t>Convention sur le</w:t>
      </w:r>
      <w:r w:rsidR="00526B1B">
        <w:t>s droits politiques de la femme et la</w:t>
      </w:r>
      <w:r w:rsidRPr="00BC0755">
        <w:t xml:space="preserve"> Convention sur l</w:t>
      </w:r>
      <w:r w:rsidR="00311F58">
        <w:t>’</w:t>
      </w:r>
      <w:r w:rsidRPr="00BC0755">
        <w:t>élimination de toutes les formes de discri</w:t>
      </w:r>
      <w:r w:rsidR="00526B1B">
        <w:t>mination à l</w:t>
      </w:r>
      <w:r w:rsidR="00311F58">
        <w:t>’</w:t>
      </w:r>
      <w:r w:rsidR="00526B1B">
        <w:t>égard des femmes, ainsi que</w:t>
      </w:r>
      <w:r w:rsidRPr="00BC0755">
        <w:t xml:space="preserve"> des traités régionaux comme la Convention culturelle européenne; la Convention européenne de sauvegarde des droits de l</w:t>
      </w:r>
      <w:r w:rsidR="00311F58">
        <w:t>’</w:t>
      </w:r>
      <w:r w:rsidRPr="00BC0755">
        <w:t xml:space="preserve">homme et des libertés fondamentales et ses quatrième, sixième, septième et douzième Protocoles additionnels et </w:t>
      </w:r>
      <w:r w:rsidR="00526B1B">
        <w:t xml:space="preserve">la </w:t>
      </w:r>
      <w:r w:rsidRPr="00BC0755">
        <w:t>Convention-cadre pour la protection des minorités nationales.</w:t>
      </w:r>
    </w:p>
    <w:p w:rsidR="00BC0755" w:rsidRPr="00BC0755" w:rsidRDefault="00526B1B" w:rsidP="00526B1B">
      <w:pPr>
        <w:pStyle w:val="H1G"/>
      </w:pPr>
      <w:r>
        <w:tab/>
      </w:r>
      <w:r w:rsidR="00BC0755" w:rsidRPr="00BC0755">
        <w:t>C.</w:t>
      </w:r>
      <w:r w:rsidR="00BC0755" w:rsidRPr="00BC0755">
        <w:tab/>
        <w:t xml:space="preserve">Institutions publiques et autres organes spécialisés de lutte </w:t>
      </w:r>
      <w:r>
        <w:br/>
      </w:r>
      <w:r w:rsidR="00BC0755" w:rsidRPr="00BC0755">
        <w:t>contre la discrimination</w:t>
      </w:r>
    </w:p>
    <w:p w:rsidR="00BC0755" w:rsidRPr="00BC0755" w:rsidRDefault="00BC0755" w:rsidP="00BC0755">
      <w:pPr>
        <w:pStyle w:val="SingleTxtG"/>
      </w:pPr>
      <w:r w:rsidRPr="00BC0755">
        <w:t>6.</w:t>
      </w:r>
      <w:r w:rsidRPr="00BC0755">
        <w:tab/>
        <w:t>Le</w:t>
      </w:r>
      <w:r w:rsidR="00526B1B">
        <w:t>s services du</w:t>
      </w:r>
      <w:r w:rsidRPr="00BC0755">
        <w:t xml:space="preserve"> Ministère d</w:t>
      </w:r>
      <w:r w:rsidR="00311F58">
        <w:t>’</w:t>
      </w:r>
      <w:r w:rsidRPr="00BC0755">
        <w:t xml:space="preserve">État à la réintégration </w:t>
      </w:r>
      <w:r w:rsidR="00526B1B">
        <w:t>ont</w:t>
      </w:r>
      <w:r w:rsidRPr="00BC0755">
        <w:t xml:space="preserve"> été créé</w:t>
      </w:r>
      <w:r w:rsidR="00526B1B">
        <w:t>s le</w:t>
      </w:r>
      <w:r w:rsidRPr="00BC0755">
        <w:t xml:space="preserve"> </w:t>
      </w:r>
      <w:r w:rsidR="00526B1B">
        <w:t xml:space="preserve">8 </w:t>
      </w:r>
      <w:r w:rsidR="00526B1B" w:rsidRPr="00BC0755">
        <w:t>février 2008</w:t>
      </w:r>
      <w:r w:rsidR="00A4183D">
        <w:t xml:space="preserve"> </w:t>
      </w:r>
      <w:r w:rsidRPr="00BC0755">
        <w:t>en application du décret n</w:t>
      </w:r>
      <w:r w:rsidRPr="00BC0755">
        <w:rPr>
          <w:vertAlign w:val="superscript"/>
        </w:rPr>
        <w:t>o</w:t>
      </w:r>
      <w:r w:rsidR="00526B1B">
        <w:t> 23 du Gouvernement g</w:t>
      </w:r>
      <w:r w:rsidRPr="00BC0755">
        <w:t>éorgie</w:t>
      </w:r>
      <w:r w:rsidR="00526B1B">
        <w:t>n</w:t>
      </w:r>
      <w:r w:rsidRPr="00BC0755">
        <w:t>. Il</w:t>
      </w:r>
      <w:r w:rsidR="00526B1B">
        <w:t>s ont</w:t>
      </w:r>
      <w:r w:rsidRPr="00BC0755">
        <w:t xml:space="preserve"> pour mission de contribuer </w:t>
      </w:r>
      <w:r w:rsidR="00526B1B">
        <w:t>au rétablissement</w:t>
      </w:r>
      <w:r w:rsidRPr="00BC0755">
        <w:t xml:space="preserve"> de l</w:t>
      </w:r>
      <w:r w:rsidR="00311F58">
        <w:t>’</w:t>
      </w:r>
      <w:r w:rsidRPr="00BC0755">
        <w:t>intégrité territoriale de la Géorgie, à la réintégration des habitants d</w:t>
      </w:r>
      <w:r w:rsidR="00311F58">
        <w:t>’</w:t>
      </w:r>
      <w:r w:rsidRPr="00BC0755">
        <w:t>Abkhazi</w:t>
      </w:r>
      <w:r w:rsidR="00526B1B">
        <w:t>e et de la Région de Tskhinvali (</w:t>
      </w:r>
      <w:r w:rsidRPr="00BC0755">
        <w:t>Ossétie du Sud</w:t>
      </w:r>
      <w:r w:rsidR="00526B1B">
        <w:t>)</w:t>
      </w:r>
      <w:r w:rsidRPr="00BC0755">
        <w:t xml:space="preserve"> dans l</w:t>
      </w:r>
      <w:r w:rsidR="00311F58">
        <w:t>’</w:t>
      </w:r>
      <w:r w:rsidRPr="00BC0755">
        <w:t xml:space="preserve">État unifié de Géorgie </w:t>
      </w:r>
      <w:r w:rsidR="00526B1B">
        <w:t>ainsi qu</w:t>
      </w:r>
      <w:r w:rsidR="00311F58">
        <w:t>’</w:t>
      </w:r>
      <w:r w:rsidRPr="00BC0755">
        <w:t>au retour dans la dignité et en toute sécurité de tous les réfugiés et de toutes les p</w:t>
      </w:r>
      <w:r w:rsidR="00526B1B">
        <w:t>ersonnes déplacées et de leurs descendant</w:t>
      </w:r>
      <w:r w:rsidRPr="00BC0755">
        <w:t xml:space="preserve">s. Les services du </w:t>
      </w:r>
      <w:r w:rsidR="00526B1B" w:rsidRPr="00BC0755">
        <w:t>Ministère d</w:t>
      </w:r>
      <w:r w:rsidR="00311F58">
        <w:t>’</w:t>
      </w:r>
      <w:r w:rsidR="00526B1B" w:rsidRPr="00BC0755">
        <w:t xml:space="preserve">État à la réintégration </w:t>
      </w:r>
      <w:r w:rsidRPr="00BC0755">
        <w:t>sont chargés de promouvoir l</w:t>
      </w:r>
      <w:r w:rsidR="00311F58">
        <w:t>’</w:t>
      </w:r>
      <w:r w:rsidRPr="00BC0755">
        <w:t xml:space="preserve">intégration civile de toutes les minorités ethniques résidant en Géorgie, de coordonner les activités des organismes publics dans ce domaine et de superviser la mise en œuvre du </w:t>
      </w:r>
      <w:r w:rsidR="00A4183D">
        <w:t>C</w:t>
      </w:r>
      <w:r w:rsidRPr="00BC0755">
        <w:t xml:space="preserve">oncept national et du </w:t>
      </w:r>
      <w:r w:rsidR="00A4183D">
        <w:t>P</w:t>
      </w:r>
      <w:r w:rsidRPr="00BC0755">
        <w:t>lan d</w:t>
      </w:r>
      <w:r w:rsidR="00311F58">
        <w:t>’</w:t>
      </w:r>
      <w:r w:rsidRPr="00BC0755">
        <w:t>action pour la tolérance et l</w:t>
      </w:r>
      <w:r w:rsidR="00311F58">
        <w:t>’</w:t>
      </w:r>
      <w:r w:rsidRPr="00BC0755">
        <w:t>intégration civile</w:t>
      </w:r>
      <w:r w:rsidR="00526B1B">
        <w:t xml:space="preserve"> adopté par le Gouvernement géorgien en mai 2009</w:t>
      </w:r>
      <w:r w:rsidRPr="00BC0755">
        <w:t xml:space="preserve">. </w:t>
      </w:r>
      <w:r w:rsidR="00526B1B">
        <w:t>La</w:t>
      </w:r>
      <w:r w:rsidRPr="00BC0755">
        <w:t xml:space="preserve"> </w:t>
      </w:r>
      <w:r w:rsidR="00526B1B">
        <w:t>C</w:t>
      </w:r>
      <w:r w:rsidRPr="00BC0755">
        <w:t>ommission interinstitutions a été établie à cet effet en application du décret n</w:t>
      </w:r>
      <w:r w:rsidRPr="00BC0755">
        <w:rPr>
          <w:vertAlign w:val="superscript"/>
        </w:rPr>
        <w:t>o</w:t>
      </w:r>
      <w:r w:rsidR="00526B1B">
        <w:t> 13 du 3 </w:t>
      </w:r>
      <w:r w:rsidRPr="00BC0755">
        <w:t>juillet 2009</w:t>
      </w:r>
      <w:r w:rsidR="00526B1B">
        <w:t xml:space="preserve"> du </w:t>
      </w:r>
      <w:r w:rsidR="00526B1B" w:rsidRPr="00BC0755">
        <w:t>Mini</w:t>
      </w:r>
      <w:r w:rsidR="00526B1B">
        <w:t>stre d</w:t>
      </w:r>
      <w:r w:rsidR="00311F58">
        <w:t>’</w:t>
      </w:r>
      <w:r w:rsidR="00526B1B">
        <w:t>État à la réintégration</w:t>
      </w:r>
      <w:r w:rsidRPr="00BC0755">
        <w:t xml:space="preserve">. Elle </w:t>
      </w:r>
      <w:r w:rsidR="00526B1B">
        <w:t xml:space="preserve">est </w:t>
      </w:r>
      <w:r w:rsidRPr="00BC0755">
        <w:t>composée d</w:t>
      </w:r>
      <w:r w:rsidR="00311F58">
        <w:t>’</w:t>
      </w:r>
      <w:r w:rsidRPr="00BC0755">
        <w:t xml:space="preserve">employés </w:t>
      </w:r>
      <w:r w:rsidR="00526B1B">
        <w:t xml:space="preserve">des services </w:t>
      </w:r>
      <w:r w:rsidRPr="00BC0755">
        <w:t xml:space="preserve">du </w:t>
      </w:r>
      <w:r w:rsidR="00526B1B">
        <w:t>M</w:t>
      </w:r>
      <w:r w:rsidRPr="00BC0755">
        <w:t xml:space="preserve">inistère </w:t>
      </w:r>
      <w:r w:rsidR="00526B1B">
        <w:t>d</w:t>
      </w:r>
      <w:r w:rsidR="00311F58">
        <w:t>’</w:t>
      </w:r>
      <w:r w:rsidR="00526B1B">
        <w:t xml:space="preserve">État </w:t>
      </w:r>
      <w:r w:rsidRPr="00BC0755">
        <w:t xml:space="preserve">ainsi que de fonctionnaires compétents </w:t>
      </w:r>
      <w:r w:rsidR="00526B1B">
        <w:t xml:space="preserve">en la matière </w:t>
      </w:r>
      <w:r w:rsidRPr="00BC0755">
        <w:t>et de représentants d</w:t>
      </w:r>
      <w:r w:rsidR="00311F58">
        <w:t>’</w:t>
      </w:r>
      <w:r w:rsidRPr="00BC0755">
        <w:t>organisations locales et internationales.</w:t>
      </w:r>
    </w:p>
    <w:p w:rsidR="00BC0755" w:rsidRDefault="00BC0755" w:rsidP="00BC0755">
      <w:pPr>
        <w:pStyle w:val="SingleTxtG"/>
      </w:pPr>
      <w:r w:rsidRPr="00BC0755">
        <w:t>7.</w:t>
      </w:r>
      <w:r w:rsidRPr="00BC0755">
        <w:tab/>
      </w:r>
      <w:r w:rsidR="00526B1B">
        <w:t>Le Parlement g</w:t>
      </w:r>
      <w:r w:rsidRPr="00BC0755">
        <w:t>éorgie</w:t>
      </w:r>
      <w:r w:rsidR="00526B1B">
        <w:t>n: L</w:t>
      </w:r>
      <w:r w:rsidRPr="00BC0755">
        <w:t>e Comité des droits de l</w:t>
      </w:r>
      <w:r w:rsidR="00311F58">
        <w:t>’</w:t>
      </w:r>
      <w:r w:rsidRPr="00BC0755">
        <w:t>homm</w:t>
      </w:r>
      <w:r w:rsidR="00526B1B">
        <w:t xml:space="preserve">e et des minorités nationales </w:t>
      </w:r>
      <w:r w:rsidRPr="00BC0755">
        <w:t>a été créé en 1995 pa</w:t>
      </w:r>
      <w:r w:rsidR="00526B1B">
        <w:t>r une décision du Parlement g</w:t>
      </w:r>
      <w:r w:rsidRPr="00BC0755">
        <w:t>éorgie</w:t>
      </w:r>
      <w:r w:rsidR="00526B1B">
        <w:t>n</w:t>
      </w:r>
      <w:r w:rsidRPr="00BC0755">
        <w:t>. Il s</w:t>
      </w:r>
      <w:r w:rsidR="00311F58">
        <w:t>’</w:t>
      </w:r>
      <w:r w:rsidRPr="00BC0755">
        <w:t>agit d</w:t>
      </w:r>
      <w:r w:rsidR="00311F58">
        <w:t>’</w:t>
      </w:r>
      <w:r w:rsidRPr="00BC0755">
        <w:t xml:space="preserve">un organe permanent dont le domaine de </w:t>
      </w:r>
      <w:r w:rsidR="00526B1B">
        <w:t>compétence</w:t>
      </w:r>
      <w:r w:rsidRPr="00BC0755">
        <w:t xml:space="preserve"> a été élargi en 2004 et s</w:t>
      </w:r>
      <w:r w:rsidR="00311F58">
        <w:t>’</w:t>
      </w:r>
      <w:r w:rsidRPr="00BC0755">
        <w:t>étend désormais à l</w:t>
      </w:r>
      <w:r w:rsidR="00311F58">
        <w:t>’</w:t>
      </w:r>
      <w:r w:rsidRPr="00BC0755">
        <w:t>intégration civile. Il a été rebaptisé Comité des droits de l</w:t>
      </w:r>
      <w:r w:rsidR="00311F58">
        <w:t>’</w:t>
      </w:r>
      <w:r w:rsidRPr="00BC0755">
        <w:t>homme et de l</w:t>
      </w:r>
      <w:r w:rsidR="00311F58">
        <w:t>’</w:t>
      </w:r>
      <w:r w:rsidRPr="00BC0755">
        <w:t>intégration civile. Le Comité travaille dans deux domaines: protection des droits de l</w:t>
      </w:r>
      <w:r w:rsidR="00311F58">
        <w:t>’</w:t>
      </w:r>
      <w:r w:rsidRPr="00BC0755">
        <w:t>homme et intégration civile</w:t>
      </w:r>
      <w:r w:rsidR="00A4183D">
        <w:t>,</w:t>
      </w:r>
      <w:r w:rsidRPr="00BC0755">
        <w:t xml:space="preserve"> et </w:t>
      </w:r>
      <w:r w:rsidR="00526B1B">
        <w:t>a pour but l</w:t>
      </w:r>
      <w:r w:rsidR="00311F58">
        <w:t>’</w:t>
      </w:r>
      <w:r w:rsidR="00526B1B">
        <w:t>élaboration</w:t>
      </w:r>
      <w:r w:rsidRPr="00BC0755">
        <w:t xml:space="preserve"> de nouveaux </w:t>
      </w:r>
      <w:r w:rsidR="00526B1B">
        <w:t>tex</w:t>
      </w:r>
      <w:r w:rsidRPr="00BC0755">
        <w:t xml:space="preserve">tes législatifs, </w:t>
      </w:r>
      <w:r w:rsidR="00526B1B">
        <w:t>l</w:t>
      </w:r>
      <w:r w:rsidR="00311F58">
        <w:t>’</w:t>
      </w:r>
      <w:r w:rsidR="00526B1B">
        <w:t>élargissement d</w:t>
      </w:r>
      <w:r w:rsidRPr="00BC0755">
        <w:t xml:space="preserve">es lois existantes et </w:t>
      </w:r>
      <w:r w:rsidR="00526B1B">
        <w:t xml:space="preserve">le </w:t>
      </w:r>
      <w:r w:rsidRPr="00BC0755">
        <w:t xml:space="preserve">contrôle </w:t>
      </w:r>
      <w:r w:rsidR="00526B1B">
        <w:t xml:space="preserve">de </w:t>
      </w:r>
      <w:r w:rsidRPr="00BC0755">
        <w:t xml:space="preserve">leur </w:t>
      </w:r>
      <w:r w:rsidR="00526B1B">
        <w:t>application</w:t>
      </w:r>
      <w:r w:rsidRPr="00BC0755">
        <w:t>. L</w:t>
      </w:r>
      <w:r w:rsidR="00311F58">
        <w:t>’</w:t>
      </w:r>
      <w:r w:rsidRPr="00BC0755">
        <w:t>objectif du Comité des droits de l</w:t>
      </w:r>
      <w:r w:rsidR="00311F58">
        <w:t>’</w:t>
      </w:r>
      <w:r w:rsidRPr="00BC0755">
        <w:t>homme et de l</w:t>
      </w:r>
      <w:r w:rsidR="00311F58">
        <w:t>’</w:t>
      </w:r>
      <w:r w:rsidRPr="00BC0755">
        <w:t>intégration civile e</w:t>
      </w:r>
      <w:r w:rsidR="00DF3129">
        <w:t>s</w:t>
      </w:r>
      <w:r w:rsidRPr="00BC0755">
        <w:t>t l</w:t>
      </w:r>
      <w:r w:rsidR="00311F58">
        <w:t>’</w:t>
      </w:r>
      <w:r w:rsidRPr="00BC0755">
        <w:t>avènement d</w:t>
      </w:r>
      <w:r w:rsidR="00311F58">
        <w:t>’</w:t>
      </w:r>
      <w:r w:rsidRPr="00BC0755">
        <w:t>une société démocratique fondée sur le respect des droits de l</w:t>
      </w:r>
      <w:r w:rsidR="00311F58">
        <w:t>’</w:t>
      </w:r>
      <w:r w:rsidRPr="00BC0755">
        <w:t>homme ainsi que l</w:t>
      </w:r>
      <w:r w:rsidR="00311F58">
        <w:t>’</w:t>
      </w:r>
      <w:r w:rsidRPr="00BC0755">
        <w:t>amélioration du cadre légal dans le domaine des droits de l</w:t>
      </w:r>
      <w:r w:rsidR="00311F58">
        <w:t>’</w:t>
      </w:r>
      <w:r w:rsidRPr="00BC0755">
        <w:t>homme et de l</w:t>
      </w:r>
      <w:r w:rsidR="00311F58">
        <w:t>’</w:t>
      </w:r>
      <w:r w:rsidRPr="00BC0755">
        <w:t>intégration civile. Il collabore avec les représentants des minorités nationales ainsi qu</w:t>
      </w:r>
      <w:r w:rsidR="00311F58">
        <w:t>’</w:t>
      </w:r>
      <w:r w:rsidRPr="00BC0755">
        <w:t>avec les organisations internationales et non gouvernementales actives dans le domaine des droits de l</w:t>
      </w:r>
      <w:r w:rsidR="00311F58">
        <w:t>’</w:t>
      </w:r>
      <w:r w:rsidRPr="00BC0755">
        <w:t>homme et de l</w:t>
      </w:r>
      <w:r w:rsidR="00311F58">
        <w:t>’</w:t>
      </w:r>
      <w:r w:rsidRPr="00BC0755">
        <w:t>intégration civile.</w:t>
      </w:r>
    </w:p>
    <w:p w:rsidR="00A168B3" w:rsidRPr="00A168B3" w:rsidRDefault="00A168B3" w:rsidP="00A168B3">
      <w:pPr>
        <w:pStyle w:val="SingleTxtG"/>
      </w:pPr>
      <w:r w:rsidRPr="00A168B3">
        <w:t>8.</w:t>
      </w:r>
      <w:r w:rsidRPr="00A168B3">
        <w:tab/>
      </w:r>
      <w:r w:rsidR="00A4183D">
        <w:t xml:space="preserve">Le </w:t>
      </w:r>
      <w:r w:rsidRPr="00A168B3">
        <w:t xml:space="preserve">Conseil </w:t>
      </w:r>
      <w:r>
        <w:t>national à</w:t>
      </w:r>
      <w:r w:rsidRPr="00A168B3">
        <w:t xml:space="preserve"> l</w:t>
      </w:r>
      <w:r w:rsidR="00311F58">
        <w:t>’</w:t>
      </w:r>
      <w:r w:rsidRPr="00A168B3">
        <w:t xml:space="preserve">intégration civile et </w:t>
      </w:r>
      <w:r>
        <w:t>la tolérance:</w:t>
      </w:r>
      <w:r w:rsidRPr="00A168B3">
        <w:t xml:space="preserve"> Le 13 octobre 2005, la Géorgie a ratifié la Convention-cadre pour la protection des minorités </w:t>
      </w:r>
      <w:r w:rsidR="00A4183D">
        <w:t xml:space="preserve">nationales et le Gouvernement </w:t>
      </w:r>
      <w:r>
        <w:t>s</w:t>
      </w:r>
      <w:r w:rsidR="00311F58">
        <w:t>’</w:t>
      </w:r>
      <w:r>
        <w:t xml:space="preserve">est employé activement à </w:t>
      </w:r>
      <w:r w:rsidRPr="00A168B3">
        <w:t>élabor</w:t>
      </w:r>
      <w:r>
        <w:t>er</w:t>
      </w:r>
      <w:r w:rsidRPr="00A168B3">
        <w:t xml:space="preserve"> une politique publique </w:t>
      </w:r>
      <w:r>
        <w:t>dans ce domain</w:t>
      </w:r>
      <w:r w:rsidRPr="00A168B3">
        <w:t xml:space="preserve">e. Le Conseil </w:t>
      </w:r>
      <w:r>
        <w:t>national à</w:t>
      </w:r>
      <w:r w:rsidRPr="00A168B3">
        <w:t xml:space="preserve"> l</w:t>
      </w:r>
      <w:r w:rsidR="00311F58">
        <w:t>’</w:t>
      </w:r>
      <w:r w:rsidRPr="00A168B3">
        <w:t>intégration civile et la tolérance a été créé le 8 août 2005</w:t>
      </w:r>
      <w:r>
        <w:t>,</w:t>
      </w:r>
      <w:r w:rsidRPr="00A168B3">
        <w:t xml:space="preserve"> en application du décret présidentiel n</w:t>
      </w:r>
      <w:r w:rsidRPr="00A168B3">
        <w:rPr>
          <w:vertAlign w:val="superscript"/>
        </w:rPr>
        <w:t>o</w:t>
      </w:r>
      <w:r w:rsidRPr="00A168B3">
        <w:t xml:space="preserve"> 348. Il est composé de représentants de l</w:t>
      </w:r>
      <w:r w:rsidR="00311F58">
        <w:t>’</w:t>
      </w:r>
      <w:r w:rsidRPr="00A168B3">
        <w:t>exécutif et du législatif, du Bureau du Défenseur du peuple, d</w:t>
      </w:r>
      <w:r w:rsidR="00311F58">
        <w:t>’</w:t>
      </w:r>
      <w:r w:rsidRPr="00A168B3">
        <w:t xml:space="preserve">organisations de la société civile et de </w:t>
      </w:r>
      <w:r>
        <w:t>délégué</w:t>
      </w:r>
      <w:r w:rsidRPr="00A168B3">
        <w:t xml:space="preserve">s des minorités nationales. Les fonctions du Conseil sont les suivantes: </w:t>
      </w:r>
    </w:p>
    <w:p w:rsidR="00A168B3" w:rsidRPr="00A168B3" w:rsidRDefault="00A168B3" w:rsidP="00A168B3">
      <w:pPr>
        <w:pStyle w:val="SingleTxtG"/>
        <w:ind w:firstLine="567"/>
      </w:pPr>
      <w:r w:rsidRPr="00A168B3">
        <w:t>a)</w:t>
      </w:r>
      <w:r w:rsidRPr="00A168B3">
        <w:tab/>
        <w:t>Étudier et analyser les expérie</w:t>
      </w:r>
      <w:r>
        <w:t>nces, programmes et initiatives dans le domaine social, les</w:t>
      </w:r>
      <w:r w:rsidRPr="00A168B3">
        <w:t xml:space="preserve"> études </w:t>
      </w:r>
      <w:r>
        <w:t xml:space="preserve">réalisées </w:t>
      </w:r>
      <w:r w:rsidRPr="00A168B3">
        <w:t xml:space="preserve">et </w:t>
      </w:r>
      <w:r>
        <w:t xml:space="preserve">les </w:t>
      </w:r>
      <w:r w:rsidRPr="00A168B3">
        <w:t xml:space="preserve">opinions </w:t>
      </w:r>
      <w:r>
        <w:t>exprimée</w:t>
      </w:r>
      <w:r w:rsidRPr="00A168B3">
        <w:t xml:space="preserve">s aux </w:t>
      </w:r>
      <w:r>
        <w:t>plans national</w:t>
      </w:r>
      <w:r w:rsidRPr="00A168B3">
        <w:t xml:space="preserve"> et international</w:t>
      </w:r>
      <w:r>
        <w:t>,</w:t>
      </w:r>
      <w:r w:rsidRPr="00A168B3">
        <w:t xml:space="preserve"> dans le domaine de la tolérance et de l</w:t>
      </w:r>
      <w:r w:rsidR="00311F58">
        <w:t>’</w:t>
      </w:r>
      <w:r w:rsidRPr="00A168B3">
        <w:t>intégration civile;</w:t>
      </w:r>
    </w:p>
    <w:p w:rsidR="00A168B3" w:rsidRPr="00A168B3" w:rsidRDefault="00A168B3" w:rsidP="00A168B3">
      <w:pPr>
        <w:pStyle w:val="SingleTxtG"/>
        <w:ind w:firstLine="567"/>
      </w:pPr>
      <w:r w:rsidRPr="00A168B3">
        <w:t>b)</w:t>
      </w:r>
      <w:r w:rsidRPr="00A168B3">
        <w:tab/>
        <w:t>Obtenir un large consensus national sur les questions relatives à la tolérance et à l</w:t>
      </w:r>
      <w:r w:rsidR="00311F58">
        <w:t>’</w:t>
      </w:r>
      <w:r w:rsidRPr="00A168B3">
        <w:t>intégration civile en encourageant la participation active de tous les intéressés et le dialogue avec les groupes politiques, sociaux, ethniques et religieux;</w:t>
      </w:r>
    </w:p>
    <w:p w:rsidR="00A168B3" w:rsidRPr="00A168B3" w:rsidRDefault="00A168B3" w:rsidP="00A168B3">
      <w:pPr>
        <w:pStyle w:val="SingleTxtG"/>
        <w:ind w:firstLine="567"/>
      </w:pPr>
      <w:r w:rsidRPr="00A168B3">
        <w:t>c)</w:t>
      </w:r>
      <w:r w:rsidRPr="00A168B3">
        <w:tab/>
        <w:t>Élaborer un mécanisme de participation civile pour la Stratégie et le Plan d</w:t>
      </w:r>
      <w:r w:rsidR="00311F58">
        <w:t>’</w:t>
      </w:r>
      <w:r>
        <w:t>action nationaux d</w:t>
      </w:r>
      <w:r w:rsidR="00311F58">
        <w:t>’</w:t>
      </w:r>
      <w:r w:rsidRPr="00A168B3">
        <w:t>intégration civile;</w:t>
      </w:r>
    </w:p>
    <w:p w:rsidR="00A168B3" w:rsidRPr="00A168B3" w:rsidRDefault="00A168B3" w:rsidP="00A168B3">
      <w:pPr>
        <w:pStyle w:val="SingleTxtG"/>
        <w:ind w:firstLine="567"/>
      </w:pPr>
      <w:r w:rsidRPr="00A168B3">
        <w:t>d)</w:t>
      </w:r>
      <w:r w:rsidRPr="00A168B3">
        <w:tab/>
      </w:r>
      <w:r>
        <w:t>Définir des procédures</w:t>
      </w:r>
      <w:r w:rsidRPr="00A168B3">
        <w:t xml:space="preserve"> pour fournir </w:t>
      </w:r>
      <w:r>
        <w:t>l</w:t>
      </w:r>
      <w:r w:rsidRPr="00A168B3">
        <w:t xml:space="preserve">es ressources politiques, financières, institutionnelles, juridiques et </w:t>
      </w:r>
      <w:r>
        <w:t>l</w:t>
      </w:r>
      <w:r w:rsidRPr="00A168B3">
        <w:t>es</w:t>
      </w:r>
      <w:r>
        <w:t xml:space="preserve"> compétences requises pour la mise </w:t>
      </w:r>
      <w:r w:rsidRPr="00A168B3">
        <w:t xml:space="preserve">en œuvre </w:t>
      </w:r>
      <w:r>
        <w:t xml:space="preserve">de </w:t>
      </w:r>
      <w:r w:rsidRPr="00A168B3">
        <w:t xml:space="preserve">la Stratégie et </w:t>
      </w:r>
      <w:r>
        <w:t>du</w:t>
      </w:r>
      <w:r w:rsidRPr="00A168B3">
        <w:t xml:space="preserve"> Plan d</w:t>
      </w:r>
      <w:r w:rsidR="00311F58">
        <w:t>’</w:t>
      </w:r>
      <w:r>
        <w:t>action nationaux d</w:t>
      </w:r>
      <w:r w:rsidR="00311F58">
        <w:t>’</w:t>
      </w:r>
      <w:r w:rsidRPr="00A168B3">
        <w:t>intégration civile;</w:t>
      </w:r>
    </w:p>
    <w:p w:rsidR="00A168B3" w:rsidRPr="00A168B3" w:rsidRDefault="00A168B3" w:rsidP="00A168B3">
      <w:pPr>
        <w:pStyle w:val="SingleTxtG"/>
        <w:ind w:firstLine="567"/>
      </w:pPr>
      <w:r w:rsidRPr="00A168B3">
        <w:t>e)</w:t>
      </w:r>
      <w:r w:rsidRPr="00A168B3">
        <w:tab/>
        <w:t xml:space="preserve">Analyser la législation actuelle de la Géorgie et élaborer </w:t>
      </w:r>
      <w:r>
        <w:t>un ensemble de modifications à lui apporter pour</w:t>
      </w:r>
      <w:r w:rsidRPr="00A168B3">
        <w:t xml:space="preserve"> combler les </w:t>
      </w:r>
      <w:r>
        <w:t>lacun</w:t>
      </w:r>
      <w:r w:rsidRPr="00A168B3">
        <w:t>es existantes;</w:t>
      </w:r>
    </w:p>
    <w:p w:rsidR="00A168B3" w:rsidRPr="00A168B3" w:rsidRDefault="00A168B3" w:rsidP="00A168B3">
      <w:pPr>
        <w:pStyle w:val="SingleTxtG"/>
        <w:ind w:firstLine="567"/>
      </w:pPr>
      <w:r w:rsidRPr="00A168B3">
        <w:t>f)</w:t>
      </w:r>
      <w:r w:rsidRPr="00A168B3">
        <w:tab/>
        <w:t>Élaborer des mécanismes pour contrôler la mise en œuvr</w:t>
      </w:r>
      <w:r>
        <w:t xml:space="preserve">e des activités prévues dans la </w:t>
      </w:r>
      <w:r w:rsidR="00A4183D">
        <w:t>S</w:t>
      </w:r>
      <w:r>
        <w:t xml:space="preserve">tratégie et le </w:t>
      </w:r>
      <w:r w:rsidR="00A4183D">
        <w:t>P</w:t>
      </w:r>
      <w:r w:rsidRPr="00A168B3">
        <w:t>lan d</w:t>
      </w:r>
      <w:r w:rsidR="00311F58">
        <w:t>’</w:t>
      </w:r>
      <w:r w:rsidRPr="00A168B3">
        <w:t xml:space="preserve">action </w:t>
      </w:r>
      <w:r>
        <w:t>nationaux d</w:t>
      </w:r>
      <w:r w:rsidR="00311F58">
        <w:t>’</w:t>
      </w:r>
      <w:r>
        <w:t xml:space="preserve">intégration civile et trouver des solutions appropriées à un </w:t>
      </w:r>
      <w:r w:rsidRPr="00A168B3">
        <w:t xml:space="preserve">environnement </w:t>
      </w:r>
      <w:r>
        <w:t>en mutation</w:t>
      </w:r>
      <w:r w:rsidRPr="00A168B3">
        <w:t>.</w:t>
      </w:r>
    </w:p>
    <w:p w:rsidR="00A168B3" w:rsidRPr="00A168B3" w:rsidRDefault="00A168B3" w:rsidP="00A168B3">
      <w:pPr>
        <w:pStyle w:val="SingleTxtG"/>
      </w:pPr>
      <w:r w:rsidRPr="00A168B3">
        <w:t>Le Conseil national à l</w:t>
      </w:r>
      <w:r w:rsidR="00311F58">
        <w:t>’</w:t>
      </w:r>
      <w:r w:rsidR="00A4183D">
        <w:t>intégration civile et</w:t>
      </w:r>
      <w:r w:rsidRPr="00A168B3">
        <w:t xml:space="preserve"> la tolérance a élaboré un Concept national pour la tolérance et l</w:t>
      </w:r>
      <w:r w:rsidR="00311F58">
        <w:t>’</w:t>
      </w:r>
      <w:r w:rsidRPr="00A168B3">
        <w:t>intégration civile ainsi qu</w:t>
      </w:r>
      <w:r>
        <w:t>e son propre</w:t>
      </w:r>
      <w:r w:rsidRPr="00A168B3">
        <w:t xml:space="preserve"> Plan d</w:t>
      </w:r>
      <w:r w:rsidR="00311F58">
        <w:t>’</w:t>
      </w:r>
      <w:r w:rsidRPr="00A168B3">
        <w:t>action</w:t>
      </w:r>
      <w:r>
        <w:t>,</w:t>
      </w:r>
      <w:r w:rsidRPr="00A168B3">
        <w:t xml:space="preserve"> qui a été adopté en mai </w:t>
      </w:r>
      <w:r>
        <w:t>2009 par le Gouvernement g</w:t>
      </w:r>
      <w:r w:rsidRPr="00A168B3">
        <w:t>éorgie</w:t>
      </w:r>
      <w:r>
        <w:t>n</w:t>
      </w:r>
      <w:r w:rsidRPr="00A168B3">
        <w:t>.</w:t>
      </w:r>
    </w:p>
    <w:p w:rsidR="00A168B3" w:rsidRPr="00A168B3" w:rsidRDefault="00A168B3" w:rsidP="00A168B3">
      <w:pPr>
        <w:pStyle w:val="SingleTxtG"/>
      </w:pPr>
      <w:r w:rsidRPr="00A168B3">
        <w:t>9.</w:t>
      </w:r>
      <w:r w:rsidRPr="00A168B3">
        <w:tab/>
        <w:t>Bureau du Défenseur du peuple</w:t>
      </w:r>
      <w:r>
        <w:t>: L</w:t>
      </w:r>
      <w:r w:rsidRPr="00A168B3">
        <w:t>e Bureau du Défenseur du peuple supervise la protection des droits de l</w:t>
      </w:r>
      <w:r w:rsidR="00311F58">
        <w:t>’</w:t>
      </w:r>
      <w:r w:rsidRPr="00A168B3">
        <w:t>homme et des libertés sur le territoire de la Géorgie. Ses responsabilités sont définies par la Constitution géorgienne (art. 43) et la loi organique du 16 mai 1996</w:t>
      </w:r>
      <w:r>
        <w:t xml:space="preserve"> </w:t>
      </w:r>
      <w:r w:rsidRPr="00A168B3">
        <w:t xml:space="preserve">sur le Défenseur </w:t>
      </w:r>
      <w:r>
        <w:t>du peuple</w:t>
      </w:r>
      <w:r w:rsidRPr="00A168B3">
        <w:t xml:space="preserve">. </w:t>
      </w:r>
      <w:r>
        <w:t>Il surveille</w:t>
      </w:r>
      <w:r w:rsidRPr="00A168B3">
        <w:t xml:space="preserve"> la protection des droits de l</w:t>
      </w:r>
      <w:r w:rsidR="00311F58">
        <w:t>’</w:t>
      </w:r>
      <w:r w:rsidRPr="00A168B3">
        <w:t xml:space="preserve">homme et des libertés sur la base des demandes et des </w:t>
      </w:r>
      <w:r>
        <w:t>recours présentés</w:t>
      </w:r>
      <w:r w:rsidRPr="00A168B3">
        <w:t xml:space="preserve"> et </w:t>
      </w:r>
      <w:r>
        <w:t>de</w:t>
      </w:r>
      <w:r w:rsidRPr="00A168B3">
        <w:t xml:space="preserve"> sa propre initiative et prend des décisions </w:t>
      </w:r>
      <w:r>
        <w:t>après</w:t>
      </w:r>
      <w:r w:rsidRPr="00A168B3">
        <w:t xml:space="preserve"> l</w:t>
      </w:r>
      <w:r w:rsidR="00311F58">
        <w:t>’</w:t>
      </w:r>
      <w:r w:rsidRPr="00A168B3">
        <w:t xml:space="preserve">examen des faits (art. 12 et 16). Le Défenseur du peuple se fonde sur </w:t>
      </w:r>
      <w:r>
        <w:t>l</w:t>
      </w:r>
      <w:r w:rsidRPr="00A168B3">
        <w:t xml:space="preserve">es </w:t>
      </w:r>
      <w:r>
        <w:t>éléments de preuve</w:t>
      </w:r>
      <w:r w:rsidRPr="00A168B3">
        <w:t xml:space="preserve"> </w:t>
      </w:r>
      <w:r>
        <w:t>vérifiés</w:t>
      </w:r>
      <w:r w:rsidRPr="00A168B3">
        <w:t xml:space="preserve"> pour faire des recommandations aux organes et/ou aux autorités publiques ayant violé les droits de l</w:t>
      </w:r>
      <w:r w:rsidR="00311F58">
        <w:t>’</w:t>
      </w:r>
      <w:r>
        <w:t>homme en vue de leur rétablissement</w:t>
      </w:r>
      <w:r w:rsidRPr="00A168B3">
        <w:t>.</w:t>
      </w:r>
    </w:p>
    <w:p w:rsidR="00A168B3" w:rsidRPr="00A168B3" w:rsidRDefault="00A168B3" w:rsidP="00A168B3">
      <w:pPr>
        <w:pStyle w:val="SingleTxtG"/>
      </w:pPr>
      <w:r w:rsidRPr="00A168B3">
        <w:t>Le Centre pour la tolérance</w:t>
      </w:r>
      <w:r>
        <w:t>,</w:t>
      </w:r>
      <w:r w:rsidRPr="00A168B3">
        <w:t xml:space="preserve"> appu</w:t>
      </w:r>
      <w:r w:rsidR="00DF3978">
        <w:t xml:space="preserve">yé par le Programme des Nations </w:t>
      </w:r>
      <w:r w:rsidRPr="00A168B3">
        <w:t>Unies pour le développement (PNUD)</w:t>
      </w:r>
      <w:r>
        <w:t>,</w:t>
      </w:r>
      <w:r w:rsidRPr="00A168B3">
        <w:t xml:space="preserve"> est rattaché au Bureau du Défenseur du peuple. </w:t>
      </w:r>
      <w:r>
        <w:t>Il</w:t>
      </w:r>
      <w:r w:rsidRPr="00A168B3">
        <w:t xml:space="preserve"> coordonne deux conseils: le Conseil des minorités nationales et le Conseil des religions. </w:t>
      </w:r>
    </w:p>
    <w:p w:rsidR="00A168B3" w:rsidRPr="00A168B3" w:rsidRDefault="00A168B3" w:rsidP="00A168B3">
      <w:pPr>
        <w:pStyle w:val="SingleTxtG"/>
      </w:pPr>
      <w:r w:rsidRPr="00A168B3">
        <w:t>10.</w:t>
      </w:r>
      <w:r w:rsidRPr="00A168B3">
        <w:tab/>
        <w:t>Le Conseil des minorités nationales a été créé en 2005 et bénéficie de l</w:t>
      </w:r>
      <w:r w:rsidR="00311F58">
        <w:t>’</w:t>
      </w:r>
      <w:r w:rsidRPr="00A168B3">
        <w:t xml:space="preserve">appui du Centre européen </w:t>
      </w:r>
      <w:r>
        <w:t xml:space="preserve">pour les questions </w:t>
      </w:r>
      <w:r w:rsidRPr="00A168B3">
        <w:t>des minorités (E</w:t>
      </w:r>
      <w:r w:rsidR="0066494F">
        <w:t>C</w:t>
      </w:r>
      <w:r w:rsidRPr="00A168B3">
        <w:t>MI)</w:t>
      </w:r>
      <w:r w:rsidRPr="00A168B3">
        <w:rPr>
          <w:rStyle w:val="FootnoteReference"/>
        </w:rPr>
        <w:footnoteReference w:id="4"/>
      </w:r>
      <w:r w:rsidRPr="00A168B3">
        <w:t xml:space="preserve">. Il est composé de huit organisations de minorités et </w:t>
      </w:r>
      <w:r>
        <w:t>a pour fonction</w:t>
      </w:r>
      <w:r w:rsidRPr="00A168B3">
        <w:t xml:space="preserve"> principal</w:t>
      </w:r>
      <w:r>
        <w:t>e d</w:t>
      </w:r>
      <w:r w:rsidR="00311F58">
        <w:t>’</w:t>
      </w:r>
      <w:r>
        <w:t>être une in</w:t>
      </w:r>
      <w:r w:rsidR="00A4183D">
        <w:t>stan</w:t>
      </w:r>
      <w:r>
        <w:t>ce d</w:t>
      </w:r>
      <w:r w:rsidRPr="00A168B3">
        <w:t xml:space="preserve">e dialogue et </w:t>
      </w:r>
      <w:r>
        <w:t>de consultation permanents</w:t>
      </w:r>
      <w:r w:rsidRPr="00A168B3">
        <w:t xml:space="preserve"> entre </w:t>
      </w:r>
      <w:r>
        <w:t xml:space="preserve">les </w:t>
      </w:r>
      <w:r w:rsidRPr="00A168B3">
        <w:t xml:space="preserve">minorités nationales et </w:t>
      </w:r>
      <w:r w:rsidR="0066494F">
        <w:t>les pouvoirs publics</w:t>
      </w:r>
      <w:r w:rsidRPr="00A168B3">
        <w:t>. Le Conseil des minorités nationales cherche également à soutenir et à améliorer l</w:t>
      </w:r>
      <w:r w:rsidR="00311F58">
        <w:t>’</w:t>
      </w:r>
      <w:r w:rsidRPr="00A168B3">
        <w:t>intégration civile des minorités nationales, en faisant participer des représentants de minorités nationales au processus d</w:t>
      </w:r>
      <w:r w:rsidR="00311F58">
        <w:t>’</w:t>
      </w:r>
      <w:r w:rsidRPr="00A168B3">
        <w:t xml:space="preserve">élaboration des politiques du pays et en </w:t>
      </w:r>
      <w:r w:rsidR="0066494F">
        <w:t>rédige</w:t>
      </w:r>
      <w:r w:rsidRPr="00A168B3">
        <w:t xml:space="preserve">ant des recommandations sur les questions relatives aux minorités. Il est également habilité à intervenir lorsque les droits des minorités sont violés et/ou en cas de conflit et aide les minorités nationales à préserver leur </w:t>
      </w:r>
      <w:r w:rsidR="0066494F">
        <w:t>patrimoine</w:t>
      </w:r>
      <w:r w:rsidRPr="00A168B3">
        <w:t xml:space="preserve"> culturel.</w:t>
      </w:r>
    </w:p>
    <w:p w:rsidR="00A168B3" w:rsidRPr="00A168B3" w:rsidRDefault="00A168B3" w:rsidP="00A168B3">
      <w:pPr>
        <w:pStyle w:val="SingleTxtG"/>
      </w:pPr>
      <w:r w:rsidRPr="00A168B3">
        <w:t>11.</w:t>
      </w:r>
      <w:r w:rsidRPr="00A168B3">
        <w:tab/>
        <w:t>Le Conseil des religions a été créé en 2005 sur la base d</w:t>
      </w:r>
      <w:r w:rsidR="00311F58">
        <w:t>’</w:t>
      </w:r>
      <w:r w:rsidRPr="00A168B3">
        <w:t xml:space="preserve">un </w:t>
      </w:r>
      <w:r w:rsidR="0066494F">
        <w:t>m</w:t>
      </w:r>
      <w:r w:rsidRPr="00A168B3">
        <w:t xml:space="preserve">émorandum </w:t>
      </w:r>
      <w:r w:rsidR="0066494F">
        <w:t>conclu</w:t>
      </w:r>
      <w:r w:rsidRPr="00A168B3">
        <w:t xml:space="preserve"> entre le Défenseur du peuple et </w:t>
      </w:r>
      <w:r w:rsidR="0066494F">
        <w:t>l</w:t>
      </w:r>
      <w:r w:rsidRPr="00A168B3">
        <w:t xml:space="preserve">es représentants de différentes confessions, </w:t>
      </w:r>
      <w:r w:rsidR="0066494F">
        <w:t>en vertu du</w:t>
      </w:r>
      <w:r w:rsidRPr="00A168B3">
        <w:t xml:space="preserve">quel des associations religieuses </w:t>
      </w:r>
      <w:r w:rsidR="0066494F">
        <w:t>se regroupent volontairement</w:t>
      </w:r>
      <w:r w:rsidRPr="00A168B3">
        <w:t xml:space="preserve">. </w:t>
      </w:r>
      <w:r w:rsidR="0066494F">
        <w:t>Son but</w:t>
      </w:r>
      <w:r w:rsidRPr="00A168B3">
        <w:t xml:space="preserve"> principal est de favoriser </w:t>
      </w:r>
      <w:r w:rsidR="0066494F">
        <w:t>la mise en place</w:t>
      </w:r>
      <w:r w:rsidRPr="00A168B3">
        <w:t xml:space="preserve"> d</w:t>
      </w:r>
      <w:r w:rsidR="00311F58">
        <w:t>’</w:t>
      </w:r>
      <w:r w:rsidRPr="00A168B3">
        <w:t xml:space="preserve">un </w:t>
      </w:r>
      <w:r w:rsidR="0066494F">
        <w:t>climat de tolérance, de justice, d</w:t>
      </w:r>
      <w:r w:rsidR="00311F58">
        <w:t>’</w:t>
      </w:r>
      <w:r w:rsidR="0066494F">
        <w:t>égalité et de paix</w:t>
      </w:r>
      <w:r w:rsidRPr="00A168B3">
        <w:t xml:space="preserve"> ainsi que l</w:t>
      </w:r>
      <w:r w:rsidR="00311F58">
        <w:t>’</w:t>
      </w:r>
      <w:r w:rsidRPr="00A168B3">
        <w:t xml:space="preserve">intégration civile des représentants des religions et confessions existant en Géorgie. À cet effet, </w:t>
      </w:r>
      <w:r w:rsidR="0066494F">
        <w:t>il</w:t>
      </w:r>
      <w:r w:rsidRPr="00A168B3">
        <w:t xml:space="preserve"> encourage une plus grande participation des associations religieuses </w:t>
      </w:r>
      <w:r w:rsidR="0066494F">
        <w:t>à</w:t>
      </w:r>
      <w:r w:rsidRPr="00A168B3">
        <w:t xml:space="preserve"> la vie sociale et </w:t>
      </w:r>
      <w:r w:rsidR="0066494F">
        <w:t xml:space="preserve">à </w:t>
      </w:r>
      <w:r w:rsidRPr="00A168B3">
        <w:t>la prise de décisions grâce au dialogue multilatéral. À l</w:t>
      </w:r>
      <w:r w:rsidR="00311F58">
        <w:t>’</w:t>
      </w:r>
      <w:r w:rsidRPr="00A168B3">
        <w:t>heure actuelle, 23 confessions et organisations sont réunies au sein du Conseil des religions.</w:t>
      </w:r>
    </w:p>
    <w:p w:rsidR="00A168B3" w:rsidRPr="00A168B3" w:rsidRDefault="0066494F" w:rsidP="0066494F">
      <w:pPr>
        <w:pStyle w:val="H1G"/>
      </w:pPr>
      <w:r>
        <w:tab/>
      </w:r>
      <w:r w:rsidR="00A168B3" w:rsidRPr="00A168B3">
        <w:t>D.</w:t>
      </w:r>
      <w:r w:rsidR="00A168B3" w:rsidRPr="00A168B3">
        <w:tab/>
        <w:t>Politique d</w:t>
      </w:r>
      <w:r w:rsidR="00311F58">
        <w:t>’</w:t>
      </w:r>
      <w:r w:rsidR="00A168B3" w:rsidRPr="00A168B3">
        <w:t>intégration civile</w:t>
      </w:r>
    </w:p>
    <w:p w:rsidR="00A168B3" w:rsidRPr="00A168B3" w:rsidRDefault="00A168B3" w:rsidP="00A168B3">
      <w:pPr>
        <w:pStyle w:val="SingleTxtG"/>
      </w:pPr>
      <w:r w:rsidRPr="00A168B3">
        <w:t>12.</w:t>
      </w:r>
      <w:r w:rsidRPr="00A168B3">
        <w:tab/>
        <w:t>Depuis la ratification de la Convention-cadre pour la protection des minorités national</w:t>
      </w:r>
      <w:r w:rsidR="0066494F">
        <w:t>es en 2005, le Gouvernement g</w:t>
      </w:r>
      <w:r w:rsidRPr="00A168B3">
        <w:t>éorgie</w:t>
      </w:r>
      <w:r w:rsidR="0066494F">
        <w:t>n</w:t>
      </w:r>
      <w:r w:rsidRPr="00A168B3">
        <w:t xml:space="preserve"> s</w:t>
      </w:r>
      <w:r w:rsidR="00311F58">
        <w:t>’</w:t>
      </w:r>
      <w:r w:rsidRPr="00A168B3">
        <w:t>est attelé à l</w:t>
      </w:r>
      <w:r w:rsidR="00311F58">
        <w:t>’</w:t>
      </w:r>
      <w:r w:rsidRPr="00A168B3">
        <w:t>élaboration d</w:t>
      </w:r>
      <w:r w:rsidR="00311F58">
        <w:t>’</w:t>
      </w:r>
      <w:r w:rsidRPr="00A168B3">
        <w:t>une politique publique globale dans le domaine de l</w:t>
      </w:r>
      <w:r w:rsidR="00311F58">
        <w:t>’</w:t>
      </w:r>
      <w:r w:rsidRPr="00A168B3">
        <w:t xml:space="preserve">intégration civile et de la protection des droits des minorités. Comme indiqué ci-dessus, en mai 2009, </w:t>
      </w:r>
      <w:r w:rsidR="0066494F">
        <w:t>il</w:t>
      </w:r>
      <w:r w:rsidRPr="00A168B3">
        <w:t xml:space="preserve"> a adopté le </w:t>
      </w:r>
      <w:r w:rsidR="00A4183D">
        <w:t>C</w:t>
      </w:r>
      <w:r w:rsidRPr="00A168B3">
        <w:t>oncept national et le Plan d</w:t>
      </w:r>
      <w:r w:rsidR="00311F58">
        <w:t>’</w:t>
      </w:r>
      <w:r w:rsidRPr="00A168B3">
        <w:t>action pour la tolérance et l</w:t>
      </w:r>
      <w:r w:rsidR="00311F58">
        <w:t>’</w:t>
      </w:r>
      <w:r w:rsidRPr="00A168B3">
        <w:t xml:space="preserve">intégration civile. Le Concept national </w:t>
      </w:r>
      <w:r w:rsidR="0066494F">
        <w:t>d</w:t>
      </w:r>
      <w:r w:rsidRPr="00A168B3">
        <w:t>écrit six orientations stratégiques: la prééminence du droit, l</w:t>
      </w:r>
      <w:r w:rsidR="00311F58">
        <w:t>’</w:t>
      </w:r>
      <w:r w:rsidRPr="00A168B3">
        <w:t>éducation et la langue officielle, les médias et l</w:t>
      </w:r>
      <w:r w:rsidR="00311F58">
        <w:t>’</w:t>
      </w:r>
      <w:r w:rsidRPr="00A168B3">
        <w:t>accès à l</w:t>
      </w:r>
      <w:r w:rsidR="00311F58">
        <w:t>’</w:t>
      </w:r>
      <w:r w:rsidRPr="00A168B3">
        <w:t>information, l</w:t>
      </w:r>
      <w:r w:rsidR="00311F58">
        <w:t>’</w:t>
      </w:r>
      <w:r w:rsidRPr="00A168B3">
        <w:t>intégration politique et la participation civile, l</w:t>
      </w:r>
      <w:r w:rsidR="00311F58">
        <w:t>’</w:t>
      </w:r>
      <w:r w:rsidRPr="00A168B3">
        <w:t>intégration sociale et régionale et la culture et la préservation de l</w:t>
      </w:r>
      <w:r w:rsidR="00311F58">
        <w:t>’</w:t>
      </w:r>
      <w:r w:rsidRPr="00A168B3">
        <w:t>identité. Toutes les parties intéressées, y compris les représentants de la société civile, ont eu la possibilité, lors du processus d</w:t>
      </w:r>
      <w:r w:rsidR="00311F58">
        <w:t>’</w:t>
      </w:r>
      <w:r w:rsidRPr="00A168B3">
        <w:t>élaboration du Concept et du Plan d</w:t>
      </w:r>
      <w:r w:rsidR="00311F58">
        <w:t>’</w:t>
      </w:r>
      <w:r w:rsidRPr="00A168B3">
        <w:t>action, de présenter leurs observations et leurs propositions</w:t>
      </w:r>
      <w:r w:rsidR="0066494F">
        <w:t>,</w:t>
      </w:r>
      <w:r w:rsidRPr="00A168B3">
        <w:t xml:space="preserve"> qui ont été examinées au sein du Conseil </w:t>
      </w:r>
      <w:r w:rsidR="0066494F">
        <w:t>national à</w:t>
      </w:r>
      <w:r w:rsidRPr="00A168B3">
        <w:t xml:space="preserve"> l</w:t>
      </w:r>
      <w:r w:rsidR="00311F58">
        <w:t>’</w:t>
      </w:r>
      <w:r w:rsidRPr="00A168B3">
        <w:t xml:space="preserve">intégration civile et la tolérance. Un mémorandum de coopération a été signé entre le Conseil </w:t>
      </w:r>
      <w:r w:rsidR="0066494F">
        <w:t>national à</w:t>
      </w:r>
      <w:r w:rsidRPr="00A168B3">
        <w:t xml:space="preserve"> l</w:t>
      </w:r>
      <w:r w:rsidR="00311F58">
        <w:t>’</w:t>
      </w:r>
      <w:r w:rsidRPr="00A168B3">
        <w:t>intégration civile et la tolérance et le Conseil des minorités nationales auprès du Bureau du Défenseur du peuple. Conformément au Plan d</w:t>
      </w:r>
      <w:r w:rsidR="00311F58">
        <w:t>’</w:t>
      </w:r>
      <w:r w:rsidRPr="00A168B3">
        <w:t>action, un mémorandum de coopération sera signé entre le Conseil des minorités nationales du Bureau du Défenseur du peuple et les ministères concernés. Les mémorand</w:t>
      </w:r>
      <w:r w:rsidR="009A3A23">
        <w:t>ums</w:t>
      </w:r>
      <w:r w:rsidRPr="00A168B3">
        <w:t xml:space="preserve"> visent à créer des </w:t>
      </w:r>
      <w:r w:rsidR="0066494F">
        <w:t>dispositif</w:t>
      </w:r>
      <w:r w:rsidRPr="00A168B3">
        <w:t xml:space="preserve">s de coopération et de consultation et à permettre une plus grande participation des minorités nationales au processus de prise de décisions sur les questions </w:t>
      </w:r>
      <w:r w:rsidR="0066494F">
        <w:t>touchant</w:t>
      </w:r>
      <w:r w:rsidRPr="00A168B3">
        <w:t xml:space="preserve"> leurs intérêts légitimes. Le Plan d</w:t>
      </w:r>
      <w:r w:rsidR="00311F58">
        <w:t>’</w:t>
      </w:r>
      <w:r w:rsidRPr="00A168B3">
        <w:t>action prévoit également la création de conseils rég</w:t>
      </w:r>
      <w:r w:rsidR="00DF3978">
        <w:t>ionaux à Kvemo Kartli, Samtskhe</w:t>
      </w:r>
      <w:r w:rsidR="00DF3978">
        <w:noBreakHyphen/>
      </w:r>
      <w:r w:rsidRPr="00A168B3">
        <w:t>Javakheti, Kakheti, Shida Kartli, Imereti et auprès du Gouvernement de la République autonome d</w:t>
      </w:r>
      <w:r w:rsidR="00311F58">
        <w:t>’</w:t>
      </w:r>
      <w:r w:rsidRPr="00A168B3">
        <w:t>Adjara. Les conseils régionaux seront composés de représentants des organisations</w:t>
      </w:r>
      <w:r w:rsidR="0066494F">
        <w:t xml:space="preserve"> locales de</w:t>
      </w:r>
      <w:r w:rsidRPr="00A168B3">
        <w:t xml:space="preserve"> minorités nationales et pourront disposer d</w:t>
      </w:r>
      <w:r w:rsidR="00311F58">
        <w:t>’</w:t>
      </w:r>
      <w:r w:rsidRPr="00A168B3">
        <w:t xml:space="preserve">informations </w:t>
      </w:r>
      <w:r w:rsidR="0066494F">
        <w:t>directes</w:t>
      </w:r>
      <w:r w:rsidRPr="00A168B3">
        <w:t>, présenter des opinions et être consultés sur des questions ou des décisions relatives aux droits des minorités nationales.</w:t>
      </w:r>
    </w:p>
    <w:p w:rsidR="00A168B3" w:rsidRPr="00A168B3" w:rsidRDefault="00A168B3" w:rsidP="00A168B3">
      <w:pPr>
        <w:pStyle w:val="SingleTxtG"/>
      </w:pPr>
      <w:r w:rsidRPr="00A168B3">
        <w:t>13.</w:t>
      </w:r>
      <w:r w:rsidRPr="00A168B3">
        <w:tab/>
        <w:t>Il convient de noter qu</w:t>
      </w:r>
      <w:r w:rsidR="00311F58">
        <w:t>’</w:t>
      </w:r>
      <w:r w:rsidRPr="00A168B3">
        <w:t>un premier r</w:t>
      </w:r>
      <w:r w:rsidR="000029CA">
        <w:t>apport sur la mise en œuvre du P</w:t>
      </w:r>
      <w:r w:rsidRPr="00A168B3">
        <w:t>lan d</w:t>
      </w:r>
      <w:r w:rsidR="00311F58">
        <w:t>’</w:t>
      </w:r>
      <w:r w:rsidRPr="00A168B3">
        <w:t xml:space="preserve">action susmentionné a déjà été publié par </w:t>
      </w:r>
      <w:r w:rsidR="0066494F">
        <w:t xml:space="preserve">les </w:t>
      </w:r>
      <w:r w:rsidR="00A4183D">
        <w:t>S</w:t>
      </w:r>
      <w:r w:rsidR="0066494F">
        <w:t>ervices</w:t>
      </w:r>
      <w:r w:rsidRPr="00A168B3">
        <w:t xml:space="preserve"> du Ministre d</w:t>
      </w:r>
      <w:r w:rsidR="00311F58">
        <w:t>’</w:t>
      </w:r>
      <w:r w:rsidRPr="00A168B3">
        <w:t>État à l</w:t>
      </w:r>
      <w:r w:rsidR="00311F58">
        <w:t>’</w:t>
      </w:r>
      <w:r w:rsidRPr="00A168B3">
        <w:t xml:space="preserve">intégration civile, qui couvre la période allant de mai à décembre 2009 et </w:t>
      </w:r>
      <w:r w:rsidR="0066494F">
        <w:t>décrit</w:t>
      </w:r>
      <w:r w:rsidRPr="00A168B3">
        <w:t xml:space="preserve"> les activités des organismes d</w:t>
      </w:r>
      <w:r w:rsidR="00311F58">
        <w:t>’</w:t>
      </w:r>
      <w:r w:rsidRPr="00A168B3">
        <w:t xml:space="preserve">État dans les six </w:t>
      </w:r>
      <w:r w:rsidR="0066494F">
        <w:t>grandes directions mentionnées</w:t>
      </w:r>
      <w:r w:rsidRPr="00A168B3">
        <w:t>.</w:t>
      </w:r>
    </w:p>
    <w:p w:rsidR="00A168B3" w:rsidRPr="00A168B3" w:rsidRDefault="0066494F" w:rsidP="0066494F">
      <w:pPr>
        <w:pStyle w:val="HChG"/>
      </w:pPr>
      <w:r>
        <w:tab/>
      </w:r>
      <w:r w:rsidR="00A168B3" w:rsidRPr="00A168B3">
        <w:t>II.</w:t>
      </w:r>
      <w:r w:rsidR="00A168B3" w:rsidRPr="00A168B3">
        <w:tab/>
        <w:t>Questions soulevées dans les observations finales du Comité en 2005 (CERD/C/GEO/CO/3)</w:t>
      </w:r>
    </w:p>
    <w:p w:rsidR="00A168B3" w:rsidRPr="00A168B3" w:rsidRDefault="0066494F" w:rsidP="0066494F">
      <w:pPr>
        <w:pStyle w:val="H1G"/>
      </w:pPr>
      <w:r>
        <w:tab/>
      </w:r>
      <w:r w:rsidR="00A168B3" w:rsidRPr="00A168B3">
        <w:t>A.</w:t>
      </w:r>
      <w:r w:rsidR="00A168B3" w:rsidRPr="00A168B3">
        <w:tab/>
        <w:t>Réponses aux questions soulevées au paragraphe 10</w:t>
      </w:r>
    </w:p>
    <w:p w:rsidR="00DF3129" w:rsidRDefault="00A168B3" w:rsidP="00A168B3">
      <w:pPr>
        <w:pStyle w:val="SingleTxtG"/>
      </w:pPr>
      <w:r w:rsidRPr="00A168B3">
        <w:t>14.</w:t>
      </w:r>
      <w:r w:rsidRPr="00A168B3">
        <w:tab/>
        <w:t>Le «</w:t>
      </w:r>
      <w:r w:rsidR="00A4183D">
        <w:t>P</w:t>
      </w:r>
      <w:r w:rsidRPr="00A168B3">
        <w:t>lan d</w:t>
      </w:r>
      <w:r w:rsidR="00311F58">
        <w:t>’</w:t>
      </w:r>
      <w:r w:rsidRPr="00A168B3">
        <w:t xml:space="preserve">action pour le renforcement de la défense des droits et libertés des différents groupes de la population géorgienne» a été adopté le 4 mars 2003, </w:t>
      </w:r>
      <w:r w:rsidR="000A726B">
        <w:t>en vertu du</w:t>
      </w:r>
      <w:r w:rsidRPr="00A168B3">
        <w:t xml:space="preserve"> décret n</w:t>
      </w:r>
      <w:r w:rsidRPr="00A168B3">
        <w:rPr>
          <w:vertAlign w:val="superscript"/>
        </w:rPr>
        <w:t>o</w:t>
      </w:r>
      <w:r w:rsidR="000A726B">
        <w:t> </w:t>
      </w:r>
      <w:r w:rsidRPr="00A168B3">
        <w:t xml:space="preserve">68 du Président de la Géorgie. Ce décret </w:t>
      </w:r>
      <w:r w:rsidR="000A726B">
        <w:t>donnait pour mandat au</w:t>
      </w:r>
      <w:r w:rsidRPr="00A168B3">
        <w:t xml:space="preserve"> Conseil national de sécurité géorgien </w:t>
      </w:r>
      <w:r w:rsidR="000A726B">
        <w:t>de surveiller</w:t>
      </w:r>
      <w:r w:rsidRPr="00A168B3">
        <w:t xml:space="preserve"> et superviser la mise en œuvre du Plan d</w:t>
      </w:r>
      <w:r w:rsidR="00311F58">
        <w:t>’</w:t>
      </w:r>
      <w:r w:rsidRPr="00A168B3">
        <w:t xml:space="preserve">action et </w:t>
      </w:r>
      <w:r w:rsidR="000A726B">
        <w:t>d</w:t>
      </w:r>
      <w:r w:rsidR="00311F58">
        <w:t>’</w:t>
      </w:r>
      <w:r w:rsidR="000A726B">
        <w:t>établir</w:t>
      </w:r>
      <w:r w:rsidRPr="00A168B3">
        <w:t xml:space="preserve"> des rapports annuels à ce sujet. Il convient de signaler qu</w:t>
      </w:r>
      <w:r w:rsidR="00311F58">
        <w:t>’</w:t>
      </w:r>
      <w:r w:rsidR="00A4183D">
        <w:t>après la r</w:t>
      </w:r>
      <w:r w:rsidRPr="00A168B3">
        <w:t xml:space="preserve">évolution des roses et </w:t>
      </w:r>
      <w:r w:rsidR="000A726B">
        <w:t>l</w:t>
      </w:r>
      <w:r w:rsidRPr="00A168B3">
        <w:t>es changements institutionnels qui s</w:t>
      </w:r>
      <w:r w:rsidR="00311F58">
        <w:t>’</w:t>
      </w:r>
      <w:r w:rsidRPr="00A168B3">
        <w:t>en sont suivis, le Conseil de sécurité n</w:t>
      </w:r>
      <w:r w:rsidR="00311F58">
        <w:t>’</w:t>
      </w:r>
      <w:r w:rsidRPr="00A168B3">
        <w:t xml:space="preserve">a plus été chargé de </w:t>
      </w:r>
      <w:r w:rsidR="000A726B">
        <w:t>suivre les</w:t>
      </w:r>
      <w:r w:rsidRPr="00A168B3">
        <w:t xml:space="preserve"> questions relatives aux minorités ethniques</w:t>
      </w:r>
      <w:r w:rsidR="000A726B">
        <w:t xml:space="preserve"> et d</w:t>
      </w:r>
      <w:r w:rsidR="00311F58">
        <w:t>’</w:t>
      </w:r>
      <w:r w:rsidR="000A726B">
        <w:t>établir des rapports à ce sujet</w:t>
      </w:r>
      <w:r w:rsidRPr="00A168B3">
        <w:t xml:space="preserve">. </w:t>
      </w:r>
      <w:r w:rsidR="000A726B">
        <w:t>Il n</w:t>
      </w:r>
      <w:r w:rsidR="00311F58">
        <w:t>’</w:t>
      </w:r>
      <w:r w:rsidR="000A726B">
        <w:t>y a donc pas eu de</w:t>
      </w:r>
      <w:r w:rsidRPr="00A168B3">
        <w:t xml:space="preserve"> rapport sur la mise en œuvre </w:t>
      </w:r>
      <w:r w:rsidR="000A726B">
        <w:t>du Plan d</w:t>
      </w:r>
      <w:r w:rsidR="00311F58">
        <w:t>’</w:t>
      </w:r>
      <w:r w:rsidR="000A726B">
        <w:t>action</w:t>
      </w:r>
      <w:r w:rsidRPr="00A168B3">
        <w:t>. Cependant, le Gouvernement a bien noté qu</w:t>
      </w:r>
      <w:r w:rsidR="00311F58">
        <w:t>’</w:t>
      </w:r>
      <w:r w:rsidRPr="00A168B3">
        <w:t xml:space="preserve">une institution </w:t>
      </w:r>
      <w:r w:rsidR="000A726B">
        <w:t>devait être chargée de cette question</w:t>
      </w:r>
      <w:r w:rsidRPr="00A168B3">
        <w:t>. C</w:t>
      </w:r>
      <w:r w:rsidR="00311F58">
        <w:t>’</w:t>
      </w:r>
      <w:r w:rsidRPr="00A168B3">
        <w:t>est pourquoi, le 8 août 2005, le Conseil natio</w:t>
      </w:r>
      <w:r w:rsidR="000A726B">
        <w:t>nal à l</w:t>
      </w:r>
      <w:r w:rsidR="00311F58">
        <w:t>’</w:t>
      </w:r>
      <w:r w:rsidR="000A726B">
        <w:t xml:space="preserve">intégration civile et </w:t>
      </w:r>
      <w:r w:rsidRPr="00A168B3">
        <w:t>la tolérance a été créé, afin de poursuivre le travail du Conseil national de sécurité. Le Conseil natio</w:t>
      </w:r>
      <w:r w:rsidR="000A726B">
        <w:t>nal à l</w:t>
      </w:r>
      <w:r w:rsidR="00311F58">
        <w:t>’</w:t>
      </w:r>
      <w:r w:rsidR="000A726B">
        <w:t xml:space="preserve">intégration civile et </w:t>
      </w:r>
      <w:r w:rsidRPr="00A168B3">
        <w:t xml:space="preserve">la tolérance est </w:t>
      </w:r>
      <w:r w:rsidR="000A726B">
        <w:t>décrit</w:t>
      </w:r>
      <w:r w:rsidRPr="00A168B3">
        <w:t xml:space="preserve"> </w:t>
      </w:r>
      <w:r w:rsidR="000A726B">
        <w:t>au</w:t>
      </w:r>
      <w:r w:rsidRPr="00A168B3">
        <w:t xml:space="preserve"> paragraphe 8 du présent rapport.</w:t>
      </w:r>
    </w:p>
    <w:p w:rsidR="00CE1EF3" w:rsidRDefault="00CE1EF3" w:rsidP="00CE1EF3">
      <w:pPr>
        <w:pStyle w:val="H1G"/>
      </w:pPr>
      <w:r>
        <w:tab/>
        <w:t>B.</w:t>
      </w:r>
      <w:r>
        <w:tab/>
        <w:t>Réponses aux questions soulevées au paragraphe 11</w:t>
      </w:r>
    </w:p>
    <w:p w:rsidR="00CE1EF3" w:rsidRDefault="00CE1EF3" w:rsidP="00CE1EF3">
      <w:pPr>
        <w:pStyle w:val="SingleTxtG"/>
      </w:pPr>
      <w:r>
        <w:t>15.</w:t>
      </w:r>
      <w:r>
        <w:tab/>
        <w:t>L’article 14 de la Constitution géorgienne dispose que «tous les citoyens naissent libres et égaux devant la loi, indépendamment de leur race, couleur, langue, sexe, religion, de leurs opinions politiques ou autres, de leur appartenance nationale, ethnique et sociale, de leur origine, de leur fortune et de leurs titres ou de leur lieu de résidence». Le principe constitutionnel précédent est garanti par l’article 142 du Code pénal</w:t>
      </w:r>
      <w:r w:rsidR="00B04108">
        <w:t xml:space="preserve"> géorgien. Le 6 </w:t>
      </w:r>
      <w:r>
        <w:t>juin 2003, un nouvel article 142</w:t>
      </w:r>
      <w:r w:rsidR="00797979">
        <w:t xml:space="preserve"> 1)</w:t>
      </w:r>
      <w:r>
        <w:t xml:space="preserve"> est entré en vigueur, qui érige en infraction pénale tout acte ou omission </w:t>
      </w:r>
      <w:r w:rsidR="00B04108">
        <w:t>commis d</w:t>
      </w:r>
      <w:r>
        <w:t>ans l’intention d’inciter à la haine ou à l’affrontement pour des motifs ethniques ou raciaux, ou le fait de restreindre directement ou indirectement les droits d’une personne ou de lui accorder un avantage en raison de sa race, de la couleur de sa peau, de son statut social ou de son appartenance nationale ou ethnique.</w:t>
      </w:r>
    </w:p>
    <w:p w:rsidR="00CE1EF3" w:rsidRDefault="00CE1EF3" w:rsidP="00CE1EF3">
      <w:pPr>
        <w:pStyle w:val="SingleTxtG"/>
      </w:pPr>
      <w:r>
        <w:t>16.</w:t>
      </w:r>
      <w:r>
        <w:tab/>
        <w:t>L’article 4 de la Convention demande aux États de condamner les organisations encourageant la discrimination. C’est à cette pré</w:t>
      </w:r>
      <w:r w:rsidR="00A24398">
        <w:t xml:space="preserve">occupation que répond l’article </w:t>
      </w:r>
      <w:r>
        <w:t>142</w:t>
      </w:r>
      <w:r w:rsidR="00797979">
        <w:t xml:space="preserve"> 1)</w:t>
      </w:r>
      <w:r>
        <w:t xml:space="preserve"> du Code pénal géorgien qui est d’application générale, et érige en infraction pénale la discrimination raciale commise par toute personne physique ou morale. La responsabilité des personnes morales est régie par les dispositions légales suivantes: l’article 25 du Code civil, qui dispose qu’une personne morale est autorisée à mener toute activité qui n’est pas interdite par la législation géorgienne et que la responsabilité civile d’une organisation commerciale est engagée en cas d’activité ill</w:t>
      </w:r>
      <w:r w:rsidR="00F6018E">
        <w:t xml:space="preserve">égale (art. </w:t>
      </w:r>
      <w:r>
        <w:t>33 du Code civil). De plus l’article 14 de la loi sur les entreprises traite de la responsabilité civile des sociétés commerciales, qui peut entraîner la liquidation desdites entités.</w:t>
      </w:r>
    </w:p>
    <w:p w:rsidR="00CE1EF3" w:rsidRDefault="00CE1EF3" w:rsidP="00CE1EF3">
      <w:pPr>
        <w:pStyle w:val="SingleTxtG"/>
      </w:pPr>
      <w:r>
        <w:t>17.</w:t>
      </w:r>
      <w:r>
        <w:tab/>
        <w:t>Les motivations raciales, religieuses, fondées sur la nationalité ou l’ethnie sont considérées comme des circonstances aggravantes par le Code pénal géorgien, ce qui fait de la discrimination fondée sur ces motifs un crime grave au même titre que le meurtre avec préméditation (art.</w:t>
      </w:r>
      <w:r w:rsidR="00F6018E">
        <w:t xml:space="preserve"> </w:t>
      </w:r>
      <w:r>
        <w:t>109), le fait d’infliger intentionnellement des lésions corporelles graves (art. 117), l’agression (art.</w:t>
      </w:r>
      <w:r w:rsidR="00F6018E">
        <w:t xml:space="preserve"> </w:t>
      </w:r>
      <w:r>
        <w:t>126), l’outrage aux morts</w:t>
      </w:r>
      <w:r w:rsidR="00F6018E">
        <w:t xml:space="preserve"> (art. </w:t>
      </w:r>
      <w:r>
        <w:t>258), la torture (art.</w:t>
      </w:r>
      <w:r w:rsidR="00F6018E">
        <w:t xml:space="preserve"> </w:t>
      </w:r>
      <w:r>
        <w:t>144</w:t>
      </w:r>
      <w:r w:rsidR="00797979">
        <w:t xml:space="preserve"> 1)</w:t>
      </w:r>
      <w:r>
        <w:t>) et le traitement dégradant ou inhumain (art.</w:t>
      </w:r>
      <w:r w:rsidR="00F6018E">
        <w:t xml:space="preserve"> </w:t>
      </w:r>
      <w:r>
        <w:t>144</w:t>
      </w:r>
      <w:r w:rsidR="00797979" w:rsidRPr="00A24398">
        <w:t xml:space="preserve"> </w:t>
      </w:r>
      <w:r w:rsidR="00797979">
        <w:t>3)</w:t>
      </w:r>
      <w:r>
        <w:t>).</w:t>
      </w:r>
    </w:p>
    <w:p w:rsidR="00CE1EF3" w:rsidRDefault="00CE1EF3" w:rsidP="00CE1EF3">
      <w:pPr>
        <w:pStyle w:val="SingleTxtG"/>
      </w:pPr>
      <w:r>
        <w:t>18.</w:t>
      </w:r>
      <w:r>
        <w:tab/>
        <w:t>Le tableau ci-dessous indique la différence entre les peines prévues pour les infractions simples et les infractions motivées par la discrimination raciale.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CE1EF3" w:rsidRPr="002A419E" w:rsidTr="00F6018E">
        <w:trPr>
          <w:cantSplit/>
          <w:tblHeader/>
        </w:trPr>
        <w:tc>
          <w:tcPr>
            <w:tcW w:w="2438" w:type="dxa"/>
            <w:tcBorders>
              <w:top w:val="single" w:sz="4" w:space="0" w:color="auto"/>
              <w:bottom w:val="single" w:sz="12" w:space="0" w:color="auto"/>
            </w:tcBorders>
            <w:shd w:val="clear" w:color="auto" w:fill="auto"/>
            <w:vAlign w:val="bottom"/>
          </w:tcPr>
          <w:p w:rsidR="00CE1EF3" w:rsidRPr="002A419E" w:rsidRDefault="00CE1EF3" w:rsidP="000773CC">
            <w:pPr>
              <w:suppressAutoHyphens w:val="0"/>
              <w:spacing w:before="80" w:after="80" w:line="200" w:lineRule="exact"/>
              <w:ind w:right="113"/>
              <w:rPr>
                <w:i/>
                <w:sz w:val="16"/>
              </w:rPr>
            </w:pPr>
            <w:r w:rsidRPr="002A419E">
              <w:rPr>
                <w:i/>
                <w:sz w:val="16"/>
              </w:rPr>
              <w:t>Infraction</w:t>
            </w:r>
          </w:p>
        </w:tc>
        <w:tc>
          <w:tcPr>
            <w:tcW w:w="2438" w:type="dxa"/>
            <w:tcBorders>
              <w:top w:val="single" w:sz="4" w:space="0" w:color="auto"/>
              <w:bottom w:val="single" w:sz="12" w:space="0" w:color="auto"/>
            </w:tcBorders>
            <w:shd w:val="clear" w:color="auto" w:fill="auto"/>
            <w:vAlign w:val="bottom"/>
          </w:tcPr>
          <w:p w:rsidR="00CE1EF3" w:rsidRPr="002A419E" w:rsidRDefault="00CE1EF3" w:rsidP="000773CC">
            <w:pPr>
              <w:suppressAutoHyphens w:val="0"/>
              <w:spacing w:before="80" w:after="80" w:line="200" w:lineRule="exact"/>
              <w:ind w:right="113"/>
              <w:rPr>
                <w:i/>
                <w:sz w:val="16"/>
              </w:rPr>
            </w:pPr>
            <w:r w:rsidRPr="002A419E">
              <w:rPr>
                <w:i/>
                <w:sz w:val="16"/>
              </w:rPr>
              <w:t>Peine générale</w:t>
            </w:r>
          </w:p>
        </w:tc>
        <w:tc>
          <w:tcPr>
            <w:tcW w:w="2438" w:type="dxa"/>
            <w:tcBorders>
              <w:top w:val="single" w:sz="4" w:space="0" w:color="auto"/>
              <w:bottom w:val="single" w:sz="12" w:space="0" w:color="auto"/>
            </w:tcBorders>
            <w:shd w:val="clear" w:color="auto" w:fill="auto"/>
            <w:vAlign w:val="bottom"/>
          </w:tcPr>
          <w:p w:rsidR="00CE1EF3" w:rsidRPr="002A419E" w:rsidRDefault="00CE1EF3" w:rsidP="000773CC">
            <w:pPr>
              <w:suppressAutoHyphens w:val="0"/>
              <w:spacing w:before="80" w:after="80" w:line="200" w:lineRule="exact"/>
              <w:ind w:right="113"/>
              <w:rPr>
                <w:i/>
                <w:sz w:val="16"/>
              </w:rPr>
            </w:pPr>
            <w:r w:rsidRPr="002A419E">
              <w:rPr>
                <w:i/>
                <w:sz w:val="16"/>
              </w:rPr>
              <w:t>Peine pour une infraction avec circonstances aggravantes</w:t>
            </w:r>
          </w:p>
        </w:tc>
      </w:tr>
      <w:tr w:rsidR="00CE1EF3" w:rsidRPr="002A419E" w:rsidTr="00F6018E">
        <w:trPr>
          <w:cantSplit/>
          <w:trHeight w:hRule="exact" w:val="113"/>
          <w:tblHeader/>
        </w:trPr>
        <w:tc>
          <w:tcPr>
            <w:tcW w:w="2438" w:type="dxa"/>
            <w:tcBorders>
              <w:top w:val="single" w:sz="12" w:space="0" w:color="auto"/>
              <w:bottom w:val="nil"/>
            </w:tcBorders>
            <w:shd w:val="clear" w:color="auto" w:fill="auto"/>
          </w:tcPr>
          <w:p w:rsidR="00CE1EF3" w:rsidRPr="002A419E" w:rsidRDefault="00CE1EF3" w:rsidP="000773CC">
            <w:pPr>
              <w:suppressAutoHyphens w:val="0"/>
              <w:spacing w:before="40" w:after="120" w:line="220" w:lineRule="exact"/>
              <w:ind w:right="113"/>
            </w:pPr>
          </w:p>
        </w:tc>
        <w:tc>
          <w:tcPr>
            <w:tcW w:w="2438" w:type="dxa"/>
            <w:tcBorders>
              <w:top w:val="single" w:sz="12" w:space="0" w:color="auto"/>
              <w:bottom w:val="nil"/>
            </w:tcBorders>
            <w:shd w:val="clear" w:color="auto" w:fill="auto"/>
          </w:tcPr>
          <w:p w:rsidR="00CE1EF3" w:rsidRPr="002A419E" w:rsidRDefault="00CE1EF3" w:rsidP="000773CC">
            <w:pPr>
              <w:suppressAutoHyphens w:val="0"/>
              <w:spacing w:before="40" w:after="120" w:line="220" w:lineRule="exact"/>
              <w:ind w:right="113"/>
            </w:pPr>
          </w:p>
        </w:tc>
        <w:tc>
          <w:tcPr>
            <w:tcW w:w="2438" w:type="dxa"/>
            <w:tcBorders>
              <w:top w:val="single" w:sz="12" w:space="0" w:color="auto"/>
              <w:bottom w:val="nil"/>
            </w:tcBorders>
            <w:shd w:val="clear" w:color="auto" w:fill="auto"/>
          </w:tcPr>
          <w:p w:rsidR="00CE1EF3" w:rsidRPr="002A419E" w:rsidRDefault="00CE1EF3" w:rsidP="000773CC">
            <w:pPr>
              <w:suppressAutoHyphens w:val="0"/>
              <w:spacing w:before="40" w:after="120" w:line="220" w:lineRule="exact"/>
              <w:ind w:right="113"/>
            </w:pPr>
          </w:p>
        </w:tc>
      </w:tr>
      <w:tr w:rsidR="00CE1EF3" w:rsidRPr="002A419E" w:rsidTr="00F6018E">
        <w:trPr>
          <w:cantSplit/>
        </w:trPr>
        <w:tc>
          <w:tcPr>
            <w:tcW w:w="2438" w:type="dxa"/>
            <w:tcBorders>
              <w:top w:val="nil"/>
              <w:bottom w:val="nil"/>
            </w:tcBorders>
            <w:shd w:val="clear" w:color="auto" w:fill="auto"/>
          </w:tcPr>
          <w:p w:rsidR="00CE1EF3" w:rsidRPr="002A419E" w:rsidRDefault="00CE1EF3" w:rsidP="000773CC">
            <w:pPr>
              <w:suppressAutoHyphens w:val="0"/>
              <w:spacing w:before="40" w:after="120" w:line="220" w:lineRule="exact"/>
              <w:ind w:right="113"/>
            </w:pPr>
            <w:r w:rsidRPr="002A419E">
              <w:t>Meurtre</w:t>
            </w:r>
          </w:p>
        </w:tc>
        <w:tc>
          <w:tcPr>
            <w:tcW w:w="2438" w:type="dxa"/>
            <w:tcBorders>
              <w:top w:val="nil"/>
              <w:bottom w:val="nil"/>
            </w:tcBorders>
            <w:shd w:val="clear" w:color="auto" w:fill="auto"/>
          </w:tcPr>
          <w:p w:rsidR="00CE1EF3" w:rsidRPr="002A419E" w:rsidRDefault="00CE1EF3" w:rsidP="000773CC">
            <w:pPr>
              <w:suppressAutoHyphens w:val="0"/>
              <w:spacing w:before="40" w:after="120" w:line="220" w:lineRule="exact"/>
              <w:ind w:right="113"/>
            </w:pPr>
            <w:r w:rsidRPr="002A419E">
              <w:t>Sept à quinze ans d’emprisonnement</w:t>
            </w:r>
          </w:p>
        </w:tc>
        <w:tc>
          <w:tcPr>
            <w:tcW w:w="2438" w:type="dxa"/>
            <w:tcBorders>
              <w:top w:val="nil"/>
              <w:bottom w:val="nil"/>
            </w:tcBorders>
            <w:shd w:val="clear" w:color="auto" w:fill="auto"/>
          </w:tcPr>
          <w:p w:rsidR="00CE1EF3" w:rsidRPr="002A419E" w:rsidRDefault="00CE1EF3" w:rsidP="000773CC">
            <w:pPr>
              <w:suppressAutoHyphens w:val="0"/>
              <w:spacing w:before="40" w:after="120" w:line="220" w:lineRule="exact"/>
              <w:ind w:right="113"/>
            </w:pPr>
            <w:r w:rsidRPr="002A419E">
              <w:t>Treize à dix-sept ans d’emprisonnement</w:t>
            </w:r>
          </w:p>
        </w:tc>
      </w:tr>
      <w:tr w:rsidR="00CE1EF3" w:rsidRPr="002A419E" w:rsidTr="00F6018E">
        <w:trPr>
          <w:cantSplit/>
        </w:trPr>
        <w:tc>
          <w:tcPr>
            <w:tcW w:w="2438" w:type="dxa"/>
            <w:tcBorders>
              <w:top w:val="nil"/>
            </w:tcBorders>
            <w:shd w:val="clear" w:color="auto" w:fill="auto"/>
          </w:tcPr>
          <w:p w:rsidR="00CE1EF3" w:rsidRPr="002A419E" w:rsidRDefault="00CE1EF3" w:rsidP="000773CC">
            <w:pPr>
              <w:suppressAutoHyphens w:val="0"/>
              <w:spacing w:before="40" w:after="120" w:line="220" w:lineRule="exact"/>
              <w:ind w:right="113"/>
            </w:pPr>
            <w:r w:rsidRPr="002A419E">
              <w:t>Lésions corporelles graves infligées intentionnellement</w:t>
            </w:r>
          </w:p>
        </w:tc>
        <w:tc>
          <w:tcPr>
            <w:tcW w:w="2438" w:type="dxa"/>
            <w:tcBorders>
              <w:top w:val="nil"/>
            </w:tcBorders>
            <w:shd w:val="clear" w:color="auto" w:fill="auto"/>
          </w:tcPr>
          <w:p w:rsidR="00CE1EF3" w:rsidRPr="002A419E" w:rsidRDefault="00CE1EF3" w:rsidP="000773CC">
            <w:pPr>
              <w:suppressAutoHyphens w:val="0"/>
              <w:spacing w:before="40" w:after="120" w:line="220" w:lineRule="exact"/>
              <w:ind w:right="113"/>
            </w:pPr>
            <w:r w:rsidRPr="002A419E">
              <w:t>Trois à cinq ans d’emprisonnement</w:t>
            </w:r>
          </w:p>
        </w:tc>
        <w:tc>
          <w:tcPr>
            <w:tcW w:w="2438" w:type="dxa"/>
            <w:tcBorders>
              <w:top w:val="nil"/>
            </w:tcBorders>
            <w:shd w:val="clear" w:color="auto" w:fill="auto"/>
          </w:tcPr>
          <w:p w:rsidR="00CE1EF3" w:rsidRPr="002A419E" w:rsidRDefault="00CE1EF3" w:rsidP="000773CC">
            <w:pPr>
              <w:suppressAutoHyphens w:val="0"/>
              <w:spacing w:before="40" w:after="120" w:line="220" w:lineRule="exact"/>
              <w:ind w:right="113"/>
            </w:pPr>
            <w:r w:rsidRPr="002A419E">
              <w:t>Sept à neuf ans d’emprisonnement</w:t>
            </w:r>
          </w:p>
        </w:tc>
      </w:tr>
      <w:tr w:rsidR="00CE1EF3" w:rsidRPr="002A419E" w:rsidTr="00F6018E">
        <w:trPr>
          <w:cantSplit/>
        </w:trPr>
        <w:tc>
          <w:tcPr>
            <w:tcW w:w="2438" w:type="dxa"/>
            <w:tcBorders>
              <w:bottom w:val="nil"/>
            </w:tcBorders>
            <w:shd w:val="clear" w:color="auto" w:fill="auto"/>
          </w:tcPr>
          <w:p w:rsidR="00CE1EF3" w:rsidRPr="002A419E" w:rsidRDefault="00CE1EF3" w:rsidP="000773CC">
            <w:pPr>
              <w:suppressAutoHyphens w:val="0"/>
              <w:spacing w:before="40" w:after="120" w:line="220" w:lineRule="exact"/>
              <w:ind w:right="113"/>
            </w:pPr>
            <w:r w:rsidRPr="002A419E">
              <w:t>Agression</w:t>
            </w:r>
          </w:p>
        </w:tc>
        <w:tc>
          <w:tcPr>
            <w:tcW w:w="2438" w:type="dxa"/>
            <w:tcBorders>
              <w:bottom w:val="nil"/>
            </w:tcBorders>
            <w:shd w:val="clear" w:color="auto" w:fill="auto"/>
          </w:tcPr>
          <w:p w:rsidR="00CE1EF3" w:rsidRPr="002A419E" w:rsidRDefault="00CE1EF3" w:rsidP="000773CC">
            <w:pPr>
              <w:suppressAutoHyphens w:val="0"/>
              <w:spacing w:before="40" w:after="120" w:line="220" w:lineRule="exact"/>
              <w:ind w:right="113"/>
            </w:pPr>
            <w:r w:rsidRPr="002A419E">
              <w:t>Un à trois ans d’emprisonnement</w:t>
            </w:r>
          </w:p>
        </w:tc>
        <w:tc>
          <w:tcPr>
            <w:tcW w:w="2438" w:type="dxa"/>
            <w:tcBorders>
              <w:bottom w:val="nil"/>
            </w:tcBorders>
            <w:shd w:val="clear" w:color="auto" w:fill="auto"/>
          </w:tcPr>
          <w:p w:rsidR="00CE1EF3" w:rsidRPr="002A419E" w:rsidRDefault="00CE1EF3" w:rsidP="000773CC">
            <w:pPr>
              <w:suppressAutoHyphens w:val="0"/>
              <w:spacing w:before="40" w:after="120" w:line="220" w:lineRule="exact"/>
              <w:ind w:right="113"/>
            </w:pPr>
            <w:r w:rsidRPr="002A419E">
              <w:t>Quatre à six ans d’emprisonnement</w:t>
            </w:r>
          </w:p>
        </w:tc>
      </w:tr>
      <w:tr w:rsidR="00CE1EF3" w:rsidRPr="002A419E" w:rsidTr="00F6018E">
        <w:trPr>
          <w:cantSplit/>
        </w:trPr>
        <w:tc>
          <w:tcPr>
            <w:tcW w:w="2438" w:type="dxa"/>
            <w:tcBorders>
              <w:top w:val="nil"/>
              <w:bottom w:val="nil"/>
            </w:tcBorders>
            <w:shd w:val="clear" w:color="auto" w:fill="auto"/>
          </w:tcPr>
          <w:p w:rsidR="00CE1EF3" w:rsidRPr="002A419E" w:rsidRDefault="00CE1EF3" w:rsidP="000773CC">
            <w:pPr>
              <w:suppressAutoHyphens w:val="0"/>
              <w:spacing w:before="40" w:after="120" w:line="220" w:lineRule="exact"/>
              <w:ind w:right="113"/>
            </w:pPr>
            <w:r w:rsidRPr="002A419E">
              <w:t>Outrage aux morts</w:t>
            </w:r>
          </w:p>
        </w:tc>
        <w:tc>
          <w:tcPr>
            <w:tcW w:w="2438" w:type="dxa"/>
            <w:tcBorders>
              <w:top w:val="nil"/>
              <w:bottom w:val="nil"/>
            </w:tcBorders>
            <w:shd w:val="clear" w:color="auto" w:fill="auto"/>
          </w:tcPr>
          <w:p w:rsidR="00CE1EF3" w:rsidRPr="002A419E" w:rsidRDefault="00CE1EF3" w:rsidP="000773CC">
            <w:pPr>
              <w:suppressAutoHyphens w:val="0"/>
              <w:spacing w:before="40" w:after="120" w:line="220" w:lineRule="exact"/>
              <w:ind w:right="113"/>
            </w:pPr>
            <w:r w:rsidRPr="002A419E">
              <w:t>Amende ou travail d’intérêt général, ou redressement par le travail ou emprisonnement d’une durée d’un an</w:t>
            </w:r>
          </w:p>
        </w:tc>
        <w:tc>
          <w:tcPr>
            <w:tcW w:w="2438" w:type="dxa"/>
            <w:tcBorders>
              <w:top w:val="nil"/>
              <w:bottom w:val="nil"/>
            </w:tcBorders>
            <w:shd w:val="clear" w:color="auto" w:fill="auto"/>
          </w:tcPr>
          <w:p w:rsidR="00CE1EF3" w:rsidRPr="002A419E" w:rsidRDefault="00CE1EF3" w:rsidP="000773CC">
            <w:pPr>
              <w:suppressAutoHyphens w:val="0"/>
              <w:spacing w:before="40" w:after="120" w:line="220" w:lineRule="exact"/>
              <w:ind w:right="113"/>
            </w:pPr>
            <w:r w:rsidRPr="002A419E">
              <w:t>Jusqu’à trois ans de restriction de liberté ou d’emprisonnement</w:t>
            </w:r>
          </w:p>
        </w:tc>
      </w:tr>
      <w:tr w:rsidR="00CE1EF3" w:rsidRPr="002A419E" w:rsidTr="00F6018E">
        <w:trPr>
          <w:cantSplit/>
        </w:trPr>
        <w:tc>
          <w:tcPr>
            <w:tcW w:w="2438" w:type="dxa"/>
            <w:tcBorders>
              <w:top w:val="nil"/>
              <w:bottom w:val="nil"/>
            </w:tcBorders>
            <w:shd w:val="clear" w:color="auto" w:fill="auto"/>
          </w:tcPr>
          <w:p w:rsidR="00CE1EF3" w:rsidRPr="002A419E" w:rsidRDefault="00CE1EF3" w:rsidP="000773CC">
            <w:pPr>
              <w:suppressAutoHyphens w:val="0"/>
              <w:spacing w:before="40" w:after="120" w:line="220" w:lineRule="exact"/>
              <w:ind w:right="113"/>
            </w:pPr>
            <w:r w:rsidRPr="002A419E">
              <w:t>Torture</w:t>
            </w:r>
          </w:p>
        </w:tc>
        <w:tc>
          <w:tcPr>
            <w:tcW w:w="2438" w:type="dxa"/>
            <w:tcBorders>
              <w:top w:val="nil"/>
              <w:bottom w:val="nil"/>
            </w:tcBorders>
            <w:shd w:val="clear" w:color="auto" w:fill="auto"/>
          </w:tcPr>
          <w:p w:rsidR="00CE1EF3" w:rsidRPr="002A419E" w:rsidRDefault="00CE1EF3" w:rsidP="000773CC">
            <w:pPr>
              <w:suppressAutoHyphens w:val="0"/>
              <w:spacing w:before="40" w:after="120" w:line="220" w:lineRule="exact"/>
              <w:ind w:right="113"/>
            </w:pPr>
            <w:r w:rsidRPr="002A419E">
              <w:t>Amende ou sept à dix ans d’empr</w:t>
            </w:r>
            <w:r>
              <w:t>i</w:t>
            </w:r>
            <w:r w:rsidRPr="002A419E">
              <w:t>sonnement</w:t>
            </w:r>
          </w:p>
        </w:tc>
        <w:tc>
          <w:tcPr>
            <w:tcW w:w="2438" w:type="dxa"/>
            <w:tcBorders>
              <w:top w:val="nil"/>
              <w:bottom w:val="nil"/>
            </w:tcBorders>
            <w:shd w:val="clear" w:color="auto" w:fill="auto"/>
          </w:tcPr>
          <w:p w:rsidR="00CE1EF3" w:rsidRPr="002A419E" w:rsidRDefault="00CE1EF3" w:rsidP="000773CC">
            <w:pPr>
              <w:suppressAutoHyphens w:val="0"/>
              <w:spacing w:before="40" w:after="120" w:line="220" w:lineRule="exact"/>
              <w:ind w:right="113"/>
            </w:pPr>
            <w:r w:rsidRPr="002A419E">
              <w:t>Neuf à quinze ans d’emprisonnement ou privation du droit d’occuper une fonction ou d’exercer une activité particulière pendant cinq ans au maximum</w:t>
            </w:r>
          </w:p>
        </w:tc>
      </w:tr>
      <w:tr w:rsidR="00CE1EF3" w:rsidRPr="002A419E" w:rsidTr="00F6018E">
        <w:trPr>
          <w:cantSplit/>
        </w:trPr>
        <w:tc>
          <w:tcPr>
            <w:tcW w:w="2438" w:type="dxa"/>
            <w:tcBorders>
              <w:top w:val="nil"/>
            </w:tcBorders>
            <w:shd w:val="clear" w:color="auto" w:fill="auto"/>
          </w:tcPr>
          <w:p w:rsidR="00CE1EF3" w:rsidRPr="002A419E" w:rsidRDefault="00CE1EF3" w:rsidP="000773CC">
            <w:pPr>
              <w:suppressAutoHyphens w:val="0"/>
              <w:spacing w:before="40" w:after="120" w:line="220" w:lineRule="exact"/>
              <w:ind w:right="113"/>
            </w:pPr>
            <w:r w:rsidRPr="002A419E">
              <w:t>Traitement dégradant</w:t>
            </w:r>
            <w:r>
              <w:t xml:space="preserve"> </w:t>
            </w:r>
            <w:r w:rsidRPr="002A419E">
              <w:t>ou inhumain</w:t>
            </w:r>
          </w:p>
        </w:tc>
        <w:tc>
          <w:tcPr>
            <w:tcW w:w="2438" w:type="dxa"/>
            <w:tcBorders>
              <w:top w:val="nil"/>
            </w:tcBorders>
            <w:shd w:val="clear" w:color="auto" w:fill="auto"/>
          </w:tcPr>
          <w:p w:rsidR="00CE1EF3" w:rsidRPr="002A419E" w:rsidRDefault="00CE1EF3" w:rsidP="000773CC">
            <w:pPr>
              <w:suppressAutoHyphens w:val="0"/>
              <w:spacing w:before="40" w:after="120" w:line="220" w:lineRule="exact"/>
              <w:ind w:right="113"/>
            </w:pPr>
            <w:r w:rsidRPr="002A419E">
              <w:t>Amende ou peine allant jusqu’à trois ans de restriction de liberté ou deux à cinq ans d’emprisonnement</w:t>
            </w:r>
          </w:p>
        </w:tc>
        <w:tc>
          <w:tcPr>
            <w:tcW w:w="2438" w:type="dxa"/>
            <w:tcBorders>
              <w:top w:val="nil"/>
            </w:tcBorders>
            <w:shd w:val="clear" w:color="auto" w:fill="auto"/>
          </w:tcPr>
          <w:p w:rsidR="00CE1EF3" w:rsidRPr="002A419E" w:rsidRDefault="00CE1EF3" w:rsidP="000773CC">
            <w:pPr>
              <w:suppressAutoHyphens w:val="0"/>
              <w:spacing w:before="40" w:after="120" w:line="220" w:lineRule="exact"/>
              <w:ind w:right="113"/>
            </w:pPr>
            <w:r w:rsidRPr="002A419E">
              <w:t xml:space="preserve">Amende ou quatre à six ans d’emprisonnement ou privation du droit d’occuper une fonction ou </w:t>
            </w:r>
            <w:r>
              <w:t>d’</w:t>
            </w:r>
            <w:r w:rsidRPr="002A419E">
              <w:t>exercer une activité particulière pendant cinq ans au maximum</w:t>
            </w:r>
          </w:p>
        </w:tc>
      </w:tr>
    </w:tbl>
    <w:p w:rsidR="00CE1EF3" w:rsidRDefault="00CE1EF3" w:rsidP="00BC400A">
      <w:pPr>
        <w:pStyle w:val="SingleTxtG"/>
        <w:spacing w:before="240"/>
      </w:pPr>
      <w:r>
        <w:t>19.</w:t>
      </w:r>
      <w:r>
        <w:tab/>
        <w:t>En 2003, la disposition relative aux crimes contre l’humanité (art. 408 du Code pénal géorgien) a été modifiée et la référence au racisme et à l’intolérance, qui n’y figurait pas jusque-là</w:t>
      </w:r>
      <w:r>
        <w:rPr>
          <w:rStyle w:val="FootnoteReference"/>
        </w:rPr>
        <w:footnoteReference w:id="5"/>
      </w:r>
      <w:r>
        <w:t>, a été introduite. L’élément relatif à la race figure également dans la définition du crime de génocide</w:t>
      </w:r>
      <w:r w:rsidR="002A6769">
        <w:rPr>
          <w:rStyle w:val="FootnoteReference"/>
        </w:rPr>
        <w:footnoteReference w:id="6"/>
      </w:r>
      <w:r>
        <w:t>.</w:t>
      </w:r>
    </w:p>
    <w:p w:rsidR="00CE1EF3" w:rsidRDefault="00CE1EF3" w:rsidP="00595B53">
      <w:pPr>
        <w:pStyle w:val="H1G"/>
      </w:pPr>
      <w:r>
        <w:tab/>
        <w:t>C.</w:t>
      </w:r>
      <w:r>
        <w:tab/>
        <w:t>Réponses aux questions soulevées au paragraphe 12</w:t>
      </w:r>
    </w:p>
    <w:p w:rsidR="00CE1EF3" w:rsidRDefault="00CE1EF3" w:rsidP="00595B53">
      <w:pPr>
        <w:pStyle w:val="SingleTxtG"/>
        <w:keepLines/>
      </w:pPr>
      <w:r>
        <w:t>20.</w:t>
      </w:r>
      <w:r>
        <w:tab/>
        <w:t>Le Centre européen pour les questions des minorités (ECMI) a mené, pendant le second semestre de 2008 et au début de 2009, une étude visant à recueillir des informations sur les lieux de résidence des Roms en Géorgie, ainsi que des données démographiques et des données sur la structure sociale de la communauté rom et les difficultés sociales, économiques ou autres auxquelles elle est confrontée</w:t>
      </w:r>
      <w:r w:rsidR="002A6769">
        <w:rPr>
          <w:rStyle w:val="FootnoteReference"/>
        </w:rPr>
        <w:footnoteReference w:id="7"/>
      </w:r>
      <w:r>
        <w:t xml:space="preserve">. La communauté rom compte environ 1 000 personnes en Géorgie, </w:t>
      </w:r>
      <w:r>
        <w:rPr>
          <w:rFonts w:eastAsia="MS Mincho"/>
        </w:rPr>
        <w:t>y compris</w:t>
      </w:r>
      <w:r>
        <w:t xml:space="preserve"> le campement moldove à Tbilissi et une petite communauté installée à Kutaisi, et toutes suivent le mode de vie rom. Ce chiffre n’inclut pas les Roms qui résident en Abkhazie (Géorgie)</w:t>
      </w:r>
      <w:r w:rsidR="002A6769">
        <w:rPr>
          <w:rStyle w:val="FootnoteReference"/>
        </w:rPr>
        <w:footnoteReference w:id="8"/>
      </w:r>
      <w:r>
        <w:t>. Le tableau ci-dessous fournit des données détaillées.</w:t>
      </w:r>
    </w:p>
    <w:p w:rsidR="00CE1EF3" w:rsidRPr="0069307A" w:rsidRDefault="00CE1EF3" w:rsidP="00CE1EF3">
      <w:pPr>
        <w:pStyle w:val="Heading1"/>
        <w:spacing w:after="120"/>
        <w:rPr>
          <w:b/>
        </w:rPr>
      </w:pPr>
      <w:r w:rsidRPr="0069307A">
        <w:rPr>
          <w:b/>
        </w:rPr>
        <w:t>Informations sur les communautés roms en Géorgie</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69"/>
        <w:gridCol w:w="1114"/>
        <w:gridCol w:w="1114"/>
        <w:gridCol w:w="880"/>
        <w:gridCol w:w="880"/>
        <w:gridCol w:w="587"/>
        <w:gridCol w:w="587"/>
        <w:gridCol w:w="587"/>
        <w:gridCol w:w="587"/>
      </w:tblGrid>
      <w:tr w:rsidR="00595B53" w:rsidRPr="002A419E" w:rsidTr="00595B53">
        <w:trPr>
          <w:tblHeader/>
        </w:trPr>
        <w:tc>
          <w:tcPr>
            <w:tcW w:w="2098" w:type="dxa"/>
            <w:tcBorders>
              <w:top w:val="single" w:sz="4" w:space="0" w:color="auto"/>
              <w:bottom w:val="single" w:sz="12" w:space="0" w:color="auto"/>
            </w:tcBorders>
            <w:shd w:val="clear" w:color="auto" w:fill="auto"/>
            <w:vAlign w:val="bottom"/>
          </w:tcPr>
          <w:p w:rsidR="00CE1EF3" w:rsidRPr="002A419E" w:rsidRDefault="00CE1EF3" w:rsidP="000773CC">
            <w:pPr>
              <w:keepNext/>
              <w:suppressAutoHyphens w:val="0"/>
              <w:spacing w:before="80" w:after="80" w:line="200" w:lineRule="exact"/>
              <w:rPr>
                <w:i/>
                <w:sz w:val="16"/>
              </w:rPr>
            </w:pPr>
            <w:r w:rsidRPr="002A419E">
              <w:rPr>
                <w:i/>
                <w:sz w:val="16"/>
              </w:rPr>
              <w:t>Campement</w:t>
            </w:r>
          </w:p>
        </w:tc>
        <w:tc>
          <w:tcPr>
            <w:tcW w:w="1077" w:type="dxa"/>
            <w:tcBorders>
              <w:top w:val="single" w:sz="4" w:space="0" w:color="auto"/>
              <w:bottom w:val="single" w:sz="12" w:space="0" w:color="auto"/>
            </w:tcBorders>
            <w:shd w:val="clear" w:color="auto" w:fill="auto"/>
            <w:vAlign w:val="bottom"/>
          </w:tcPr>
          <w:p w:rsidR="00CE1EF3" w:rsidRPr="002A419E" w:rsidRDefault="00CE1EF3" w:rsidP="00595B53">
            <w:pPr>
              <w:suppressAutoHyphens w:val="0"/>
              <w:spacing w:before="80" w:after="80" w:line="200" w:lineRule="exact"/>
              <w:ind w:right="57"/>
              <w:jc w:val="right"/>
              <w:rPr>
                <w:i/>
                <w:sz w:val="16"/>
              </w:rPr>
            </w:pPr>
            <w:r w:rsidRPr="002A419E">
              <w:rPr>
                <w:i/>
                <w:sz w:val="16"/>
              </w:rPr>
              <w:t>District de</w:t>
            </w:r>
            <w:r w:rsidR="00595B53">
              <w:rPr>
                <w:i/>
                <w:sz w:val="16"/>
              </w:rPr>
              <w:t xml:space="preserve"> </w:t>
            </w:r>
            <w:r>
              <w:rPr>
                <w:i/>
                <w:sz w:val="16"/>
                <w:lang w:val="en-GB"/>
              </w:rPr>
              <w:t>Gachiani</w:t>
            </w:r>
            <w:r w:rsidR="00595B53">
              <w:rPr>
                <w:i/>
                <w:sz w:val="16"/>
                <w:lang w:val="en-GB"/>
              </w:rPr>
              <w:t xml:space="preserve"> </w:t>
            </w:r>
            <w:r w:rsidRPr="002A419E">
              <w:rPr>
                <w:i/>
                <w:sz w:val="16"/>
                <w:lang w:val="en-GB"/>
              </w:rPr>
              <w:t>Gardabani</w:t>
            </w:r>
          </w:p>
        </w:tc>
        <w:tc>
          <w:tcPr>
            <w:tcW w:w="1077" w:type="dxa"/>
            <w:tcBorders>
              <w:top w:val="single" w:sz="4" w:space="0" w:color="auto"/>
              <w:bottom w:val="single" w:sz="12" w:space="0" w:color="auto"/>
            </w:tcBorders>
            <w:shd w:val="clear" w:color="auto" w:fill="auto"/>
            <w:vAlign w:val="bottom"/>
          </w:tcPr>
          <w:p w:rsidR="00CE1EF3" w:rsidRPr="002A419E" w:rsidRDefault="00CE1EF3" w:rsidP="00595B53">
            <w:pPr>
              <w:suppressAutoHyphens w:val="0"/>
              <w:spacing w:before="80" w:after="80" w:line="200" w:lineRule="exact"/>
              <w:ind w:right="57"/>
              <w:jc w:val="right"/>
              <w:rPr>
                <w:i/>
                <w:sz w:val="16"/>
              </w:rPr>
            </w:pPr>
            <w:r w:rsidRPr="002A419E">
              <w:rPr>
                <w:i/>
                <w:sz w:val="16"/>
              </w:rPr>
              <w:t xml:space="preserve">District de </w:t>
            </w:r>
            <w:r w:rsidR="00595B53">
              <w:rPr>
                <w:i/>
                <w:sz w:val="16"/>
                <w:lang w:val="en-GB"/>
              </w:rPr>
              <w:t>Leninovka-</w:t>
            </w:r>
            <w:r w:rsidRPr="002A419E">
              <w:rPr>
                <w:i/>
                <w:sz w:val="16"/>
                <w:lang w:val="en-GB"/>
              </w:rPr>
              <w:t>Dedoplistskaro</w:t>
            </w:r>
          </w:p>
        </w:tc>
        <w:tc>
          <w:tcPr>
            <w:tcW w:w="851" w:type="dxa"/>
            <w:tcBorders>
              <w:top w:val="single" w:sz="4" w:space="0" w:color="auto"/>
              <w:bottom w:val="single" w:sz="12" w:space="0" w:color="auto"/>
            </w:tcBorders>
            <w:shd w:val="clear" w:color="auto" w:fill="auto"/>
            <w:vAlign w:val="bottom"/>
          </w:tcPr>
          <w:p w:rsidR="00CE1EF3" w:rsidRPr="002A419E" w:rsidRDefault="00CE1EF3" w:rsidP="00595B53">
            <w:pPr>
              <w:suppressAutoHyphens w:val="0"/>
              <w:spacing w:before="80" w:after="80" w:line="200" w:lineRule="exact"/>
              <w:ind w:right="57"/>
              <w:jc w:val="right"/>
              <w:rPr>
                <w:i/>
                <w:sz w:val="16"/>
              </w:rPr>
            </w:pPr>
            <w:r w:rsidRPr="002A419E">
              <w:rPr>
                <w:i/>
                <w:sz w:val="16"/>
              </w:rPr>
              <w:t>District de</w:t>
            </w:r>
            <w:r w:rsidR="00595B53">
              <w:rPr>
                <w:i/>
                <w:sz w:val="16"/>
              </w:rPr>
              <w:t xml:space="preserve"> </w:t>
            </w:r>
            <w:r w:rsidRPr="002A419E">
              <w:rPr>
                <w:i/>
                <w:sz w:val="16"/>
              </w:rPr>
              <w:t xml:space="preserve">Lilo </w:t>
            </w:r>
            <w:r w:rsidR="00595B53">
              <w:rPr>
                <w:i/>
                <w:sz w:val="16"/>
              </w:rPr>
              <w:t xml:space="preserve">près de </w:t>
            </w:r>
            <w:r w:rsidRPr="002A419E">
              <w:rPr>
                <w:i/>
                <w:sz w:val="16"/>
              </w:rPr>
              <w:t xml:space="preserve">Tbilissi </w:t>
            </w:r>
          </w:p>
        </w:tc>
        <w:tc>
          <w:tcPr>
            <w:tcW w:w="851" w:type="dxa"/>
            <w:tcBorders>
              <w:top w:val="single" w:sz="4" w:space="0" w:color="auto"/>
              <w:bottom w:val="single" w:sz="12" w:space="0" w:color="auto"/>
            </w:tcBorders>
            <w:shd w:val="clear" w:color="auto" w:fill="auto"/>
            <w:vAlign w:val="bottom"/>
          </w:tcPr>
          <w:p w:rsidR="00CE1EF3" w:rsidRPr="002A419E" w:rsidRDefault="00595B53" w:rsidP="00595B53">
            <w:pPr>
              <w:suppressAutoHyphens w:val="0"/>
              <w:spacing w:before="80" w:after="80" w:line="200" w:lineRule="exact"/>
              <w:ind w:right="57"/>
              <w:jc w:val="right"/>
              <w:rPr>
                <w:i/>
                <w:sz w:val="16"/>
              </w:rPr>
            </w:pPr>
            <w:r>
              <w:rPr>
                <w:i/>
                <w:sz w:val="16"/>
              </w:rPr>
              <w:t>District de Samgori-</w:t>
            </w:r>
            <w:r w:rsidR="00CE1EF3" w:rsidRPr="002A419E">
              <w:rPr>
                <w:i/>
                <w:sz w:val="16"/>
              </w:rPr>
              <w:t>Tbilissi</w:t>
            </w:r>
          </w:p>
        </w:tc>
        <w:tc>
          <w:tcPr>
            <w:tcW w:w="567" w:type="dxa"/>
            <w:tcBorders>
              <w:top w:val="single" w:sz="4" w:space="0" w:color="auto"/>
              <w:bottom w:val="single" w:sz="12" w:space="0" w:color="auto"/>
            </w:tcBorders>
            <w:shd w:val="clear" w:color="auto" w:fill="auto"/>
            <w:vAlign w:val="bottom"/>
          </w:tcPr>
          <w:p w:rsidR="00CE1EF3" w:rsidRPr="002A419E" w:rsidRDefault="00CE1EF3" w:rsidP="00595B53">
            <w:pPr>
              <w:suppressAutoHyphens w:val="0"/>
              <w:spacing w:before="80" w:after="80" w:line="200" w:lineRule="exact"/>
              <w:jc w:val="right"/>
              <w:rPr>
                <w:i/>
                <w:sz w:val="16"/>
              </w:rPr>
            </w:pPr>
            <w:r w:rsidRPr="002A419E">
              <w:rPr>
                <w:i/>
                <w:sz w:val="16"/>
              </w:rPr>
              <w:t>Kutaisi</w:t>
            </w:r>
          </w:p>
        </w:tc>
        <w:tc>
          <w:tcPr>
            <w:tcW w:w="567" w:type="dxa"/>
            <w:tcBorders>
              <w:top w:val="single" w:sz="4" w:space="0" w:color="auto"/>
              <w:bottom w:val="single" w:sz="12" w:space="0" w:color="auto"/>
            </w:tcBorders>
            <w:shd w:val="clear" w:color="auto" w:fill="auto"/>
            <w:vAlign w:val="bottom"/>
          </w:tcPr>
          <w:p w:rsidR="00CE1EF3" w:rsidRPr="002A419E" w:rsidRDefault="00CE1EF3" w:rsidP="00595B53">
            <w:pPr>
              <w:suppressAutoHyphens w:val="0"/>
              <w:spacing w:before="80" w:after="80" w:line="200" w:lineRule="exact"/>
              <w:jc w:val="right"/>
              <w:rPr>
                <w:i/>
                <w:sz w:val="16"/>
              </w:rPr>
            </w:pPr>
            <w:r w:rsidRPr="002A419E">
              <w:rPr>
                <w:i/>
                <w:sz w:val="16"/>
                <w:lang w:val="en-GB"/>
              </w:rPr>
              <w:t>Kobuleti</w:t>
            </w:r>
          </w:p>
        </w:tc>
        <w:tc>
          <w:tcPr>
            <w:tcW w:w="567" w:type="dxa"/>
            <w:tcBorders>
              <w:top w:val="single" w:sz="4" w:space="0" w:color="auto"/>
              <w:bottom w:val="single" w:sz="12" w:space="0" w:color="auto"/>
            </w:tcBorders>
            <w:shd w:val="clear" w:color="auto" w:fill="auto"/>
            <w:vAlign w:val="bottom"/>
          </w:tcPr>
          <w:p w:rsidR="00CE1EF3" w:rsidRPr="002A419E" w:rsidRDefault="00CE1EF3" w:rsidP="00595B53">
            <w:pPr>
              <w:suppressAutoHyphens w:val="0"/>
              <w:spacing w:before="80" w:after="80" w:line="200" w:lineRule="exact"/>
              <w:jc w:val="right"/>
              <w:rPr>
                <w:i/>
                <w:sz w:val="16"/>
              </w:rPr>
            </w:pPr>
            <w:r w:rsidRPr="002A419E">
              <w:rPr>
                <w:i/>
                <w:sz w:val="16"/>
              </w:rPr>
              <w:t>Batumi</w:t>
            </w:r>
          </w:p>
        </w:tc>
        <w:tc>
          <w:tcPr>
            <w:tcW w:w="567" w:type="dxa"/>
            <w:tcBorders>
              <w:top w:val="single" w:sz="4" w:space="0" w:color="auto"/>
              <w:bottom w:val="single" w:sz="12" w:space="0" w:color="auto"/>
            </w:tcBorders>
            <w:shd w:val="clear" w:color="auto" w:fill="auto"/>
            <w:vAlign w:val="bottom"/>
          </w:tcPr>
          <w:p w:rsidR="00CE1EF3" w:rsidRPr="002A419E" w:rsidRDefault="00CE1EF3" w:rsidP="00595B53">
            <w:pPr>
              <w:suppressAutoHyphens w:val="0"/>
              <w:spacing w:before="80" w:after="80" w:line="200" w:lineRule="exact"/>
              <w:jc w:val="right"/>
              <w:rPr>
                <w:i/>
                <w:sz w:val="16"/>
              </w:rPr>
            </w:pPr>
            <w:r w:rsidRPr="002A419E">
              <w:rPr>
                <w:i/>
                <w:sz w:val="16"/>
              </w:rPr>
              <w:t>Telavi</w:t>
            </w:r>
          </w:p>
        </w:tc>
      </w:tr>
      <w:tr w:rsidR="00595B53" w:rsidRPr="002A419E" w:rsidTr="00595B53">
        <w:tc>
          <w:tcPr>
            <w:tcW w:w="2098" w:type="dxa"/>
            <w:tcBorders>
              <w:top w:val="single" w:sz="12" w:space="0" w:color="auto"/>
            </w:tcBorders>
            <w:shd w:val="clear" w:color="auto" w:fill="auto"/>
          </w:tcPr>
          <w:p w:rsidR="00CE1EF3" w:rsidRPr="002A419E" w:rsidRDefault="00CE1EF3" w:rsidP="000773CC">
            <w:pPr>
              <w:keepNext/>
              <w:suppressAutoHyphens w:val="0"/>
              <w:spacing w:before="40" w:after="40" w:line="220" w:lineRule="exact"/>
              <w:rPr>
                <w:sz w:val="18"/>
              </w:rPr>
            </w:pPr>
            <w:r w:rsidRPr="002A419E">
              <w:rPr>
                <w:sz w:val="18"/>
              </w:rPr>
              <w:t>Nombre de familles</w:t>
            </w:r>
          </w:p>
        </w:tc>
        <w:tc>
          <w:tcPr>
            <w:tcW w:w="1077" w:type="dxa"/>
            <w:tcBorders>
              <w:top w:val="single" w:sz="12" w:space="0" w:color="auto"/>
            </w:tcBorders>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16</w:t>
            </w:r>
          </w:p>
        </w:tc>
        <w:tc>
          <w:tcPr>
            <w:tcW w:w="1077" w:type="dxa"/>
            <w:tcBorders>
              <w:top w:val="single" w:sz="12" w:space="0" w:color="auto"/>
            </w:tcBorders>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11</w:t>
            </w:r>
          </w:p>
        </w:tc>
        <w:tc>
          <w:tcPr>
            <w:tcW w:w="851" w:type="dxa"/>
            <w:tcBorders>
              <w:top w:val="single" w:sz="12" w:space="0" w:color="auto"/>
            </w:tcBorders>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3</w:t>
            </w:r>
          </w:p>
        </w:tc>
        <w:tc>
          <w:tcPr>
            <w:tcW w:w="851" w:type="dxa"/>
            <w:tcBorders>
              <w:top w:val="single" w:sz="12" w:space="0" w:color="auto"/>
            </w:tcBorders>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17</w:t>
            </w:r>
          </w:p>
        </w:tc>
        <w:tc>
          <w:tcPr>
            <w:tcW w:w="567" w:type="dxa"/>
            <w:tcBorders>
              <w:top w:val="single" w:sz="12" w:space="0" w:color="auto"/>
            </w:tcBorders>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6</w:t>
            </w:r>
          </w:p>
        </w:tc>
        <w:tc>
          <w:tcPr>
            <w:tcW w:w="567" w:type="dxa"/>
            <w:tcBorders>
              <w:top w:val="single" w:sz="12" w:space="0" w:color="auto"/>
            </w:tcBorders>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17</w:t>
            </w:r>
          </w:p>
        </w:tc>
        <w:tc>
          <w:tcPr>
            <w:tcW w:w="567" w:type="dxa"/>
            <w:tcBorders>
              <w:top w:val="single" w:sz="12" w:space="0" w:color="auto"/>
            </w:tcBorders>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3</w:t>
            </w:r>
          </w:p>
        </w:tc>
        <w:tc>
          <w:tcPr>
            <w:tcW w:w="567" w:type="dxa"/>
            <w:tcBorders>
              <w:top w:val="single" w:sz="12" w:space="0" w:color="auto"/>
            </w:tcBorders>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3</w:t>
            </w:r>
          </w:p>
        </w:tc>
      </w:tr>
      <w:tr w:rsidR="00595B53" w:rsidRPr="002A419E" w:rsidTr="00595B53">
        <w:tc>
          <w:tcPr>
            <w:tcW w:w="2098" w:type="dxa"/>
            <w:shd w:val="clear" w:color="auto" w:fill="auto"/>
          </w:tcPr>
          <w:p w:rsidR="00CE1EF3" w:rsidRPr="002A419E" w:rsidRDefault="00CE1EF3" w:rsidP="000773CC">
            <w:pPr>
              <w:suppressAutoHyphens w:val="0"/>
              <w:spacing w:before="40" w:after="40" w:line="220" w:lineRule="exact"/>
              <w:rPr>
                <w:sz w:val="18"/>
              </w:rPr>
            </w:pPr>
            <w:r w:rsidRPr="002A419E">
              <w:rPr>
                <w:sz w:val="18"/>
              </w:rPr>
              <w:t>Nombre d’individus</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122</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73</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31</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196</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45</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85</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14</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24</w:t>
            </w:r>
          </w:p>
        </w:tc>
      </w:tr>
      <w:tr w:rsidR="00595B53" w:rsidRPr="002A419E" w:rsidTr="00595B53">
        <w:tc>
          <w:tcPr>
            <w:tcW w:w="2098" w:type="dxa"/>
            <w:shd w:val="clear" w:color="auto" w:fill="auto"/>
          </w:tcPr>
          <w:p w:rsidR="00CE1EF3" w:rsidRPr="002A419E" w:rsidRDefault="00CE1EF3" w:rsidP="000773CC">
            <w:pPr>
              <w:suppressAutoHyphens w:val="0"/>
              <w:spacing w:before="40" w:after="40" w:line="220" w:lineRule="exact"/>
              <w:rPr>
                <w:sz w:val="18"/>
              </w:rPr>
            </w:pPr>
            <w:r w:rsidRPr="002A419E">
              <w:rPr>
                <w:sz w:val="18"/>
              </w:rPr>
              <w:t>Nombre d’adultes</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45</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29</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14</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138</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18</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25</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5</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4</w:t>
            </w:r>
          </w:p>
        </w:tc>
      </w:tr>
      <w:tr w:rsidR="00595B53" w:rsidRPr="002A419E" w:rsidTr="00595B53">
        <w:tc>
          <w:tcPr>
            <w:tcW w:w="2098" w:type="dxa"/>
            <w:shd w:val="clear" w:color="auto" w:fill="auto"/>
          </w:tcPr>
          <w:p w:rsidR="00CE1EF3" w:rsidRPr="002A419E" w:rsidRDefault="00CE1EF3" w:rsidP="000773CC">
            <w:pPr>
              <w:suppressAutoHyphens w:val="0"/>
              <w:spacing w:before="40" w:after="40" w:line="220" w:lineRule="exact"/>
              <w:rPr>
                <w:sz w:val="18"/>
              </w:rPr>
            </w:pPr>
            <w:r w:rsidRPr="002A419E">
              <w:rPr>
                <w:sz w:val="18"/>
              </w:rPr>
              <w:t>Nombre d’enfants</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77</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44</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17</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58</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27</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60</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9</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20</w:t>
            </w:r>
          </w:p>
        </w:tc>
      </w:tr>
      <w:tr w:rsidR="00595B53" w:rsidRPr="002A419E" w:rsidTr="00595B53">
        <w:tc>
          <w:tcPr>
            <w:tcW w:w="2098" w:type="dxa"/>
            <w:shd w:val="clear" w:color="auto" w:fill="auto"/>
          </w:tcPr>
          <w:p w:rsidR="00CE1EF3" w:rsidRPr="002A419E" w:rsidRDefault="00CE1EF3" w:rsidP="000773CC">
            <w:pPr>
              <w:suppressAutoHyphens w:val="0"/>
              <w:spacing w:before="40" w:after="40" w:line="220" w:lineRule="exact"/>
              <w:rPr>
                <w:sz w:val="18"/>
              </w:rPr>
            </w:pPr>
            <w:r w:rsidRPr="002A419E">
              <w:rPr>
                <w:sz w:val="18"/>
              </w:rPr>
              <w:t>Nombre d’adultes ayant</w:t>
            </w:r>
            <w:r w:rsidR="00595B53">
              <w:rPr>
                <w:sz w:val="18"/>
              </w:rPr>
              <w:br/>
            </w:r>
            <w:r w:rsidRPr="002A419E">
              <w:rPr>
                <w:sz w:val="18"/>
              </w:rPr>
              <w:t>des papiers d’identité</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23</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29</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9</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138</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18</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21</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2</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0</w:t>
            </w:r>
          </w:p>
        </w:tc>
      </w:tr>
      <w:tr w:rsidR="00595B53" w:rsidRPr="002A419E" w:rsidTr="00595B53">
        <w:tc>
          <w:tcPr>
            <w:tcW w:w="2098" w:type="dxa"/>
            <w:shd w:val="clear" w:color="auto" w:fill="auto"/>
          </w:tcPr>
          <w:p w:rsidR="00CE1EF3" w:rsidRPr="002A419E" w:rsidRDefault="00CE1EF3" w:rsidP="000773CC">
            <w:pPr>
              <w:suppressAutoHyphens w:val="0"/>
              <w:spacing w:before="40" w:after="40" w:line="220" w:lineRule="exact"/>
              <w:rPr>
                <w:sz w:val="18"/>
              </w:rPr>
            </w:pPr>
            <w:r w:rsidRPr="002A419E">
              <w:rPr>
                <w:sz w:val="18"/>
              </w:rPr>
              <w:t>Nombre d’enfants ayant</w:t>
            </w:r>
            <w:r w:rsidR="00595B53">
              <w:rPr>
                <w:sz w:val="18"/>
              </w:rPr>
              <w:br/>
            </w:r>
            <w:r w:rsidRPr="002A419E">
              <w:rPr>
                <w:sz w:val="18"/>
              </w:rPr>
              <w:t>des papiers d’identité</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29</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41</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9</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58</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27</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59</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0</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0</w:t>
            </w:r>
          </w:p>
        </w:tc>
      </w:tr>
      <w:tr w:rsidR="00595B53" w:rsidRPr="002A419E" w:rsidTr="00595B53">
        <w:tc>
          <w:tcPr>
            <w:tcW w:w="2098" w:type="dxa"/>
            <w:shd w:val="clear" w:color="auto" w:fill="auto"/>
          </w:tcPr>
          <w:p w:rsidR="00CE1EF3" w:rsidRPr="002A419E" w:rsidRDefault="00CE1EF3" w:rsidP="000773CC">
            <w:pPr>
              <w:suppressAutoHyphens w:val="0"/>
              <w:spacing w:before="40" w:after="40" w:line="220" w:lineRule="exact"/>
              <w:rPr>
                <w:sz w:val="18"/>
              </w:rPr>
            </w:pPr>
            <w:r w:rsidRPr="002A419E">
              <w:rPr>
                <w:sz w:val="18"/>
              </w:rPr>
              <w:t>Nombre d’enfants d’âge scolaire</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18</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16</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12</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15</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10</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14</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5</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15</w:t>
            </w:r>
          </w:p>
        </w:tc>
      </w:tr>
      <w:tr w:rsidR="00595B53" w:rsidRPr="002A419E" w:rsidTr="00595B53">
        <w:tc>
          <w:tcPr>
            <w:tcW w:w="2098" w:type="dxa"/>
            <w:shd w:val="clear" w:color="auto" w:fill="auto"/>
          </w:tcPr>
          <w:p w:rsidR="00CE1EF3" w:rsidRPr="002A419E" w:rsidRDefault="00CE1EF3" w:rsidP="000773CC">
            <w:pPr>
              <w:suppressAutoHyphens w:val="0"/>
              <w:spacing w:before="40" w:after="40" w:line="220" w:lineRule="exact"/>
              <w:rPr>
                <w:sz w:val="18"/>
              </w:rPr>
            </w:pPr>
            <w:r w:rsidRPr="002A419E">
              <w:rPr>
                <w:sz w:val="18"/>
              </w:rPr>
              <w:t>Nombre d’enfants scolarisés</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5</w:t>
            </w:r>
          </w:p>
        </w:tc>
        <w:tc>
          <w:tcPr>
            <w:tcW w:w="1077"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9</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0</w:t>
            </w:r>
          </w:p>
        </w:tc>
        <w:tc>
          <w:tcPr>
            <w:tcW w:w="851" w:type="dxa"/>
            <w:shd w:val="clear" w:color="auto" w:fill="auto"/>
            <w:vAlign w:val="bottom"/>
          </w:tcPr>
          <w:p w:rsidR="00CE1EF3" w:rsidRPr="002A419E" w:rsidRDefault="00CE1EF3" w:rsidP="00595B53">
            <w:pPr>
              <w:suppressAutoHyphens w:val="0"/>
              <w:spacing w:before="40" w:after="40" w:line="220" w:lineRule="exact"/>
              <w:ind w:right="57"/>
              <w:jc w:val="right"/>
              <w:rPr>
                <w:sz w:val="18"/>
              </w:rPr>
            </w:pPr>
            <w:r w:rsidRPr="002A419E">
              <w:rPr>
                <w:sz w:val="18"/>
              </w:rPr>
              <w:t>0</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10</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3</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0</w:t>
            </w:r>
          </w:p>
        </w:tc>
        <w:tc>
          <w:tcPr>
            <w:tcW w:w="567" w:type="dxa"/>
            <w:shd w:val="clear" w:color="auto" w:fill="auto"/>
            <w:vAlign w:val="bottom"/>
          </w:tcPr>
          <w:p w:rsidR="00CE1EF3" w:rsidRPr="002A419E" w:rsidRDefault="00CE1EF3" w:rsidP="00595B53">
            <w:pPr>
              <w:suppressAutoHyphens w:val="0"/>
              <w:spacing w:before="40" w:after="40" w:line="220" w:lineRule="exact"/>
              <w:jc w:val="right"/>
              <w:rPr>
                <w:sz w:val="18"/>
              </w:rPr>
            </w:pPr>
            <w:r w:rsidRPr="002A419E">
              <w:rPr>
                <w:sz w:val="18"/>
              </w:rPr>
              <w:t>0</w:t>
            </w:r>
          </w:p>
        </w:tc>
      </w:tr>
    </w:tbl>
    <w:p w:rsidR="00595B53" w:rsidRDefault="00595B53" w:rsidP="00CE1EF3">
      <w:pPr>
        <w:pStyle w:val="SingleTxtG"/>
      </w:pPr>
    </w:p>
    <w:p w:rsidR="00CE1EF3" w:rsidRPr="00595B53" w:rsidRDefault="00595B53" w:rsidP="00595B53">
      <w:pPr>
        <w:pStyle w:val="SingleTxtG"/>
        <w:spacing w:after="0" w:line="240" w:lineRule="auto"/>
        <w:rPr>
          <w:sz w:val="4"/>
          <w:szCs w:val="4"/>
        </w:rPr>
      </w:pPr>
      <w:r>
        <w:br w:type="page"/>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33"/>
        <w:gridCol w:w="1110"/>
        <w:gridCol w:w="1110"/>
        <w:gridCol w:w="1110"/>
        <w:gridCol w:w="1052"/>
        <w:gridCol w:w="1168"/>
        <w:gridCol w:w="1052"/>
        <w:gridCol w:w="1052"/>
        <w:gridCol w:w="1052"/>
      </w:tblGrid>
      <w:tr w:rsidR="00CE1EF3" w:rsidRPr="00832ECB" w:rsidTr="00CA426B">
        <w:trPr>
          <w:cantSplit/>
          <w:tblHeader/>
        </w:trPr>
        <w:tc>
          <w:tcPr>
            <w:tcW w:w="907" w:type="dxa"/>
            <w:tcBorders>
              <w:top w:val="single" w:sz="4" w:space="0" w:color="auto"/>
              <w:bottom w:val="single" w:sz="12" w:space="0" w:color="auto"/>
            </w:tcBorders>
            <w:shd w:val="clear" w:color="auto" w:fill="auto"/>
            <w:vAlign w:val="bottom"/>
          </w:tcPr>
          <w:p w:rsidR="00CE1EF3" w:rsidRPr="00832ECB" w:rsidRDefault="00CE1EF3" w:rsidP="00CA426B">
            <w:pPr>
              <w:suppressAutoHyphens w:val="0"/>
              <w:spacing w:before="80" w:after="80" w:line="200" w:lineRule="exact"/>
              <w:ind w:right="113"/>
              <w:rPr>
                <w:i/>
                <w:sz w:val="14"/>
                <w:szCs w:val="14"/>
              </w:rPr>
            </w:pPr>
            <w:r w:rsidRPr="00832ECB">
              <w:rPr>
                <w:i/>
                <w:sz w:val="14"/>
                <w:szCs w:val="14"/>
              </w:rPr>
              <w:t>Type de revenu</w:t>
            </w:r>
          </w:p>
        </w:tc>
        <w:tc>
          <w:tcPr>
            <w:tcW w:w="1077" w:type="dxa"/>
            <w:tcBorders>
              <w:top w:val="single" w:sz="4" w:space="0" w:color="auto"/>
              <w:bottom w:val="single" w:sz="12" w:space="0" w:color="auto"/>
            </w:tcBorders>
            <w:shd w:val="clear" w:color="auto" w:fill="auto"/>
            <w:vAlign w:val="bottom"/>
          </w:tcPr>
          <w:p w:rsidR="00CE1EF3" w:rsidRPr="00832ECB" w:rsidRDefault="00CE1EF3" w:rsidP="00CA426B">
            <w:pPr>
              <w:suppressAutoHyphens w:val="0"/>
              <w:spacing w:before="80" w:after="80" w:line="200" w:lineRule="exact"/>
              <w:ind w:right="113"/>
              <w:rPr>
                <w:i/>
                <w:sz w:val="14"/>
                <w:szCs w:val="14"/>
              </w:rPr>
            </w:pPr>
            <w:r>
              <w:rPr>
                <w:i/>
                <w:sz w:val="14"/>
                <w:szCs w:val="14"/>
              </w:rPr>
              <w:t>Mendicité</w:t>
            </w:r>
            <w:r w:rsidR="00CA426B">
              <w:rPr>
                <w:i/>
                <w:sz w:val="14"/>
                <w:szCs w:val="14"/>
              </w:rPr>
              <w:br/>
            </w:r>
            <w:r w:rsidRPr="00832ECB">
              <w:rPr>
                <w:i/>
                <w:sz w:val="14"/>
                <w:szCs w:val="14"/>
              </w:rPr>
              <w:t>petit</w:t>
            </w:r>
            <w:r w:rsidR="00CA426B">
              <w:rPr>
                <w:i/>
                <w:sz w:val="14"/>
                <w:szCs w:val="14"/>
              </w:rPr>
              <w:t xml:space="preserve"> </w:t>
            </w:r>
            <w:r w:rsidRPr="00832ECB">
              <w:rPr>
                <w:i/>
                <w:sz w:val="14"/>
                <w:szCs w:val="14"/>
              </w:rPr>
              <w:t>commerce</w:t>
            </w:r>
          </w:p>
        </w:tc>
        <w:tc>
          <w:tcPr>
            <w:tcW w:w="1077" w:type="dxa"/>
            <w:tcBorders>
              <w:top w:val="single" w:sz="4" w:space="0" w:color="auto"/>
              <w:bottom w:val="single" w:sz="12" w:space="0" w:color="auto"/>
            </w:tcBorders>
            <w:shd w:val="clear" w:color="auto" w:fill="auto"/>
            <w:vAlign w:val="bottom"/>
          </w:tcPr>
          <w:p w:rsidR="00CE1EF3" w:rsidRPr="00832ECB" w:rsidRDefault="00CE1EF3" w:rsidP="00CA426B">
            <w:pPr>
              <w:suppressAutoHyphens w:val="0"/>
              <w:spacing w:before="80" w:after="80" w:line="200" w:lineRule="exact"/>
              <w:ind w:right="113"/>
              <w:rPr>
                <w:i/>
                <w:sz w:val="14"/>
                <w:szCs w:val="14"/>
              </w:rPr>
            </w:pPr>
            <w:r w:rsidRPr="00832ECB">
              <w:rPr>
                <w:i/>
                <w:sz w:val="14"/>
                <w:szCs w:val="14"/>
              </w:rPr>
              <w:t>Agriculture, mendicité,</w:t>
            </w:r>
            <w:r w:rsidR="00CA426B">
              <w:rPr>
                <w:i/>
                <w:sz w:val="14"/>
                <w:szCs w:val="14"/>
              </w:rPr>
              <w:br/>
            </w:r>
            <w:r w:rsidRPr="00832ECB">
              <w:rPr>
                <w:i/>
                <w:sz w:val="14"/>
                <w:szCs w:val="14"/>
              </w:rPr>
              <w:t>petit commerce</w:t>
            </w:r>
          </w:p>
        </w:tc>
        <w:tc>
          <w:tcPr>
            <w:tcW w:w="1077" w:type="dxa"/>
            <w:tcBorders>
              <w:top w:val="single" w:sz="4" w:space="0" w:color="auto"/>
              <w:bottom w:val="single" w:sz="12" w:space="0" w:color="auto"/>
            </w:tcBorders>
            <w:shd w:val="clear" w:color="auto" w:fill="auto"/>
            <w:vAlign w:val="bottom"/>
          </w:tcPr>
          <w:p w:rsidR="00CE1EF3" w:rsidRPr="00832ECB" w:rsidRDefault="00CE1EF3" w:rsidP="00CA426B">
            <w:pPr>
              <w:suppressAutoHyphens w:val="0"/>
              <w:spacing w:before="80" w:after="80" w:line="200" w:lineRule="exact"/>
              <w:ind w:right="113"/>
              <w:rPr>
                <w:i/>
                <w:sz w:val="14"/>
                <w:szCs w:val="14"/>
              </w:rPr>
            </w:pPr>
            <w:r>
              <w:rPr>
                <w:i/>
                <w:sz w:val="14"/>
                <w:szCs w:val="14"/>
              </w:rPr>
              <w:t>Petit</w:t>
            </w:r>
            <w:r w:rsidR="00CA426B">
              <w:rPr>
                <w:i/>
                <w:sz w:val="14"/>
                <w:szCs w:val="14"/>
              </w:rPr>
              <w:t xml:space="preserve"> </w:t>
            </w:r>
            <w:r w:rsidRPr="00832ECB">
              <w:rPr>
                <w:i/>
                <w:sz w:val="14"/>
                <w:szCs w:val="14"/>
              </w:rPr>
              <w:t>commerce</w:t>
            </w:r>
          </w:p>
        </w:tc>
        <w:tc>
          <w:tcPr>
            <w:tcW w:w="1021" w:type="dxa"/>
            <w:tcBorders>
              <w:top w:val="single" w:sz="4" w:space="0" w:color="auto"/>
              <w:bottom w:val="single" w:sz="12" w:space="0" w:color="auto"/>
            </w:tcBorders>
            <w:shd w:val="clear" w:color="auto" w:fill="auto"/>
            <w:vAlign w:val="bottom"/>
          </w:tcPr>
          <w:p w:rsidR="00CE1EF3" w:rsidRPr="00832ECB" w:rsidRDefault="00CE1EF3" w:rsidP="00CA426B">
            <w:pPr>
              <w:suppressAutoHyphens w:val="0"/>
              <w:spacing w:before="80" w:after="80" w:line="200" w:lineRule="exact"/>
              <w:ind w:right="113"/>
              <w:rPr>
                <w:i/>
                <w:sz w:val="14"/>
                <w:szCs w:val="14"/>
              </w:rPr>
            </w:pPr>
            <w:r>
              <w:rPr>
                <w:i/>
                <w:sz w:val="14"/>
                <w:szCs w:val="14"/>
              </w:rPr>
              <w:t>Petit</w:t>
            </w:r>
            <w:r w:rsidR="00CA426B">
              <w:rPr>
                <w:i/>
                <w:sz w:val="14"/>
                <w:szCs w:val="14"/>
              </w:rPr>
              <w:t xml:space="preserve"> </w:t>
            </w:r>
            <w:r w:rsidRPr="00832ECB">
              <w:rPr>
                <w:i/>
                <w:sz w:val="14"/>
                <w:szCs w:val="14"/>
              </w:rPr>
              <w:t>commerce, mendicité</w:t>
            </w:r>
          </w:p>
        </w:tc>
        <w:tc>
          <w:tcPr>
            <w:tcW w:w="1134" w:type="dxa"/>
            <w:tcBorders>
              <w:top w:val="single" w:sz="4" w:space="0" w:color="auto"/>
              <w:bottom w:val="single" w:sz="12" w:space="0" w:color="auto"/>
            </w:tcBorders>
            <w:shd w:val="clear" w:color="auto" w:fill="auto"/>
            <w:vAlign w:val="bottom"/>
          </w:tcPr>
          <w:p w:rsidR="00CE1EF3" w:rsidRPr="00832ECB" w:rsidRDefault="00CE1EF3" w:rsidP="00CA426B">
            <w:pPr>
              <w:suppressAutoHyphens w:val="0"/>
              <w:spacing w:before="80" w:after="80" w:line="200" w:lineRule="exact"/>
              <w:ind w:right="113"/>
              <w:rPr>
                <w:i/>
                <w:sz w:val="14"/>
                <w:szCs w:val="14"/>
              </w:rPr>
            </w:pPr>
            <w:r>
              <w:rPr>
                <w:i/>
                <w:sz w:val="14"/>
                <w:szCs w:val="14"/>
              </w:rPr>
              <w:t>Petit</w:t>
            </w:r>
            <w:r w:rsidR="00CA426B">
              <w:rPr>
                <w:i/>
                <w:sz w:val="14"/>
                <w:szCs w:val="14"/>
              </w:rPr>
              <w:t xml:space="preserve"> </w:t>
            </w:r>
            <w:r w:rsidRPr="00832ECB">
              <w:rPr>
                <w:i/>
                <w:sz w:val="14"/>
                <w:szCs w:val="14"/>
              </w:rPr>
              <w:t>commerce, mendicité</w:t>
            </w:r>
          </w:p>
        </w:tc>
        <w:tc>
          <w:tcPr>
            <w:tcW w:w="1021" w:type="dxa"/>
            <w:tcBorders>
              <w:top w:val="single" w:sz="4" w:space="0" w:color="auto"/>
              <w:bottom w:val="single" w:sz="12" w:space="0" w:color="auto"/>
            </w:tcBorders>
            <w:shd w:val="clear" w:color="auto" w:fill="auto"/>
            <w:vAlign w:val="bottom"/>
          </w:tcPr>
          <w:p w:rsidR="00CE1EF3" w:rsidRPr="00832ECB" w:rsidRDefault="00CE1EF3" w:rsidP="00CA426B">
            <w:pPr>
              <w:suppressAutoHyphens w:val="0"/>
              <w:spacing w:before="80" w:after="80" w:line="200" w:lineRule="exact"/>
              <w:ind w:right="113"/>
              <w:rPr>
                <w:i/>
                <w:sz w:val="14"/>
                <w:szCs w:val="14"/>
              </w:rPr>
            </w:pPr>
            <w:r w:rsidRPr="00832ECB">
              <w:rPr>
                <w:i/>
                <w:sz w:val="14"/>
                <w:szCs w:val="14"/>
              </w:rPr>
              <w:t>Pe</w:t>
            </w:r>
            <w:r>
              <w:rPr>
                <w:i/>
                <w:sz w:val="14"/>
                <w:szCs w:val="14"/>
              </w:rPr>
              <w:t>tit</w:t>
            </w:r>
            <w:r w:rsidR="00CA426B">
              <w:rPr>
                <w:i/>
                <w:sz w:val="14"/>
                <w:szCs w:val="14"/>
              </w:rPr>
              <w:t xml:space="preserve"> </w:t>
            </w:r>
            <w:r w:rsidRPr="00832ECB">
              <w:rPr>
                <w:i/>
                <w:sz w:val="14"/>
                <w:szCs w:val="14"/>
              </w:rPr>
              <w:t>commerce</w:t>
            </w:r>
          </w:p>
        </w:tc>
        <w:tc>
          <w:tcPr>
            <w:tcW w:w="1021" w:type="dxa"/>
            <w:tcBorders>
              <w:top w:val="single" w:sz="4" w:space="0" w:color="auto"/>
              <w:bottom w:val="single" w:sz="12" w:space="0" w:color="auto"/>
            </w:tcBorders>
            <w:shd w:val="clear" w:color="auto" w:fill="auto"/>
            <w:vAlign w:val="bottom"/>
          </w:tcPr>
          <w:p w:rsidR="00CE1EF3" w:rsidRPr="00832ECB" w:rsidRDefault="00CE1EF3" w:rsidP="00CA426B">
            <w:pPr>
              <w:suppressAutoHyphens w:val="0"/>
              <w:spacing w:before="80" w:after="80" w:line="200" w:lineRule="exact"/>
              <w:ind w:right="113"/>
              <w:rPr>
                <w:i/>
                <w:sz w:val="14"/>
                <w:szCs w:val="14"/>
              </w:rPr>
            </w:pPr>
            <w:r w:rsidRPr="00832ECB">
              <w:rPr>
                <w:i/>
                <w:sz w:val="14"/>
                <w:szCs w:val="14"/>
              </w:rPr>
              <w:t>Petit commerce, mendicité</w:t>
            </w:r>
          </w:p>
        </w:tc>
        <w:tc>
          <w:tcPr>
            <w:tcW w:w="1021" w:type="dxa"/>
            <w:tcBorders>
              <w:top w:val="single" w:sz="4" w:space="0" w:color="auto"/>
              <w:bottom w:val="single" w:sz="12" w:space="0" w:color="auto"/>
            </w:tcBorders>
            <w:shd w:val="clear" w:color="auto" w:fill="auto"/>
            <w:vAlign w:val="bottom"/>
          </w:tcPr>
          <w:p w:rsidR="00CE1EF3" w:rsidRPr="00832ECB" w:rsidRDefault="00CE1EF3" w:rsidP="00CA426B">
            <w:pPr>
              <w:suppressAutoHyphens w:val="0"/>
              <w:spacing w:before="80" w:after="80" w:line="200" w:lineRule="exact"/>
              <w:rPr>
                <w:i/>
                <w:sz w:val="14"/>
                <w:szCs w:val="14"/>
              </w:rPr>
            </w:pPr>
            <w:r w:rsidRPr="00832ECB">
              <w:rPr>
                <w:i/>
                <w:sz w:val="14"/>
                <w:szCs w:val="14"/>
              </w:rPr>
              <w:t>Mendicité</w:t>
            </w:r>
          </w:p>
        </w:tc>
      </w:tr>
      <w:tr w:rsidR="00CE1EF3" w:rsidRPr="009149BB" w:rsidTr="00CA426B">
        <w:trPr>
          <w:cantSplit/>
          <w:trHeight w:hRule="exact" w:val="113"/>
          <w:tblHeader/>
        </w:trPr>
        <w:tc>
          <w:tcPr>
            <w:tcW w:w="907" w:type="dxa"/>
            <w:tcBorders>
              <w:top w:val="single" w:sz="12" w:space="0" w:color="auto"/>
              <w:bottom w:val="nil"/>
            </w:tcBorders>
            <w:shd w:val="clear" w:color="auto" w:fill="auto"/>
          </w:tcPr>
          <w:p w:rsidR="00CE1EF3" w:rsidRPr="00832ECB" w:rsidRDefault="00CE1EF3" w:rsidP="000773CC">
            <w:pPr>
              <w:suppressAutoHyphens w:val="0"/>
              <w:spacing w:before="40" w:after="80" w:line="220" w:lineRule="exact"/>
              <w:ind w:right="113"/>
              <w:rPr>
                <w:sz w:val="16"/>
                <w:szCs w:val="16"/>
              </w:rPr>
            </w:pPr>
          </w:p>
        </w:tc>
        <w:tc>
          <w:tcPr>
            <w:tcW w:w="1077" w:type="dxa"/>
            <w:tcBorders>
              <w:top w:val="single" w:sz="12" w:space="0" w:color="auto"/>
              <w:bottom w:val="nil"/>
            </w:tcBorders>
            <w:shd w:val="clear" w:color="auto" w:fill="auto"/>
          </w:tcPr>
          <w:p w:rsidR="00CE1EF3" w:rsidRPr="00832ECB" w:rsidRDefault="00CE1EF3" w:rsidP="000773CC">
            <w:pPr>
              <w:suppressAutoHyphens w:val="0"/>
              <w:spacing w:before="40" w:after="80" w:line="220" w:lineRule="exact"/>
              <w:ind w:right="113"/>
              <w:rPr>
                <w:sz w:val="16"/>
                <w:szCs w:val="16"/>
              </w:rPr>
            </w:pPr>
          </w:p>
        </w:tc>
        <w:tc>
          <w:tcPr>
            <w:tcW w:w="1077" w:type="dxa"/>
            <w:tcBorders>
              <w:top w:val="single" w:sz="12" w:space="0" w:color="auto"/>
              <w:bottom w:val="nil"/>
            </w:tcBorders>
            <w:shd w:val="clear" w:color="auto" w:fill="auto"/>
          </w:tcPr>
          <w:p w:rsidR="00CE1EF3" w:rsidRPr="00832ECB" w:rsidRDefault="00CE1EF3" w:rsidP="000773CC">
            <w:pPr>
              <w:suppressAutoHyphens w:val="0"/>
              <w:spacing w:before="40" w:after="80" w:line="220" w:lineRule="exact"/>
              <w:ind w:right="113"/>
              <w:rPr>
                <w:sz w:val="16"/>
                <w:szCs w:val="16"/>
              </w:rPr>
            </w:pPr>
          </w:p>
        </w:tc>
        <w:tc>
          <w:tcPr>
            <w:tcW w:w="1077" w:type="dxa"/>
            <w:tcBorders>
              <w:top w:val="single" w:sz="12" w:space="0" w:color="auto"/>
              <w:bottom w:val="nil"/>
            </w:tcBorders>
            <w:shd w:val="clear" w:color="auto" w:fill="auto"/>
          </w:tcPr>
          <w:p w:rsidR="00CE1EF3" w:rsidRDefault="00CE1EF3" w:rsidP="000773CC">
            <w:pPr>
              <w:suppressAutoHyphens w:val="0"/>
              <w:spacing w:before="40" w:after="80" w:line="220" w:lineRule="exact"/>
              <w:ind w:right="113"/>
              <w:rPr>
                <w:sz w:val="16"/>
                <w:szCs w:val="16"/>
              </w:rPr>
            </w:pPr>
          </w:p>
        </w:tc>
        <w:tc>
          <w:tcPr>
            <w:tcW w:w="1021" w:type="dxa"/>
            <w:tcBorders>
              <w:top w:val="single" w:sz="12" w:space="0" w:color="auto"/>
              <w:bottom w:val="nil"/>
            </w:tcBorders>
            <w:shd w:val="clear" w:color="auto" w:fill="auto"/>
          </w:tcPr>
          <w:p w:rsidR="00CE1EF3" w:rsidRDefault="00CE1EF3" w:rsidP="000773CC">
            <w:pPr>
              <w:suppressAutoHyphens w:val="0"/>
              <w:spacing w:before="40" w:after="80" w:line="220" w:lineRule="exact"/>
              <w:ind w:right="113"/>
              <w:rPr>
                <w:sz w:val="16"/>
                <w:szCs w:val="16"/>
              </w:rPr>
            </w:pPr>
          </w:p>
        </w:tc>
        <w:tc>
          <w:tcPr>
            <w:tcW w:w="1134" w:type="dxa"/>
            <w:tcBorders>
              <w:top w:val="single" w:sz="12" w:space="0" w:color="auto"/>
              <w:bottom w:val="nil"/>
            </w:tcBorders>
            <w:shd w:val="clear" w:color="auto" w:fill="auto"/>
          </w:tcPr>
          <w:p w:rsidR="00CE1EF3" w:rsidRPr="00832ECB" w:rsidRDefault="00CE1EF3" w:rsidP="000773CC">
            <w:pPr>
              <w:suppressAutoHyphens w:val="0"/>
              <w:spacing w:before="40" w:after="80" w:line="220" w:lineRule="exact"/>
              <w:ind w:right="113"/>
              <w:rPr>
                <w:sz w:val="16"/>
                <w:szCs w:val="16"/>
              </w:rPr>
            </w:pPr>
          </w:p>
        </w:tc>
        <w:tc>
          <w:tcPr>
            <w:tcW w:w="1021" w:type="dxa"/>
            <w:tcBorders>
              <w:top w:val="single" w:sz="12" w:space="0" w:color="auto"/>
              <w:bottom w:val="nil"/>
            </w:tcBorders>
            <w:shd w:val="clear" w:color="auto" w:fill="auto"/>
          </w:tcPr>
          <w:p w:rsidR="00CE1EF3" w:rsidRPr="00832ECB" w:rsidRDefault="00CE1EF3" w:rsidP="000773CC">
            <w:pPr>
              <w:suppressAutoHyphens w:val="0"/>
              <w:spacing w:before="40" w:after="80" w:line="220" w:lineRule="exact"/>
              <w:ind w:right="113"/>
              <w:rPr>
                <w:sz w:val="16"/>
                <w:szCs w:val="16"/>
              </w:rPr>
            </w:pPr>
          </w:p>
        </w:tc>
        <w:tc>
          <w:tcPr>
            <w:tcW w:w="1021" w:type="dxa"/>
            <w:tcBorders>
              <w:top w:val="single" w:sz="12" w:space="0" w:color="auto"/>
              <w:bottom w:val="nil"/>
            </w:tcBorders>
            <w:shd w:val="clear" w:color="auto" w:fill="auto"/>
          </w:tcPr>
          <w:p w:rsidR="00CE1EF3" w:rsidRDefault="00CE1EF3" w:rsidP="000773CC">
            <w:pPr>
              <w:suppressAutoHyphens w:val="0"/>
              <w:spacing w:before="40" w:after="80" w:line="220" w:lineRule="exact"/>
              <w:ind w:right="113"/>
              <w:rPr>
                <w:sz w:val="16"/>
                <w:szCs w:val="16"/>
              </w:rPr>
            </w:pPr>
          </w:p>
        </w:tc>
        <w:tc>
          <w:tcPr>
            <w:tcW w:w="1021" w:type="dxa"/>
            <w:tcBorders>
              <w:top w:val="single" w:sz="12" w:space="0" w:color="auto"/>
              <w:bottom w:val="nil"/>
            </w:tcBorders>
            <w:shd w:val="clear" w:color="auto" w:fill="auto"/>
          </w:tcPr>
          <w:p w:rsidR="00CE1EF3" w:rsidRDefault="00CE1EF3" w:rsidP="000773CC">
            <w:pPr>
              <w:suppressAutoHyphens w:val="0"/>
              <w:spacing w:before="40" w:after="80" w:line="220" w:lineRule="exact"/>
              <w:rPr>
                <w:sz w:val="16"/>
                <w:szCs w:val="16"/>
              </w:rPr>
            </w:pPr>
          </w:p>
        </w:tc>
      </w:tr>
      <w:tr w:rsidR="00CE1EF3" w:rsidRPr="00CA426B" w:rsidTr="00CA426B">
        <w:trPr>
          <w:cantSplit/>
        </w:trPr>
        <w:tc>
          <w:tcPr>
            <w:tcW w:w="907" w:type="dxa"/>
            <w:tcBorders>
              <w:top w:val="nil"/>
            </w:tcBorders>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Type de logement</w:t>
            </w:r>
          </w:p>
        </w:tc>
        <w:tc>
          <w:tcPr>
            <w:tcW w:w="1077" w:type="dxa"/>
            <w:tcBorders>
              <w:top w:val="nil"/>
            </w:tcBorders>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Maison appartenant à ses occupants</w:t>
            </w:r>
          </w:p>
        </w:tc>
        <w:tc>
          <w:tcPr>
            <w:tcW w:w="1077" w:type="dxa"/>
            <w:tcBorders>
              <w:top w:val="nil"/>
            </w:tcBorders>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Maison appartenant à ses occupants</w:t>
            </w:r>
          </w:p>
        </w:tc>
        <w:tc>
          <w:tcPr>
            <w:tcW w:w="1077" w:type="dxa"/>
            <w:tcBorders>
              <w:top w:val="nil"/>
            </w:tcBorders>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Abri temporaire, tente</w:t>
            </w:r>
          </w:p>
        </w:tc>
        <w:tc>
          <w:tcPr>
            <w:tcW w:w="1021" w:type="dxa"/>
            <w:tcBorders>
              <w:top w:val="nil"/>
            </w:tcBorders>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Maison/ appartement loué</w:t>
            </w:r>
          </w:p>
        </w:tc>
        <w:tc>
          <w:tcPr>
            <w:tcW w:w="1134" w:type="dxa"/>
            <w:tcBorders>
              <w:top w:val="nil"/>
            </w:tcBorders>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Maison/ appartement appartenant à ses occupants</w:t>
            </w:r>
          </w:p>
        </w:tc>
        <w:tc>
          <w:tcPr>
            <w:tcW w:w="1021" w:type="dxa"/>
            <w:tcBorders>
              <w:top w:val="nil"/>
            </w:tcBorders>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Maison appartenant à ses occupants</w:t>
            </w:r>
          </w:p>
        </w:tc>
        <w:tc>
          <w:tcPr>
            <w:tcW w:w="1021" w:type="dxa"/>
            <w:tcBorders>
              <w:top w:val="nil"/>
            </w:tcBorders>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Maison louée</w:t>
            </w:r>
          </w:p>
        </w:tc>
        <w:tc>
          <w:tcPr>
            <w:tcW w:w="1021" w:type="dxa"/>
            <w:tcBorders>
              <w:top w:val="nil"/>
            </w:tcBorders>
            <w:shd w:val="clear" w:color="auto" w:fill="auto"/>
          </w:tcPr>
          <w:p w:rsidR="00CE1EF3" w:rsidRPr="00CA426B" w:rsidRDefault="00CE1EF3" w:rsidP="00CA426B">
            <w:pPr>
              <w:suppressAutoHyphens w:val="0"/>
              <w:spacing w:before="40" w:after="120"/>
              <w:rPr>
                <w:sz w:val="15"/>
                <w:szCs w:val="15"/>
              </w:rPr>
            </w:pPr>
            <w:r w:rsidRPr="00CA426B">
              <w:rPr>
                <w:sz w:val="15"/>
                <w:szCs w:val="15"/>
              </w:rPr>
              <w:t>Abri</w:t>
            </w:r>
            <w:r w:rsidR="00CA426B">
              <w:rPr>
                <w:sz w:val="15"/>
                <w:szCs w:val="15"/>
              </w:rPr>
              <w:t xml:space="preserve"> </w:t>
            </w:r>
            <w:r w:rsidRPr="00CA426B">
              <w:rPr>
                <w:sz w:val="15"/>
                <w:szCs w:val="15"/>
              </w:rPr>
              <w:t>temporaire</w:t>
            </w:r>
          </w:p>
        </w:tc>
      </w:tr>
      <w:tr w:rsidR="00CE1EF3" w:rsidRPr="00CA426B" w:rsidTr="00CA426B">
        <w:trPr>
          <w:cantSplit/>
        </w:trPr>
        <w:tc>
          <w:tcPr>
            <w:tcW w:w="90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Électricité</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Oui, faible voltage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Oui</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Oui</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Oui</w:t>
            </w:r>
          </w:p>
        </w:tc>
        <w:tc>
          <w:tcPr>
            <w:tcW w:w="1134"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Oui</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Oui</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Oui</w:t>
            </w:r>
          </w:p>
        </w:tc>
        <w:tc>
          <w:tcPr>
            <w:tcW w:w="1021" w:type="dxa"/>
            <w:shd w:val="clear" w:color="auto" w:fill="auto"/>
          </w:tcPr>
          <w:p w:rsidR="00CE1EF3" w:rsidRPr="00CA426B" w:rsidRDefault="00CE1EF3" w:rsidP="00CA426B">
            <w:pPr>
              <w:suppressAutoHyphens w:val="0"/>
              <w:spacing w:before="40" w:after="120"/>
              <w:rPr>
                <w:sz w:val="15"/>
                <w:szCs w:val="15"/>
              </w:rPr>
            </w:pPr>
            <w:r w:rsidRPr="00CA426B">
              <w:rPr>
                <w:sz w:val="15"/>
                <w:szCs w:val="15"/>
              </w:rPr>
              <w:t>Oui</w:t>
            </w:r>
          </w:p>
        </w:tc>
      </w:tr>
      <w:tr w:rsidR="00CE1EF3" w:rsidRPr="00CA426B" w:rsidTr="00CA426B">
        <w:trPr>
          <w:cantSplit/>
        </w:trPr>
        <w:tc>
          <w:tcPr>
            <w:tcW w:w="90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Eau courante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Non, source à 200 m</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Non, source dans le village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Non, source dans le campement</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Oui</w:t>
            </w:r>
          </w:p>
        </w:tc>
        <w:tc>
          <w:tcPr>
            <w:tcW w:w="1134"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Oui</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Oui</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Oui</w:t>
            </w:r>
          </w:p>
        </w:tc>
        <w:tc>
          <w:tcPr>
            <w:tcW w:w="1021" w:type="dxa"/>
            <w:shd w:val="clear" w:color="auto" w:fill="auto"/>
          </w:tcPr>
          <w:p w:rsidR="00CE1EF3" w:rsidRPr="00CA426B" w:rsidRDefault="00CE1EF3" w:rsidP="00CA426B">
            <w:pPr>
              <w:suppressAutoHyphens w:val="0"/>
              <w:spacing w:before="40" w:after="120"/>
              <w:rPr>
                <w:sz w:val="15"/>
                <w:szCs w:val="15"/>
              </w:rPr>
            </w:pPr>
            <w:r w:rsidRPr="00CA426B">
              <w:rPr>
                <w:sz w:val="15"/>
                <w:szCs w:val="15"/>
              </w:rPr>
              <w:t>Oui</w:t>
            </w:r>
          </w:p>
        </w:tc>
      </w:tr>
      <w:tr w:rsidR="00CE1EF3" w:rsidRPr="00CA426B" w:rsidTr="00CA426B">
        <w:trPr>
          <w:cantSplit/>
        </w:trPr>
        <w:tc>
          <w:tcPr>
            <w:tcW w:w="90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Peuple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Valaque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Valaque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Valaque, Krim (de Crimée)</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Krim</w:t>
            </w:r>
            <w:r w:rsidR="00CA426B">
              <w:rPr>
                <w:sz w:val="15"/>
                <w:szCs w:val="15"/>
              </w:rPr>
              <w:br/>
            </w:r>
            <w:r w:rsidRPr="00CA426B">
              <w:rPr>
                <w:sz w:val="15"/>
                <w:szCs w:val="15"/>
              </w:rPr>
              <w:t>(de Crimée)</w:t>
            </w:r>
          </w:p>
        </w:tc>
        <w:tc>
          <w:tcPr>
            <w:tcW w:w="1134"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Krim</w:t>
            </w:r>
            <w:r w:rsidR="00CA426B">
              <w:rPr>
                <w:sz w:val="15"/>
                <w:szCs w:val="15"/>
              </w:rPr>
              <w:br/>
            </w:r>
            <w:r w:rsidRPr="00CA426B">
              <w:rPr>
                <w:sz w:val="15"/>
                <w:szCs w:val="15"/>
              </w:rPr>
              <w:t>(de Crimée)</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Krim</w:t>
            </w:r>
            <w:r w:rsidR="00CA426B">
              <w:rPr>
                <w:sz w:val="15"/>
                <w:szCs w:val="15"/>
              </w:rPr>
              <w:br/>
            </w:r>
            <w:r w:rsidRPr="00CA426B">
              <w:rPr>
                <w:sz w:val="15"/>
                <w:szCs w:val="15"/>
              </w:rPr>
              <w:t>(de Crimée)</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Krim</w:t>
            </w:r>
            <w:r w:rsidR="00CA426B">
              <w:rPr>
                <w:sz w:val="15"/>
                <w:szCs w:val="15"/>
              </w:rPr>
              <w:br/>
            </w:r>
            <w:r w:rsidRPr="00CA426B">
              <w:rPr>
                <w:sz w:val="15"/>
                <w:szCs w:val="15"/>
              </w:rPr>
              <w:t>(de Crimée)</w:t>
            </w:r>
          </w:p>
        </w:tc>
        <w:tc>
          <w:tcPr>
            <w:tcW w:w="1021" w:type="dxa"/>
            <w:shd w:val="clear" w:color="auto" w:fill="auto"/>
          </w:tcPr>
          <w:p w:rsidR="00CE1EF3" w:rsidRPr="00CA426B" w:rsidRDefault="00CE1EF3" w:rsidP="00CA426B">
            <w:pPr>
              <w:suppressAutoHyphens w:val="0"/>
              <w:spacing w:before="40" w:after="120"/>
              <w:rPr>
                <w:sz w:val="15"/>
                <w:szCs w:val="15"/>
              </w:rPr>
            </w:pPr>
            <w:r w:rsidRPr="00CA426B">
              <w:rPr>
                <w:sz w:val="15"/>
                <w:szCs w:val="15"/>
              </w:rPr>
              <w:t>Valaque</w:t>
            </w:r>
          </w:p>
        </w:tc>
      </w:tr>
      <w:tr w:rsidR="00CE1EF3" w:rsidRPr="00CA426B" w:rsidTr="00CA426B">
        <w:trPr>
          <w:cantSplit/>
        </w:trPr>
        <w:tc>
          <w:tcPr>
            <w:tcW w:w="90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Clan</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Butka, Plashun, Melenki, Manki, Temriuk</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Harbuz, Nalihach, Palenki</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Mekoria, Kalachi</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Choradaes, Petalidis, Jujukea, Bubuliades</w:t>
            </w:r>
          </w:p>
        </w:tc>
        <w:tc>
          <w:tcPr>
            <w:tcW w:w="1134"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Choradaes, Petalidis, Jujukea, Bubuliades</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Choaradaes, Petalidis, Jujukea, Bubuliades</w:t>
            </w:r>
          </w:p>
        </w:tc>
        <w:tc>
          <w:tcPr>
            <w:tcW w:w="1021" w:type="dxa"/>
            <w:shd w:val="clear" w:color="auto" w:fill="auto"/>
          </w:tcPr>
          <w:p w:rsidR="00CE1EF3" w:rsidRPr="00CA426B" w:rsidRDefault="00CA426B" w:rsidP="00CA426B">
            <w:pPr>
              <w:suppressAutoHyphens w:val="0"/>
              <w:spacing w:before="40" w:after="120"/>
              <w:ind w:right="113"/>
              <w:rPr>
                <w:sz w:val="15"/>
                <w:szCs w:val="15"/>
              </w:rPr>
            </w:pPr>
            <w:r w:rsidRPr="00CA426B">
              <w:rPr>
                <w:sz w:val="15"/>
                <w:szCs w:val="15"/>
              </w:rPr>
              <w:t>s.</w:t>
            </w:r>
            <w:r w:rsidR="00CE1EF3" w:rsidRPr="00CA426B">
              <w:rPr>
                <w:sz w:val="15"/>
                <w:szCs w:val="15"/>
              </w:rPr>
              <w:t>o</w:t>
            </w:r>
            <w:r w:rsidRPr="00CA426B">
              <w:rPr>
                <w:sz w:val="15"/>
                <w:szCs w:val="15"/>
              </w:rPr>
              <w:t>.</w:t>
            </w:r>
          </w:p>
        </w:tc>
        <w:tc>
          <w:tcPr>
            <w:tcW w:w="1021" w:type="dxa"/>
            <w:shd w:val="clear" w:color="auto" w:fill="auto"/>
          </w:tcPr>
          <w:p w:rsidR="00CE1EF3" w:rsidRPr="00CA426B" w:rsidRDefault="00CA426B" w:rsidP="00CA426B">
            <w:pPr>
              <w:suppressAutoHyphens w:val="0"/>
              <w:spacing w:before="40" w:after="120"/>
              <w:rPr>
                <w:sz w:val="15"/>
                <w:szCs w:val="15"/>
              </w:rPr>
            </w:pPr>
            <w:r w:rsidRPr="00CA426B">
              <w:rPr>
                <w:sz w:val="15"/>
                <w:szCs w:val="15"/>
              </w:rPr>
              <w:t>s.</w:t>
            </w:r>
            <w:r w:rsidR="00CE1EF3" w:rsidRPr="00CA426B">
              <w:rPr>
                <w:sz w:val="15"/>
                <w:szCs w:val="15"/>
              </w:rPr>
              <w:t>o</w:t>
            </w:r>
            <w:r w:rsidRPr="00CA426B">
              <w:rPr>
                <w:sz w:val="15"/>
                <w:szCs w:val="15"/>
              </w:rPr>
              <w:t>.</w:t>
            </w:r>
          </w:p>
        </w:tc>
      </w:tr>
      <w:tr w:rsidR="00CE1EF3" w:rsidRPr="00CA426B" w:rsidTr="00CA426B">
        <w:trPr>
          <w:cantSplit/>
        </w:trPr>
        <w:tc>
          <w:tcPr>
            <w:tcW w:w="90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Origine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Ukraine, Russie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Ukraine,</w:t>
            </w:r>
            <w:r w:rsidR="00CA426B" w:rsidRPr="00CA426B">
              <w:rPr>
                <w:sz w:val="15"/>
                <w:szCs w:val="15"/>
              </w:rPr>
              <w:t xml:space="preserve"> </w:t>
            </w:r>
            <w:r w:rsidRPr="00CA426B">
              <w:rPr>
                <w:sz w:val="15"/>
                <w:szCs w:val="15"/>
              </w:rPr>
              <w:t>Russie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Ukraine, Russie</w:t>
            </w:r>
          </w:p>
        </w:tc>
        <w:tc>
          <w:tcPr>
            <w:tcW w:w="1021" w:type="dxa"/>
            <w:shd w:val="clear" w:color="auto" w:fill="auto"/>
          </w:tcPr>
          <w:p w:rsidR="00CE1EF3" w:rsidRPr="00CA426B" w:rsidRDefault="00CE1EF3" w:rsidP="00CA426B">
            <w:pPr>
              <w:suppressAutoHyphens w:val="0"/>
              <w:spacing w:before="40" w:after="120"/>
              <w:ind w:right="113"/>
              <w:rPr>
                <w:spacing w:val="-2"/>
                <w:sz w:val="15"/>
                <w:szCs w:val="15"/>
              </w:rPr>
            </w:pPr>
            <w:r w:rsidRPr="00CA426B">
              <w:rPr>
                <w:spacing w:val="-2"/>
                <w:sz w:val="15"/>
                <w:szCs w:val="15"/>
              </w:rPr>
              <w:t>Ukraine, Russie</w:t>
            </w:r>
          </w:p>
        </w:tc>
        <w:tc>
          <w:tcPr>
            <w:tcW w:w="1134"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Ukraine, Russie</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Russie</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Russie</w:t>
            </w:r>
          </w:p>
        </w:tc>
        <w:tc>
          <w:tcPr>
            <w:tcW w:w="1021" w:type="dxa"/>
            <w:shd w:val="clear" w:color="auto" w:fill="auto"/>
          </w:tcPr>
          <w:p w:rsidR="00CE1EF3" w:rsidRPr="00CA426B" w:rsidRDefault="00CE1EF3" w:rsidP="00CA426B">
            <w:pPr>
              <w:suppressAutoHyphens w:val="0"/>
              <w:spacing w:before="40" w:after="120"/>
              <w:rPr>
                <w:sz w:val="15"/>
                <w:szCs w:val="15"/>
              </w:rPr>
            </w:pPr>
            <w:r w:rsidRPr="00CA426B">
              <w:rPr>
                <w:sz w:val="15"/>
                <w:szCs w:val="15"/>
              </w:rPr>
              <w:t>Ukraine</w:t>
            </w:r>
          </w:p>
        </w:tc>
      </w:tr>
      <w:tr w:rsidR="00CE1EF3" w:rsidRPr="00CA426B" w:rsidTr="00CA426B">
        <w:trPr>
          <w:cantSplit/>
        </w:trPr>
        <w:tc>
          <w:tcPr>
            <w:tcW w:w="90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Religion</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orthodoxe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orthodoxe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orthodoxe, musulmane</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musulmane, orthodoxe</w:t>
            </w:r>
          </w:p>
        </w:tc>
        <w:tc>
          <w:tcPr>
            <w:tcW w:w="1134"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orthodoxe, musulmane</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évangélique, orthodoxe, musulmane</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musulmane</w:t>
            </w:r>
          </w:p>
        </w:tc>
        <w:tc>
          <w:tcPr>
            <w:tcW w:w="1021" w:type="dxa"/>
            <w:shd w:val="clear" w:color="auto" w:fill="auto"/>
          </w:tcPr>
          <w:p w:rsidR="00CE1EF3" w:rsidRPr="00CA426B" w:rsidRDefault="00CE1EF3" w:rsidP="00CA426B">
            <w:pPr>
              <w:suppressAutoHyphens w:val="0"/>
              <w:spacing w:before="40" w:after="120"/>
              <w:rPr>
                <w:sz w:val="15"/>
                <w:szCs w:val="15"/>
              </w:rPr>
            </w:pPr>
            <w:r w:rsidRPr="00CA426B">
              <w:rPr>
                <w:sz w:val="15"/>
                <w:szCs w:val="15"/>
              </w:rPr>
              <w:t>orthodoxe</w:t>
            </w:r>
          </w:p>
        </w:tc>
      </w:tr>
      <w:tr w:rsidR="00CE1EF3" w:rsidRPr="00CA426B" w:rsidTr="00CA426B">
        <w:trPr>
          <w:cantSplit/>
        </w:trPr>
        <w:tc>
          <w:tcPr>
            <w:tcW w:w="90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Langue maternelle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romani</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romani</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romani</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romani</w:t>
            </w:r>
          </w:p>
        </w:tc>
        <w:tc>
          <w:tcPr>
            <w:tcW w:w="1134"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romani</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romani</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romani</w:t>
            </w:r>
          </w:p>
        </w:tc>
        <w:tc>
          <w:tcPr>
            <w:tcW w:w="1021" w:type="dxa"/>
            <w:shd w:val="clear" w:color="auto" w:fill="auto"/>
          </w:tcPr>
          <w:p w:rsidR="00CE1EF3" w:rsidRPr="00CA426B" w:rsidRDefault="00CE1EF3" w:rsidP="00CA426B">
            <w:pPr>
              <w:suppressAutoHyphens w:val="0"/>
              <w:spacing w:before="40" w:after="120"/>
              <w:rPr>
                <w:sz w:val="15"/>
                <w:szCs w:val="15"/>
              </w:rPr>
            </w:pPr>
            <w:r w:rsidRPr="00CA426B">
              <w:rPr>
                <w:sz w:val="15"/>
                <w:szCs w:val="15"/>
              </w:rPr>
              <w:t>romani</w:t>
            </w:r>
          </w:p>
        </w:tc>
      </w:tr>
      <w:tr w:rsidR="00CE1EF3" w:rsidRPr="00CA426B" w:rsidTr="00CA426B">
        <w:trPr>
          <w:cantSplit/>
        </w:trPr>
        <w:tc>
          <w:tcPr>
            <w:tcW w:w="90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Deuxième langue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russe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russe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russe,</w:t>
            </w:r>
            <w:r w:rsidR="00CA426B" w:rsidRPr="00CA426B">
              <w:rPr>
                <w:sz w:val="15"/>
                <w:szCs w:val="15"/>
              </w:rPr>
              <w:t xml:space="preserve"> </w:t>
            </w:r>
            <w:r w:rsidRPr="00CA426B">
              <w:rPr>
                <w:sz w:val="15"/>
                <w:szCs w:val="15"/>
              </w:rPr>
              <w:t>géorgien</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russe,</w:t>
            </w:r>
            <w:r w:rsidR="00CA426B" w:rsidRPr="00CA426B">
              <w:rPr>
                <w:sz w:val="15"/>
                <w:szCs w:val="15"/>
              </w:rPr>
              <w:t xml:space="preserve"> </w:t>
            </w:r>
            <w:r w:rsidRPr="00CA426B">
              <w:rPr>
                <w:sz w:val="15"/>
                <w:szCs w:val="15"/>
              </w:rPr>
              <w:t>géorgien</w:t>
            </w:r>
          </w:p>
        </w:tc>
        <w:tc>
          <w:tcPr>
            <w:tcW w:w="1134"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russe,</w:t>
            </w:r>
            <w:r w:rsidR="00CA426B" w:rsidRPr="00CA426B">
              <w:rPr>
                <w:sz w:val="15"/>
                <w:szCs w:val="15"/>
              </w:rPr>
              <w:t xml:space="preserve"> </w:t>
            </w:r>
            <w:r w:rsidRPr="00CA426B">
              <w:rPr>
                <w:sz w:val="15"/>
                <w:szCs w:val="15"/>
              </w:rPr>
              <w:t>géorgien</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russe</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russe</w:t>
            </w:r>
          </w:p>
        </w:tc>
        <w:tc>
          <w:tcPr>
            <w:tcW w:w="1021" w:type="dxa"/>
            <w:shd w:val="clear" w:color="auto" w:fill="auto"/>
          </w:tcPr>
          <w:p w:rsidR="00CE1EF3" w:rsidRPr="00CA426B" w:rsidRDefault="00CE1EF3" w:rsidP="00CA426B">
            <w:pPr>
              <w:suppressAutoHyphens w:val="0"/>
              <w:spacing w:before="40" w:after="120"/>
              <w:rPr>
                <w:sz w:val="15"/>
                <w:szCs w:val="15"/>
              </w:rPr>
            </w:pPr>
            <w:r w:rsidRPr="00CA426B">
              <w:rPr>
                <w:sz w:val="15"/>
                <w:szCs w:val="15"/>
              </w:rPr>
              <w:t>russe</w:t>
            </w:r>
          </w:p>
        </w:tc>
      </w:tr>
      <w:tr w:rsidR="00CE1EF3" w:rsidRPr="00CA426B" w:rsidTr="00CA426B">
        <w:trPr>
          <w:cantSplit/>
        </w:trPr>
        <w:tc>
          <w:tcPr>
            <w:tcW w:w="90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Zones de déplacement et de commerce</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Gachaiani-Lilo-Samgori-Dedoplistskaro</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Dedoplistskaro-Lilo-Gachiani</w:t>
            </w:r>
          </w:p>
        </w:tc>
        <w:tc>
          <w:tcPr>
            <w:tcW w:w="1077"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Lilo-Samgori-Dedoplistskaro</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Samgori-Kutaisi-Telavi</w:t>
            </w:r>
          </w:p>
        </w:tc>
        <w:tc>
          <w:tcPr>
            <w:tcW w:w="1134"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Kutaisi-Samgori-Kobuleti</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Kobuleti-Batumi-Kutaisi</w:t>
            </w:r>
          </w:p>
        </w:tc>
        <w:tc>
          <w:tcPr>
            <w:tcW w:w="1021" w:type="dxa"/>
            <w:shd w:val="clear" w:color="auto" w:fill="auto"/>
          </w:tcPr>
          <w:p w:rsidR="00CE1EF3" w:rsidRPr="00CA426B" w:rsidRDefault="00CE1EF3" w:rsidP="00CA426B">
            <w:pPr>
              <w:suppressAutoHyphens w:val="0"/>
              <w:spacing w:before="40" w:after="120"/>
              <w:ind w:right="113"/>
              <w:rPr>
                <w:sz w:val="15"/>
                <w:szCs w:val="15"/>
              </w:rPr>
            </w:pPr>
            <w:r w:rsidRPr="00CA426B">
              <w:rPr>
                <w:sz w:val="15"/>
                <w:szCs w:val="15"/>
              </w:rPr>
              <w:t>Batumi-Kutaisi</w:t>
            </w:r>
          </w:p>
        </w:tc>
        <w:tc>
          <w:tcPr>
            <w:tcW w:w="1021" w:type="dxa"/>
            <w:shd w:val="clear" w:color="auto" w:fill="auto"/>
          </w:tcPr>
          <w:p w:rsidR="00CE1EF3" w:rsidRPr="00CA426B" w:rsidRDefault="00CE1EF3" w:rsidP="00CA426B">
            <w:pPr>
              <w:suppressAutoHyphens w:val="0"/>
              <w:spacing w:before="40" w:after="120"/>
              <w:rPr>
                <w:sz w:val="15"/>
                <w:szCs w:val="15"/>
              </w:rPr>
            </w:pPr>
            <w:r w:rsidRPr="00CA426B">
              <w:rPr>
                <w:sz w:val="15"/>
                <w:szCs w:val="15"/>
              </w:rPr>
              <w:t>Telavi-Dedoplistskaro</w:t>
            </w:r>
          </w:p>
        </w:tc>
      </w:tr>
    </w:tbl>
    <w:p w:rsidR="00CE1EF3" w:rsidRDefault="00CE1EF3" w:rsidP="00BC400A">
      <w:pPr>
        <w:pStyle w:val="SingleTxtG"/>
        <w:spacing w:before="240"/>
      </w:pPr>
      <w:r>
        <w:t>21.</w:t>
      </w:r>
      <w:r>
        <w:tab/>
        <w:t xml:space="preserve">Comme indiqué dans le tableau ci-dessus, le niveau de scolarisation est très faible parmi les Roms, dans la mesure où quelques enfants seulement sont inscrits dans les écoles. D’après les résultats de l’étude, c’est essentiellement la réticence des parents qui explique le faible taux de scolarisation des enfants roms. Certains parents roms eux-mêmes ont expliqué qu’ils envoyaient leurs </w:t>
      </w:r>
      <w:r w:rsidRPr="004B457D">
        <w:t>enfants</w:t>
      </w:r>
      <w:r>
        <w:t xml:space="preserve"> mendier ou vendre des articles et que cela constituait pour la famille une source de revenus principale ou supplémentaire. Dans d’autres cas, les parents préfèrent que leurs enfants restent à la maison et s’acquittent des tâches ménagères</w:t>
      </w:r>
      <w:r>
        <w:rPr>
          <w:rStyle w:val="FootnoteReference"/>
        </w:rPr>
        <w:footnoteReference w:id="9"/>
      </w:r>
      <w:r>
        <w:t>. Le Ministère de l’éducation et des sciences met en œuvre le programme «Action communautaire» en collaboration avec l’organisation britannique «Children’s High-Level Group» afin de résoudre ce problème et d’autres problèmes similaires. Le programme contribue au développement des valeurs fondamentales et au sens des responsabilités à l’égard du pays et cherche à motiver les élèves vulnérables. Les activités communautaires organisées dans le cadre du programme visent à intégrer et socialiser les enfants socialement vulnérables, les enfants sans protection parentale ainsi que les enfants ayant des besoins spéciaux, les élèves déplacés, les Meskhètes exilés de force de Géorgie sous le régime de l’Union soviétique et les élèves appartenant à des minorités nationales. Plusieurs enfants roms ont été inscrits dans des établissements d’enseignement général à Kutaisi et Rustavi dans le cadre du programme et en collaboration avec les écoles. Les élèves roms reçoivent également les vêtements dont ils ont besoin, ainsi qu’une aide à la préparation des documents nécessaires pour l’inscription à l’école. En 2009, 10 Roms ayant terminé leurs études ont participé aux activités communautaires avec d’autres élèves.</w:t>
      </w:r>
    </w:p>
    <w:p w:rsidR="00CE1EF3" w:rsidRDefault="00CE1EF3" w:rsidP="00CE1EF3">
      <w:pPr>
        <w:pStyle w:val="SingleTxtG"/>
      </w:pPr>
      <w:r>
        <w:t>22.</w:t>
      </w:r>
      <w:r>
        <w:tab/>
        <w:t>Le Gouvernement remédie aux problèmes dus à l’absence de documents d’identité et d’inscription sur les registres de la commune de la population rom au moyen de projets spéciaux menés par les services de l’état civil du Ministère de la justice géorgien à Leninovka, Samgori, Kutaisi et Kobuleti</w:t>
      </w:r>
      <w:r>
        <w:rPr>
          <w:rStyle w:val="FootnoteReference"/>
        </w:rPr>
        <w:footnoteReference w:id="10"/>
      </w:r>
      <w:r>
        <w:t>.</w:t>
      </w:r>
    </w:p>
    <w:p w:rsidR="00CE1EF3" w:rsidRPr="006B7C54" w:rsidRDefault="00CE1EF3" w:rsidP="00CE1EF3">
      <w:pPr>
        <w:pStyle w:val="SingleTxtG"/>
      </w:pPr>
      <w:r>
        <w:t>23.</w:t>
      </w:r>
      <w:r>
        <w:tab/>
        <w:t>Presque tous les campements roms de Géorgie sont situés dans un environnement multiethnique, où les Roms entretiennent des relations permanentes avec des personnes appartenant à différents groupes ethniques: par exemple, avec les Géorgiens et les Russes à Leninovka, avec les Azéris à Gachiani, avec les Géorgiens, les Arméniens et les Azéris à Samgori, et principalement avec les Géorgiens à Kutaisi et Kobuleti. D’après les entretiens menés dans le cadre de l’étude, les Roms vivent en bonne intelligence avec les personnes appartenant à ces groupes ethniques</w:t>
      </w:r>
      <w:r>
        <w:rPr>
          <w:rStyle w:val="FootnoteReference"/>
        </w:rPr>
        <w:footnoteReference w:id="11"/>
      </w:r>
      <w:r>
        <w:t>.</w:t>
      </w:r>
    </w:p>
    <w:p w:rsidR="00CE1EF3" w:rsidRDefault="00CE1EF3" w:rsidP="00CE1EF3">
      <w:pPr>
        <w:pStyle w:val="H1G"/>
      </w:pPr>
      <w:r>
        <w:tab/>
        <w:t>D.</w:t>
      </w:r>
      <w:r>
        <w:tab/>
        <w:t>Réponses aux questions soulevées au paragraphe 13</w:t>
      </w:r>
    </w:p>
    <w:p w:rsidR="00CE1EF3" w:rsidRDefault="00CE1EF3" w:rsidP="00CE1EF3">
      <w:pPr>
        <w:pStyle w:val="SingleTxtG"/>
      </w:pPr>
      <w:r>
        <w:t>24.</w:t>
      </w:r>
      <w:r>
        <w:tab/>
        <w:t>Outre l’interdiction générale de toute discrimination à l’encontre des élèves</w:t>
      </w:r>
      <w:r>
        <w:rPr>
          <w:rStyle w:val="FootnoteReference"/>
        </w:rPr>
        <w:footnoteReference w:id="12"/>
      </w:r>
      <w:r>
        <w:t>, le Ministère de l’éducation et des sciences met en place depuis longtemps des programmes spécialisés visant à promouvoir la tolérance dans le système éducatif.</w:t>
      </w:r>
    </w:p>
    <w:p w:rsidR="00CE1EF3" w:rsidRDefault="00CE1EF3" w:rsidP="00CE1EF3">
      <w:pPr>
        <w:pStyle w:val="H23G"/>
      </w:pPr>
      <w:r>
        <w:tab/>
      </w:r>
      <w:r>
        <w:tab/>
        <w:t>Enseignement du géorgien et intégration</w:t>
      </w:r>
    </w:p>
    <w:p w:rsidR="00CE1EF3" w:rsidRDefault="00CE1EF3" w:rsidP="00CE1EF3">
      <w:pPr>
        <w:pStyle w:val="SingleTxtG"/>
      </w:pPr>
      <w:r>
        <w:t>25.</w:t>
      </w:r>
      <w:r>
        <w:tab/>
        <w:t>Le Ministère de l’éducation et des sciences a mis en œuvre une politique systématique et cohérente d’enseignement de la langue officielle pour les minorités afin de remédier au problème que pose la maîtrise insuffisante du géorgien par les groupes minoritaires. Au cours des cinq dernières années, il a entrepris de nombreux programmes destinés à multiplier les occasions d’apprendre le géorgien à tous les niveaux du système éducatif (enseignement préscolaire, enseignement général et formation pour adultes). En 2009, le Ministère de l’éducation et des sciences a notamment approuvé le Programme d’enseignement du géorgien, qui prévoit la mise en œuvre du sous-programme «Renforcement de l’enseignement et de l’apprentissage du géorgien au niveau préscolaire dans les régions habitées par les communautés minoritaires». Le but du sous-programme est d’améliorer la connaissance du géorgien chez les enfants grâce à des programmes d’enseignement des langues de bon niveau pour les élèves de l’enseignement préscolaire. La création de centres d’éducation préscolaire est prévue dans six écoles locales sélectionnées à Kvemo Kartli et Samtskhe Javakheti. Outre les documents et le matériel technique de base nécessaires pour les enseignants et les élèves, le sous-programme prévoit l’élaboration d’un manuel pour l’éducation parentale. Parmi les autres mesures figurent:</w:t>
      </w:r>
    </w:p>
    <w:p w:rsidR="00CE1EF3" w:rsidRDefault="00CE1EF3" w:rsidP="00CE1EF3">
      <w:pPr>
        <w:pStyle w:val="SingleTxtG"/>
        <w:ind w:firstLine="567"/>
      </w:pPr>
      <w:r>
        <w:t>a)</w:t>
      </w:r>
      <w:r>
        <w:tab/>
        <w:t>L’élaboration d’une série de manuels scolaires (Tavtavi) et l’application de nouvelles normes d’enseignement et d’apprentissage du géorgien comme deuxième langue en suivant les niveaux de compétence proposés par le «Portfolio européen des langues» et le «Cadre européen commun de référence pour les langues: Apprendre, enseigner et évaluer»;</w:t>
      </w:r>
    </w:p>
    <w:p w:rsidR="00CE1EF3" w:rsidRDefault="00CE1EF3" w:rsidP="00CE1EF3">
      <w:pPr>
        <w:pStyle w:val="SingleTxtG"/>
        <w:ind w:firstLine="567"/>
      </w:pPr>
      <w:r>
        <w:t>b)</w:t>
      </w:r>
      <w:r>
        <w:tab/>
        <w:t>La mise en œuvre du projet «L’apprentissage du géorgien comme deuxième langue» par le Centre national des programmes et de l’évaluation en 2007, d’un nouveau programme d’études à cet effet;</w:t>
      </w:r>
    </w:p>
    <w:p w:rsidR="00CE1EF3" w:rsidRDefault="00CE1EF3" w:rsidP="00CE1EF3">
      <w:pPr>
        <w:pStyle w:val="SingleTxtG"/>
        <w:ind w:firstLine="567"/>
      </w:pPr>
      <w:r>
        <w:t>c)</w:t>
      </w:r>
      <w:r>
        <w:tab/>
        <w:t>La mise en œuvre du projet «Programme d’enseignement et d’apprentissage de la langue officielle pour les écoles des minorités» en 2008, dans le cadre duquel tous les élèves de deuxième année appartenant à des minorités ont reçu le manuel «Apprenons le géorgien»;</w:t>
      </w:r>
    </w:p>
    <w:p w:rsidR="00CE1EF3" w:rsidRDefault="00CE1EF3" w:rsidP="00CE1EF3">
      <w:pPr>
        <w:pStyle w:val="SingleTxtG"/>
        <w:ind w:firstLine="567"/>
      </w:pPr>
      <w:r>
        <w:t>d)</w:t>
      </w:r>
      <w:r>
        <w:tab/>
        <w:t>La création de «Maisons des langues» à Akhalkalaki et Ninotsminda (communes à forte population arménienne) en 2007. Les centres proposent des cours de géorgien pour les fonctionnaires, les enseignants, les militaires, le personnel des services sociaux et les représentants d’autres groupes sociaux. Pour la seule année 2008, les centres ont accueilli 682 participants. De plus, des «Maisons des langues» ont été créées sur le même modèle dans les districts de Dmanisi et Bolnisi (où les minorités sont fortement représentées) en novembre 2009. Les Maisons des la</w:t>
      </w:r>
      <w:r w:rsidR="00D4755F">
        <w:t>ngues ont accueilli quelque 100 </w:t>
      </w:r>
      <w:r>
        <w:t>participants dès leur ouverture. De plus, l’École d’administration publique Zurab Zhvania dispense un programme spécial d’enseignement de la langue officielle aux fonctionnaires locaux appartenant à des minorités. En 2006-2008, ce programme a été suivi par 133 Azéris et 124 Arméniens.</w:t>
      </w:r>
    </w:p>
    <w:p w:rsidR="00CE1EF3" w:rsidRDefault="00CE1EF3" w:rsidP="00D4755F">
      <w:pPr>
        <w:pStyle w:val="SingleTxtG"/>
      </w:pPr>
      <w:r>
        <w:t>26.</w:t>
      </w:r>
      <w:r>
        <w:tab/>
        <w:t>L’amélioration des compétences des enseignants des écoles des minorités constitue un autre volet important de ce projet. Elle s’effectue par le biais de programmes publics tels que «</w:t>
      </w:r>
      <w:r w:rsidRPr="00D4755F">
        <w:t>Professeurs</w:t>
      </w:r>
      <w:r>
        <w:t xml:space="preserve"> de géorgien qualifiés dans des régions où les minorités ethniques sont fortement représentées», «Programme de perfectionnement professionnel pour les enseignants de géorgien dans les écoles des minorités», «Apprenons le géorgien» et «Enseigner pour la Géorgie». De plus, un document d’orientation et plan d’action pour 2009</w:t>
      </w:r>
      <w:r>
        <w:noBreakHyphen/>
        <w:t>2014 pour l’«intégration des minorités nationales par l’enseignement multilingue» a été élaboré avec l’aide du Haut-Commissariat pour les minorités nationales de l’OSCE. Le Ministère de l’éducation et des sciences a lancé un programme pilote d’enseignement multilingue dans 40 écoles publiques non géorgiennes.</w:t>
      </w:r>
    </w:p>
    <w:p w:rsidR="00D4755F" w:rsidRDefault="00D4755F" w:rsidP="00D4755F">
      <w:pPr>
        <w:pStyle w:val="H23G"/>
        <w:rPr>
          <w:lang w:val="fr-FR"/>
        </w:rPr>
      </w:pPr>
      <w:r>
        <w:rPr>
          <w:lang w:val="fr-FR"/>
        </w:rPr>
        <w:tab/>
      </w:r>
      <w:r>
        <w:rPr>
          <w:lang w:val="fr-FR"/>
        </w:rPr>
        <w:tab/>
        <w:t>Accès à l’enseignement supérieur</w:t>
      </w:r>
    </w:p>
    <w:p w:rsidR="00D4755F" w:rsidRDefault="00D4755F" w:rsidP="00D4755F">
      <w:pPr>
        <w:pStyle w:val="SingleTxtG"/>
        <w:rPr>
          <w:lang w:val="fr-FR"/>
        </w:rPr>
      </w:pPr>
      <w:r>
        <w:rPr>
          <w:lang w:val="fr-FR"/>
        </w:rPr>
        <w:t>27.</w:t>
      </w:r>
      <w:r>
        <w:rPr>
          <w:lang w:val="fr-FR"/>
        </w:rPr>
        <w:tab/>
        <w:t>Des programmes spéciaux ont été élaborés afin d’encourager des étudiants appartenant à des minorités à s’inscrire dans des établissements d’enseignement supérieur. Un cours préparatoire de géorgien pour étudiants non géorgiens et des tests d’aptitude générale ont été mis en place en 2008 pour aider des étudiants non géorgiens à préparer leurs examens d’admission et à améliorer leurs résultats aux tests de géorgien et d’aptitude générale. Toutefois, les nouvelles dispositions législatives permettent aux candidats de passer les examens d’admission dans leur langue maternelle. Toutes ces mesures ont eu un effet positif sur le taux d’inscription des étudiants appartenant à des minorités dans les éta</w:t>
      </w:r>
      <w:r w:rsidRPr="007019B2">
        <w:rPr>
          <w:lang w:val="fr-FR"/>
        </w:rPr>
        <w:t>bliss</w:t>
      </w:r>
      <w:r>
        <w:rPr>
          <w:lang w:val="fr-FR"/>
        </w:rPr>
        <w:t>ements d’enseignement supérieur</w:t>
      </w:r>
      <w:r w:rsidRPr="007019B2">
        <w:rPr>
          <w:lang w:val="fr-FR"/>
        </w:rPr>
        <w:t xml:space="preserve">, comme </w:t>
      </w:r>
      <w:r>
        <w:rPr>
          <w:lang w:val="fr-FR"/>
        </w:rPr>
        <w:t>le montre le</w:t>
      </w:r>
      <w:r w:rsidRPr="007019B2">
        <w:rPr>
          <w:lang w:val="fr-FR"/>
        </w:rPr>
        <w:t xml:space="preserve"> tableau ci-dessous</w:t>
      </w:r>
      <w:r>
        <w:rPr>
          <w:lang w:val="fr-FR"/>
        </w:rPr>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69"/>
        <w:gridCol w:w="981"/>
        <w:gridCol w:w="985"/>
        <w:gridCol w:w="985"/>
        <w:gridCol w:w="985"/>
        <w:gridCol w:w="985"/>
        <w:gridCol w:w="981"/>
      </w:tblGrid>
      <w:tr w:rsidR="00D4755F" w:rsidRPr="007019B2" w:rsidTr="000773CC">
        <w:tc>
          <w:tcPr>
            <w:tcW w:w="1469" w:type="dxa"/>
            <w:vMerge w:val="restart"/>
            <w:tcBorders>
              <w:top w:val="single" w:sz="4" w:space="0" w:color="auto"/>
            </w:tcBorders>
            <w:shd w:val="clear" w:color="auto" w:fill="auto"/>
            <w:vAlign w:val="bottom"/>
          </w:tcPr>
          <w:p w:rsidR="00D4755F" w:rsidRPr="007019B2" w:rsidRDefault="00D4755F" w:rsidP="000773CC">
            <w:pPr>
              <w:spacing w:after="80" w:line="240" w:lineRule="exact"/>
              <w:rPr>
                <w:i/>
                <w:sz w:val="16"/>
                <w:lang w:val="fr-FR"/>
              </w:rPr>
            </w:pPr>
          </w:p>
        </w:tc>
        <w:tc>
          <w:tcPr>
            <w:tcW w:w="5902" w:type="dxa"/>
            <w:gridSpan w:val="6"/>
            <w:tcBorders>
              <w:top w:val="single" w:sz="4" w:space="0" w:color="auto"/>
              <w:bottom w:val="single" w:sz="4" w:space="0" w:color="auto"/>
            </w:tcBorders>
            <w:shd w:val="clear" w:color="auto" w:fill="auto"/>
            <w:vAlign w:val="bottom"/>
          </w:tcPr>
          <w:p w:rsidR="00D4755F" w:rsidRPr="007019B2" w:rsidRDefault="00D4755F" w:rsidP="000773CC">
            <w:pPr>
              <w:spacing w:before="80" w:after="80" w:line="200" w:lineRule="exact"/>
              <w:jc w:val="center"/>
              <w:rPr>
                <w:i/>
                <w:sz w:val="16"/>
                <w:lang w:val="fr-FR"/>
              </w:rPr>
            </w:pPr>
            <w:r>
              <w:rPr>
                <w:i/>
                <w:sz w:val="16"/>
                <w:lang w:val="fr-FR"/>
              </w:rPr>
              <w:t>Accès à l’enseignement supérieur</w:t>
            </w:r>
          </w:p>
        </w:tc>
      </w:tr>
      <w:tr w:rsidR="00D4755F" w:rsidRPr="007019B2" w:rsidTr="000773CC">
        <w:tc>
          <w:tcPr>
            <w:tcW w:w="1469" w:type="dxa"/>
            <w:vMerge/>
            <w:shd w:val="clear" w:color="auto" w:fill="auto"/>
            <w:vAlign w:val="bottom"/>
          </w:tcPr>
          <w:p w:rsidR="00D4755F" w:rsidRPr="007019B2" w:rsidRDefault="00D4755F" w:rsidP="000773CC">
            <w:pPr>
              <w:spacing w:after="40" w:line="240" w:lineRule="exact"/>
              <w:rPr>
                <w:sz w:val="18"/>
                <w:lang w:val="fr-FR"/>
              </w:rPr>
            </w:pPr>
          </w:p>
        </w:tc>
        <w:tc>
          <w:tcPr>
            <w:tcW w:w="1966" w:type="dxa"/>
            <w:gridSpan w:val="2"/>
            <w:tcBorders>
              <w:top w:val="single" w:sz="4" w:space="0" w:color="auto"/>
              <w:bottom w:val="single" w:sz="4" w:space="0" w:color="auto"/>
              <w:right w:val="single" w:sz="24" w:space="0" w:color="FFFFFF"/>
            </w:tcBorders>
            <w:shd w:val="clear" w:color="auto" w:fill="auto"/>
            <w:vAlign w:val="bottom"/>
          </w:tcPr>
          <w:p w:rsidR="00D4755F" w:rsidRPr="000D25B2" w:rsidRDefault="00D4755F" w:rsidP="000773CC">
            <w:pPr>
              <w:spacing w:before="80" w:after="80" w:line="200" w:lineRule="exact"/>
              <w:jc w:val="center"/>
              <w:rPr>
                <w:i/>
                <w:sz w:val="16"/>
                <w:lang w:val="fr-FR"/>
              </w:rPr>
            </w:pPr>
            <w:r w:rsidRPr="000D25B2">
              <w:rPr>
                <w:i/>
                <w:sz w:val="16"/>
                <w:lang w:val="fr-FR"/>
              </w:rPr>
              <w:t>Inscrits</w:t>
            </w:r>
          </w:p>
        </w:tc>
        <w:tc>
          <w:tcPr>
            <w:tcW w:w="19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4755F" w:rsidRPr="000D25B2" w:rsidRDefault="00D4755F" w:rsidP="000773CC">
            <w:pPr>
              <w:spacing w:before="80" w:after="80" w:line="200" w:lineRule="exact"/>
              <w:jc w:val="center"/>
              <w:rPr>
                <w:i/>
                <w:sz w:val="16"/>
                <w:lang w:val="fr-FR"/>
              </w:rPr>
            </w:pPr>
            <w:r w:rsidRPr="000D25B2">
              <w:rPr>
                <w:i/>
                <w:sz w:val="16"/>
                <w:lang w:val="fr-FR"/>
              </w:rPr>
              <w:t>Admis</w:t>
            </w:r>
          </w:p>
        </w:tc>
        <w:tc>
          <w:tcPr>
            <w:tcW w:w="1966" w:type="dxa"/>
            <w:gridSpan w:val="2"/>
            <w:tcBorders>
              <w:top w:val="single" w:sz="4" w:space="0" w:color="auto"/>
              <w:left w:val="single" w:sz="24" w:space="0" w:color="FFFFFF"/>
              <w:bottom w:val="single" w:sz="4" w:space="0" w:color="auto"/>
            </w:tcBorders>
            <w:shd w:val="clear" w:color="auto" w:fill="auto"/>
            <w:vAlign w:val="bottom"/>
          </w:tcPr>
          <w:p w:rsidR="00D4755F" w:rsidRPr="000D25B2" w:rsidRDefault="00D4755F" w:rsidP="000773CC">
            <w:pPr>
              <w:spacing w:before="80" w:after="80" w:line="200" w:lineRule="exact"/>
              <w:jc w:val="center"/>
              <w:rPr>
                <w:i/>
                <w:sz w:val="16"/>
                <w:lang w:val="fr-FR"/>
              </w:rPr>
            </w:pPr>
            <w:r w:rsidRPr="000D25B2">
              <w:rPr>
                <w:i/>
                <w:sz w:val="16"/>
                <w:lang w:val="fr-FR"/>
              </w:rPr>
              <w:t>Bourses d</w:t>
            </w:r>
            <w:r>
              <w:rPr>
                <w:i/>
                <w:sz w:val="16"/>
                <w:lang w:val="fr-FR"/>
              </w:rPr>
              <w:t>’</w:t>
            </w:r>
            <w:r w:rsidRPr="000D25B2">
              <w:rPr>
                <w:i/>
                <w:sz w:val="16"/>
                <w:lang w:val="fr-FR"/>
              </w:rPr>
              <w:t>État</w:t>
            </w:r>
          </w:p>
        </w:tc>
      </w:tr>
      <w:tr w:rsidR="00D4755F" w:rsidRPr="007019B2" w:rsidTr="000773CC">
        <w:tc>
          <w:tcPr>
            <w:tcW w:w="1469" w:type="dxa"/>
            <w:vMerge/>
            <w:tcBorders>
              <w:bottom w:val="single" w:sz="12" w:space="0" w:color="auto"/>
            </w:tcBorders>
            <w:shd w:val="clear" w:color="auto" w:fill="auto"/>
            <w:vAlign w:val="bottom"/>
          </w:tcPr>
          <w:p w:rsidR="00D4755F" w:rsidRPr="007019B2" w:rsidRDefault="00D4755F" w:rsidP="000773CC">
            <w:pPr>
              <w:spacing w:after="40" w:line="240" w:lineRule="exact"/>
              <w:rPr>
                <w:sz w:val="18"/>
                <w:lang w:val="fr-FR"/>
              </w:rPr>
            </w:pPr>
          </w:p>
        </w:tc>
        <w:tc>
          <w:tcPr>
            <w:tcW w:w="981" w:type="dxa"/>
            <w:tcBorders>
              <w:bottom w:val="single" w:sz="12" w:space="0" w:color="auto"/>
            </w:tcBorders>
            <w:shd w:val="clear" w:color="auto" w:fill="auto"/>
            <w:vAlign w:val="bottom"/>
          </w:tcPr>
          <w:p w:rsidR="00D4755F" w:rsidRPr="000D25B2" w:rsidRDefault="00D4755F" w:rsidP="000773CC">
            <w:pPr>
              <w:spacing w:before="80" w:after="80" w:line="200" w:lineRule="exact"/>
              <w:jc w:val="right"/>
              <w:rPr>
                <w:i/>
                <w:sz w:val="16"/>
                <w:lang w:val="fr-FR"/>
              </w:rPr>
            </w:pPr>
            <w:r w:rsidRPr="000D25B2">
              <w:rPr>
                <w:i/>
                <w:sz w:val="16"/>
                <w:lang w:val="fr-FR"/>
              </w:rPr>
              <w:t>2007</w:t>
            </w:r>
          </w:p>
        </w:tc>
        <w:tc>
          <w:tcPr>
            <w:tcW w:w="985" w:type="dxa"/>
            <w:tcBorders>
              <w:top w:val="single" w:sz="4" w:space="0" w:color="auto"/>
              <w:bottom w:val="single" w:sz="12" w:space="0" w:color="auto"/>
              <w:right w:val="single" w:sz="24" w:space="0" w:color="FFFFFF"/>
            </w:tcBorders>
            <w:shd w:val="clear" w:color="auto" w:fill="FFFFFF"/>
            <w:vAlign w:val="bottom"/>
          </w:tcPr>
          <w:p w:rsidR="00D4755F" w:rsidRPr="000D25B2" w:rsidRDefault="00D4755F" w:rsidP="000773CC">
            <w:pPr>
              <w:spacing w:before="80" w:after="80" w:line="200" w:lineRule="exact"/>
              <w:jc w:val="right"/>
              <w:rPr>
                <w:i/>
                <w:sz w:val="16"/>
                <w:lang w:val="fr-FR"/>
              </w:rPr>
            </w:pPr>
            <w:r w:rsidRPr="000D25B2">
              <w:rPr>
                <w:i/>
                <w:sz w:val="16"/>
                <w:lang w:val="fr-FR"/>
              </w:rPr>
              <w:t>2008</w:t>
            </w:r>
          </w:p>
        </w:tc>
        <w:tc>
          <w:tcPr>
            <w:tcW w:w="985" w:type="dxa"/>
            <w:tcBorders>
              <w:top w:val="single" w:sz="4" w:space="0" w:color="auto"/>
              <w:left w:val="single" w:sz="24" w:space="0" w:color="FFFFFF"/>
              <w:bottom w:val="single" w:sz="12" w:space="0" w:color="auto"/>
            </w:tcBorders>
            <w:shd w:val="clear" w:color="auto" w:fill="auto"/>
            <w:vAlign w:val="bottom"/>
          </w:tcPr>
          <w:p w:rsidR="00D4755F" w:rsidRPr="000D25B2" w:rsidRDefault="00D4755F" w:rsidP="000773CC">
            <w:pPr>
              <w:spacing w:before="80" w:after="80" w:line="200" w:lineRule="exact"/>
              <w:jc w:val="right"/>
              <w:rPr>
                <w:i/>
                <w:sz w:val="16"/>
                <w:lang w:val="fr-FR"/>
              </w:rPr>
            </w:pPr>
            <w:r w:rsidRPr="000D25B2">
              <w:rPr>
                <w:i/>
                <w:sz w:val="16"/>
                <w:lang w:val="fr-FR"/>
              </w:rPr>
              <w:t>2007</w:t>
            </w:r>
          </w:p>
        </w:tc>
        <w:tc>
          <w:tcPr>
            <w:tcW w:w="985" w:type="dxa"/>
            <w:tcBorders>
              <w:bottom w:val="single" w:sz="12" w:space="0" w:color="auto"/>
              <w:right w:val="single" w:sz="24" w:space="0" w:color="FFFFFF"/>
            </w:tcBorders>
            <w:shd w:val="clear" w:color="auto" w:fill="auto"/>
            <w:vAlign w:val="bottom"/>
          </w:tcPr>
          <w:p w:rsidR="00D4755F" w:rsidRPr="000D25B2" w:rsidRDefault="00D4755F" w:rsidP="000773CC">
            <w:pPr>
              <w:spacing w:before="80" w:after="80" w:line="200" w:lineRule="exact"/>
              <w:jc w:val="right"/>
              <w:rPr>
                <w:i/>
                <w:sz w:val="16"/>
                <w:lang w:val="fr-FR"/>
              </w:rPr>
            </w:pPr>
            <w:r w:rsidRPr="000D25B2">
              <w:rPr>
                <w:i/>
                <w:sz w:val="16"/>
                <w:lang w:val="fr-FR"/>
              </w:rPr>
              <w:t>2008</w:t>
            </w:r>
          </w:p>
        </w:tc>
        <w:tc>
          <w:tcPr>
            <w:tcW w:w="985" w:type="dxa"/>
            <w:tcBorders>
              <w:top w:val="single" w:sz="4" w:space="0" w:color="auto"/>
              <w:left w:val="single" w:sz="24" w:space="0" w:color="FFFFFF"/>
              <w:bottom w:val="single" w:sz="12" w:space="0" w:color="auto"/>
            </w:tcBorders>
            <w:shd w:val="clear" w:color="auto" w:fill="auto"/>
            <w:vAlign w:val="bottom"/>
          </w:tcPr>
          <w:p w:rsidR="00D4755F" w:rsidRPr="000D25B2" w:rsidRDefault="00D4755F" w:rsidP="000773CC">
            <w:pPr>
              <w:spacing w:before="80" w:after="80" w:line="200" w:lineRule="exact"/>
              <w:jc w:val="right"/>
              <w:rPr>
                <w:i/>
                <w:sz w:val="16"/>
                <w:lang w:val="fr-FR"/>
              </w:rPr>
            </w:pPr>
            <w:r w:rsidRPr="000D25B2">
              <w:rPr>
                <w:i/>
                <w:sz w:val="16"/>
                <w:lang w:val="fr-FR"/>
              </w:rPr>
              <w:t>2007</w:t>
            </w:r>
          </w:p>
        </w:tc>
        <w:tc>
          <w:tcPr>
            <w:tcW w:w="981" w:type="dxa"/>
            <w:tcBorders>
              <w:bottom w:val="single" w:sz="12" w:space="0" w:color="auto"/>
            </w:tcBorders>
            <w:shd w:val="clear" w:color="auto" w:fill="auto"/>
            <w:vAlign w:val="bottom"/>
          </w:tcPr>
          <w:p w:rsidR="00D4755F" w:rsidRPr="000D25B2" w:rsidRDefault="00D4755F" w:rsidP="000773CC">
            <w:pPr>
              <w:spacing w:before="80" w:after="80" w:line="200" w:lineRule="exact"/>
              <w:jc w:val="right"/>
              <w:rPr>
                <w:i/>
                <w:sz w:val="16"/>
                <w:lang w:val="fr-FR"/>
              </w:rPr>
            </w:pPr>
            <w:r w:rsidRPr="000D25B2">
              <w:rPr>
                <w:i/>
                <w:sz w:val="16"/>
                <w:lang w:val="fr-FR"/>
              </w:rPr>
              <w:t>2008</w:t>
            </w:r>
          </w:p>
        </w:tc>
      </w:tr>
      <w:tr w:rsidR="00D4755F" w:rsidRPr="007019B2" w:rsidTr="000773CC">
        <w:tc>
          <w:tcPr>
            <w:tcW w:w="1469" w:type="dxa"/>
            <w:tcBorders>
              <w:top w:val="single" w:sz="12" w:space="0" w:color="auto"/>
            </w:tcBorders>
            <w:shd w:val="clear" w:color="auto" w:fill="auto"/>
          </w:tcPr>
          <w:p w:rsidR="00D4755F" w:rsidRPr="00120868" w:rsidRDefault="00D4755F" w:rsidP="000773CC">
            <w:pPr>
              <w:spacing w:before="40" w:after="40" w:line="220" w:lineRule="exact"/>
              <w:rPr>
                <w:sz w:val="18"/>
                <w:lang w:val="fr-FR"/>
              </w:rPr>
            </w:pPr>
            <w:r>
              <w:rPr>
                <w:sz w:val="18"/>
                <w:lang w:val="fr-FR"/>
              </w:rPr>
              <w:t>Samtsxe-Javakheti</w:t>
            </w:r>
          </w:p>
        </w:tc>
        <w:tc>
          <w:tcPr>
            <w:tcW w:w="981" w:type="dxa"/>
            <w:tcBorders>
              <w:top w:val="single" w:sz="12" w:space="0" w:color="auto"/>
            </w:tcBorders>
            <w:shd w:val="clear" w:color="auto" w:fill="auto"/>
            <w:vAlign w:val="bottom"/>
          </w:tcPr>
          <w:p w:rsidR="00D4755F" w:rsidRPr="007019B2" w:rsidRDefault="00D4755F" w:rsidP="000773CC">
            <w:pPr>
              <w:spacing w:before="40" w:after="40" w:line="220" w:lineRule="exact"/>
              <w:jc w:val="right"/>
              <w:rPr>
                <w:sz w:val="18"/>
                <w:lang w:val="fr-FR"/>
              </w:rPr>
            </w:pPr>
            <w:r>
              <w:rPr>
                <w:sz w:val="18"/>
                <w:lang w:val="fr-FR"/>
              </w:rPr>
              <w:t>1 069</w:t>
            </w:r>
          </w:p>
        </w:tc>
        <w:tc>
          <w:tcPr>
            <w:tcW w:w="985" w:type="dxa"/>
            <w:tcBorders>
              <w:top w:val="single" w:sz="12" w:space="0" w:color="auto"/>
            </w:tcBorders>
            <w:shd w:val="clear" w:color="auto" w:fill="auto"/>
            <w:vAlign w:val="bottom"/>
          </w:tcPr>
          <w:p w:rsidR="00D4755F" w:rsidRPr="007019B2" w:rsidRDefault="00D4755F" w:rsidP="000773CC">
            <w:pPr>
              <w:spacing w:before="40" w:after="40" w:line="220" w:lineRule="exact"/>
              <w:jc w:val="right"/>
              <w:rPr>
                <w:sz w:val="18"/>
                <w:lang w:val="fr-FR"/>
              </w:rPr>
            </w:pPr>
            <w:r>
              <w:rPr>
                <w:sz w:val="18"/>
                <w:lang w:val="fr-FR"/>
              </w:rPr>
              <w:t>572</w:t>
            </w:r>
          </w:p>
        </w:tc>
        <w:tc>
          <w:tcPr>
            <w:tcW w:w="985" w:type="dxa"/>
            <w:tcBorders>
              <w:top w:val="single" w:sz="12" w:space="0" w:color="auto"/>
            </w:tcBorders>
            <w:shd w:val="clear" w:color="auto" w:fill="auto"/>
            <w:vAlign w:val="bottom"/>
          </w:tcPr>
          <w:p w:rsidR="00D4755F" w:rsidRPr="007019B2" w:rsidRDefault="00D4755F" w:rsidP="000773CC">
            <w:pPr>
              <w:spacing w:before="40" w:after="40" w:line="220" w:lineRule="exact"/>
              <w:jc w:val="right"/>
              <w:rPr>
                <w:sz w:val="18"/>
                <w:lang w:val="fr-FR"/>
              </w:rPr>
            </w:pPr>
            <w:r>
              <w:rPr>
                <w:sz w:val="18"/>
                <w:lang w:val="fr-FR"/>
              </w:rPr>
              <w:t>213</w:t>
            </w:r>
          </w:p>
        </w:tc>
        <w:tc>
          <w:tcPr>
            <w:tcW w:w="985" w:type="dxa"/>
            <w:tcBorders>
              <w:top w:val="single" w:sz="12" w:space="0" w:color="auto"/>
            </w:tcBorders>
            <w:shd w:val="clear" w:color="auto" w:fill="auto"/>
            <w:vAlign w:val="bottom"/>
          </w:tcPr>
          <w:p w:rsidR="00D4755F" w:rsidRPr="007019B2" w:rsidRDefault="00D4755F" w:rsidP="000773CC">
            <w:pPr>
              <w:spacing w:before="40" w:after="40" w:line="220" w:lineRule="exact"/>
              <w:jc w:val="right"/>
              <w:rPr>
                <w:sz w:val="18"/>
                <w:lang w:val="fr-FR"/>
              </w:rPr>
            </w:pPr>
            <w:r>
              <w:rPr>
                <w:sz w:val="18"/>
                <w:lang w:val="fr-FR"/>
              </w:rPr>
              <w:t>443</w:t>
            </w:r>
          </w:p>
        </w:tc>
        <w:tc>
          <w:tcPr>
            <w:tcW w:w="985" w:type="dxa"/>
            <w:tcBorders>
              <w:top w:val="single" w:sz="12" w:space="0" w:color="auto"/>
            </w:tcBorders>
            <w:shd w:val="clear" w:color="auto" w:fill="auto"/>
            <w:vAlign w:val="bottom"/>
          </w:tcPr>
          <w:p w:rsidR="00D4755F" w:rsidRPr="007019B2" w:rsidRDefault="00D4755F" w:rsidP="000773CC">
            <w:pPr>
              <w:spacing w:before="40" w:after="40" w:line="220" w:lineRule="exact"/>
              <w:jc w:val="right"/>
              <w:rPr>
                <w:sz w:val="18"/>
                <w:lang w:val="fr-FR"/>
              </w:rPr>
            </w:pPr>
            <w:r>
              <w:rPr>
                <w:sz w:val="18"/>
                <w:lang w:val="fr-FR"/>
              </w:rPr>
              <w:t>116</w:t>
            </w:r>
          </w:p>
        </w:tc>
        <w:tc>
          <w:tcPr>
            <w:tcW w:w="981" w:type="dxa"/>
            <w:tcBorders>
              <w:top w:val="single" w:sz="12" w:space="0" w:color="auto"/>
            </w:tcBorders>
            <w:shd w:val="clear" w:color="auto" w:fill="auto"/>
            <w:vAlign w:val="bottom"/>
          </w:tcPr>
          <w:p w:rsidR="00D4755F" w:rsidRPr="007019B2" w:rsidRDefault="00D4755F" w:rsidP="000773CC">
            <w:pPr>
              <w:spacing w:before="40" w:after="40" w:line="220" w:lineRule="exact"/>
              <w:jc w:val="right"/>
              <w:rPr>
                <w:sz w:val="18"/>
                <w:lang w:val="fr-FR"/>
              </w:rPr>
            </w:pPr>
            <w:r>
              <w:rPr>
                <w:sz w:val="18"/>
                <w:lang w:val="fr-FR"/>
              </w:rPr>
              <w:t>136</w:t>
            </w:r>
          </w:p>
        </w:tc>
      </w:tr>
      <w:tr w:rsidR="00D4755F" w:rsidRPr="007019B2" w:rsidTr="000773CC">
        <w:tc>
          <w:tcPr>
            <w:tcW w:w="1469" w:type="dxa"/>
            <w:tcBorders>
              <w:bottom w:val="single" w:sz="12" w:space="0" w:color="auto"/>
            </w:tcBorders>
            <w:shd w:val="clear" w:color="auto" w:fill="auto"/>
          </w:tcPr>
          <w:p w:rsidR="00D4755F" w:rsidRPr="00120868" w:rsidRDefault="00D4755F" w:rsidP="000773CC">
            <w:pPr>
              <w:spacing w:before="40" w:after="40" w:line="220" w:lineRule="exact"/>
              <w:rPr>
                <w:sz w:val="18"/>
                <w:lang w:val="fr-FR"/>
              </w:rPr>
            </w:pPr>
            <w:r>
              <w:rPr>
                <w:sz w:val="18"/>
                <w:lang w:val="fr-FR"/>
              </w:rPr>
              <w:t>Kvemo Kartali</w:t>
            </w:r>
          </w:p>
        </w:tc>
        <w:tc>
          <w:tcPr>
            <w:tcW w:w="981" w:type="dxa"/>
            <w:tcBorders>
              <w:bottom w:val="single" w:sz="12" w:space="0" w:color="auto"/>
            </w:tcBorders>
            <w:shd w:val="clear" w:color="auto" w:fill="auto"/>
            <w:vAlign w:val="bottom"/>
          </w:tcPr>
          <w:p w:rsidR="00D4755F" w:rsidRPr="007019B2" w:rsidRDefault="00D4755F" w:rsidP="000773CC">
            <w:pPr>
              <w:spacing w:before="40" w:after="40" w:line="220" w:lineRule="exact"/>
              <w:jc w:val="right"/>
              <w:rPr>
                <w:sz w:val="18"/>
                <w:lang w:val="fr-FR"/>
              </w:rPr>
            </w:pPr>
            <w:r>
              <w:rPr>
                <w:sz w:val="18"/>
                <w:lang w:val="fr-FR"/>
              </w:rPr>
              <w:t>2 636</w:t>
            </w:r>
          </w:p>
        </w:tc>
        <w:tc>
          <w:tcPr>
            <w:tcW w:w="985" w:type="dxa"/>
            <w:tcBorders>
              <w:bottom w:val="single" w:sz="12" w:space="0" w:color="auto"/>
            </w:tcBorders>
            <w:shd w:val="clear" w:color="auto" w:fill="auto"/>
            <w:vAlign w:val="bottom"/>
          </w:tcPr>
          <w:p w:rsidR="00D4755F" w:rsidRPr="007019B2" w:rsidRDefault="00D4755F" w:rsidP="000773CC">
            <w:pPr>
              <w:spacing w:before="40" w:after="40" w:line="220" w:lineRule="exact"/>
              <w:jc w:val="right"/>
              <w:rPr>
                <w:sz w:val="18"/>
                <w:lang w:val="fr-FR"/>
              </w:rPr>
            </w:pPr>
            <w:r>
              <w:rPr>
                <w:sz w:val="18"/>
                <w:lang w:val="fr-FR"/>
              </w:rPr>
              <w:t>1 554</w:t>
            </w:r>
          </w:p>
        </w:tc>
        <w:tc>
          <w:tcPr>
            <w:tcW w:w="985" w:type="dxa"/>
            <w:tcBorders>
              <w:bottom w:val="single" w:sz="12" w:space="0" w:color="auto"/>
            </w:tcBorders>
            <w:shd w:val="clear" w:color="auto" w:fill="auto"/>
            <w:vAlign w:val="bottom"/>
          </w:tcPr>
          <w:p w:rsidR="00D4755F" w:rsidRPr="007019B2" w:rsidRDefault="00D4755F" w:rsidP="000773CC">
            <w:pPr>
              <w:spacing w:before="40" w:after="40" w:line="220" w:lineRule="exact"/>
              <w:jc w:val="right"/>
              <w:rPr>
                <w:sz w:val="18"/>
                <w:lang w:val="fr-FR"/>
              </w:rPr>
            </w:pPr>
            <w:r>
              <w:rPr>
                <w:sz w:val="18"/>
                <w:lang w:val="fr-FR"/>
              </w:rPr>
              <w:t>855</w:t>
            </w:r>
          </w:p>
        </w:tc>
        <w:tc>
          <w:tcPr>
            <w:tcW w:w="985" w:type="dxa"/>
            <w:tcBorders>
              <w:bottom w:val="single" w:sz="12" w:space="0" w:color="auto"/>
            </w:tcBorders>
            <w:shd w:val="clear" w:color="auto" w:fill="auto"/>
            <w:vAlign w:val="bottom"/>
          </w:tcPr>
          <w:p w:rsidR="00D4755F" w:rsidRPr="007019B2" w:rsidRDefault="00D4755F" w:rsidP="000773CC">
            <w:pPr>
              <w:spacing w:before="40" w:after="40" w:line="220" w:lineRule="exact"/>
              <w:jc w:val="right"/>
              <w:rPr>
                <w:sz w:val="18"/>
                <w:lang w:val="fr-FR"/>
              </w:rPr>
            </w:pPr>
            <w:r>
              <w:rPr>
                <w:sz w:val="18"/>
                <w:lang w:val="fr-FR"/>
              </w:rPr>
              <w:t>1 008</w:t>
            </w:r>
          </w:p>
        </w:tc>
        <w:tc>
          <w:tcPr>
            <w:tcW w:w="985" w:type="dxa"/>
            <w:tcBorders>
              <w:bottom w:val="single" w:sz="12" w:space="0" w:color="auto"/>
            </w:tcBorders>
            <w:shd w:val="clear" w:color="auto" w:fill="auto"/>
            <w:vAlign w:val="bottom"/>
          </w:tcPr>
          <w:p w:rsidR="00D4755F" w:rsidRPr="007019B2" w:rsidRDefault="00D4755F" w:rsidP="000773CC">
            <w:pPr>
              <w:spacing w:before="40" w:after="40" w:line="220" w:lineRule="exact"/>
              <w:jc w:val="right"/>
              <w:rPr>
                <w:sz w:val="18"/>
                <w:lang w:val="fr-FR"/>
              </w:rPr>
            </w:pPr>
            <w:r>
              <w:rPr>
                <w:sz w:val="18"/>
                <w:lang w:val="fr-FR"/>
              </w:rPr>
              <w:t>458</w:t>
            </w:r>
          </w:p>
        </w:tc>
        <w:tc>
          <w:tcPr>
            <w:tcW w:w="981" w:type="dxa"/>
            <w:tcBorders>
              <w:bottom w:val="single" w:sz="12" w:space="0" w:color="auto"/>
            </w:tcBorders>
            <w:shd w:val="clear" w:color="auto" w:fill="auto"/>
            <w:vAlign w:val="bottom"/>
          </w:tcPr>
          <w:p w:rsidR="00D4755F" w:rsidRPr="007019B2" w:rsidRDefault="00D4755F" w:rsidP="000773CC">
            <w:pPr>
              <w:spacing w:before="40" w:after="40" w:line="220" w:lineRule="exact"/>
              <w:jc w:val="right"/>
              <w:rPr>
                <w:sz w:val="18"/>
                <w:lang w:val="fr-FR"/>
              </w:rPr>
            </w:pPr>
            <w:r>
              <w:rPr>
                <w:sz w:val="18"/>
                <w:lang w:val="fr-FR"/>
              </w:rPr>
              <w:t>553</w:t>
            </w:r>
          </w:p>
        </w:tc>
      </w:tr>
    </w:tbl>
    <w:p w:rsidR="00D4755F" w:rsidRDefault="00D4755F" w:rsidP="00D4755F">
      <w:pPr>
        <w:pStyle w:val="SingleTxtG"/>
        <w:spacing w:before="240"/>
        <w:rPr>
          <w:lang w:val="fr-FR"/>
        </w:rPr>
      </w:pPr>
      <w:r>
        <w:rPr>
          <w:lang w:val="fr-FR"/>
        </w:rPr>
        <w:t>28.</w:t>
      </w:r>
      <w:r>
        <w:rPr>
          <w:lang w:val="fr-FR"/>
        </w:rPr>
        <w:tab/>
        <w:t>À la suite de modifications récentes apportées à la loi géorgienne sur l’enseignement supérieur, des quotas positifs ont été instaurés dans les établissements d’enseignement qui acceptent des étudiants sur la base d’un examen de leurs aptitudes générales organisé en azéri, arménien, ossète et abkhaze. Les établissements doivent afficher des quotas minimum pour les minorités nationales correspondant à 5 % du nombre total de places proposées pour les Arméniens, 5 % pour les Azéris, 1 % pour les Ossètes et 1 % pour les Abkhazes.</w:t>
      </w:r>
    </w:p>
    <w:p w:rsidR="00D4755F" w:rsidRPr="00190F4C" w:rsidRDefault="00D4755F" w:rsidP="00D4755F">
      <w:pPr>
        <w:pStyle w:val="H23G"/>
        <w:rPr>
          <w:lang w:val="fr-FR"/>
        </w:rPr>
      </w:pPr>
      <w:r>
        <w:rPr>
          <w:lang w:val="fr-FR"/>
        </w:rPr>
        <w:tab/>
      </w:r>
      <w:r>
        <w:rPr>
          <w:lang w:val="fr-FR"/>
        </w:rPr>
        <w:tab/>
      </w:r>
      <w:r w:rsidRPr="00190F4C">
        <w:rPr>
          <w:lang w:val="fr-FR"/>
        </w:rPr>
        <w:t>Utilisation des langues minoritaires</w:t>
      </w:r>
    </w:p>
    <w:p w:rsidR="00D4755F" w:rsidRDefault="00D4755F" w:rsidP="00D4755F">
      <w:pPr>
        <w:pStyle w:val="SingleTxtG"/>
        <w:rPr>
          <w:lang w:val="fr-FR"/>
        </w:rPr>
      </w:pPr>
      <w:r>
        <w:rPr>
          <w:lang w:val="fr-FR"/>
        </w:rPr>
        <w:t>29.</w:t>
      </w:r>
      <w:r>
        <w:rPr>
          <w:lang w:val="fr-FR"/>
        </w:rPr>
        <w:tab/>
        <w:t>Les autorités encouragent non seulement l’apprentissage du géorgien comme deuxième langue mais appliquent des politiques visant à renforcer la connaissance par les minorités de leur langue maternelle. Une attention particulière est accordée à la traduction des manuels dans les langues des minorités et à l’amélioration des compétences des enseignants. Sur les 2 300 établissements d’enseignement général, on compte 409 écoles non géorgiennes dont 140 écoles armé</w:t>
      </w:r>
      <w:r w:rsidR="00BC400A">
        <w:rPr>
          <w:lang w:val="fr-FR"/>
        </w:rPr>
        <w:t xml:space="preserve">niennes, 124 écoles azéris, 142 </w:t>
      </w:r>
      <w:r>
        <w:rPr>
          <w:lang w:val="fr-FR"/>
        </w:rPr>
        <w:t>écoles russes et 3 écoles ossètes.</w:t>
      </w:r>
    </w:p>
    <w:p w:rsidR="00D4755F" w:rsidRDefault="00D4755F" w:rsidP="00D4755F">
      <w:pPr>
        <w:pStyle w:val="SingleTxtG"/>
        <w:rPr>
          <w:lang w:val="fr-FR"/>
        </w:rPr>
      </w:pPr>
      <w:r>
        <w:rPr>
          <w:lang w:val="fr-FR"/>
        </w:rPr>
        <w:t>30.</w:t>
      </w:r>
      <w:r>
        <w:rPr>
          <w:lang w:val="fr-FR"/>
        </w:rPr>
        <w:tab/>
        <w:t>Suite à la mise en place du nouveau programme national en 2006, des manuels ont été traduits dans les langues des minorités. Il convient de mentionner également les activités suivantes:</w:t>
      </w:r>
    </w:p>
    <w:p w:rsidR="00D4755F" w:rsidRDefault="00D4755F" w:rsidP="00D4755F">
      <w:pPr>
        <w:pStyle w:val="SingleTxtG"/>
        <w:ind w:firstLine="567"/>
        <w:rPr>
          <w:lang w:val="fr-FR"/>
        </w:rPr>
      </w:pPr>
      <w:r>
        <w:rPr>
          <w:lang w:val="fr-FR"/>
        </w:rPr>
        <w:t>a)</w:t>
      </w:r>
      <w:r>
        <w:rPr>
          <w:lang w:val="fr-FR"/>
        </w:rPr>
        <w:tab/>
        <w:t xml:space="preserve">La revue </w:t>
      </w:r>
      <w:r w:rsidRPr="00051DD9">
        <w:rPr>
          <w:i/>
          <w:lang w:val="fr-FR"/>
        </w:rPr>
        <w:t>Enseignant</w:t>
      </w:r>
      <w:r>
        <w:rPr>
          <w:lang w:val="fr-FR"/>
        </w:rPr>
        <w:t>, traduite en arménien et en azéri et diffusée par le Centre de perfectionnement professionnel des enseignants et l’ONG «Centre pour l’intégration civile et les relations interculturelles»;</w:t>
      </w:r>
    </w:p>
    <w:p w:rsidR="00D4755F" w:rsidRDefault="00D4755F" w:rsidP="00D4755F">
      <w:pPr>
        <w:pStyle w:val="SingleTxtG"/>
        <w:ind w:firstLine="567"/>
        <w:rPr>
          <w:lang w:val="fr-FR"/>
        </w:rPr>
      </w:pPr>
      <w:r>
        <w:rPr>
          <w:lang w:val="fr-FR"/>
        </w:rPr>
        <w:t>b)</w:t>
      </w:r>
      <w:r>
        <w:rPr>
          <w:lang w:val="fr-FR"/>
        </w:rPr>
        <w:tab/>
        <w:t xml:space="preserve">Le journal </w:t>
      </w:r>
      <w:r w:rsidRPr="00051DD9">
        <w:rPr>
          <w:i/>
          <w:lang w:val="fr-FR"/>
        </w:rPr>
        <w:t>Dialogue</w:t>
      </w:r>
      <w:r>
        <w:rPr>
          <w:lang w:val="fr-FR"/>
        </w:rPr>
        <w:t xml:space="preserve"> destiné aux enseignants, aux parents et aux élèves, traduit en azéri et en arménien;</w:t>
      </w:r>
    </w:p>
    <w:p w:rsidR="00D4755F" w:rsidRDefault="00D4755F" w:rsidP="00D4755F">
      <w:pPr>
        <w:pStyle w:val="SingleTxtG"/>
        <w:ind w:firstLine="567"/>
        <w:rPr>
          <w:lang w:val="fr-FR"/>
        </w:rPr>
      </w:pPr>
      <w:r>
        <w:rPr>
          <w:lang w:val="fr-FR"/>
        </w:rPr>
        <w:t>c)</w:t>
      </w:r>
      <w:r>
        <w:rPr>
          <w:lang w:val="fr-FR"/>
        </w:rPr>
        <w:tab/>
        <w:t>Les manuels méthodologiques «Théories de l’enseignement et du développement» et «Enseignement et évaluation» ont été traduits en arménien et en azéri;</w:t>
      </w:r>
    </w:p>
    <w:p w:rsidR="00D4755F" w:rsidRDefault="00D4755F" w:rsidP="00D4755F">
      <w:pPr>
        <w:pStyle w:val="SingleTxtG"/>
        <w:ind w:firstLine="567"/>
        <w:rPr>
          <w:lang w:val="fr-FR"/>
        </w:rPr>
      </w:pPr>
      <w:r>
        <w:rPr>
          <w:lang w:val="fr-FR"/>
        </w:rPr>
        <w:t>d)</w:t>
      </w:r>
      <w:r>
        <w:rPr>
          <w:lang w:val="fr-FR"/>
        </w:rPr>
        <w:tab/>
        <w:t>Le sous-programme «Améliorer la disponibilité des manuels pour les étudiants non géorgiens» permet de fournir aux minorités des manuels sur l’histoire, la géographie et l’éducation civique de Géorgie traduits dans leur langue maternelle;</w:t>
      </w:r>
    </w:p>
    <w:p w:rsidR="00D4755F" w:rsidRDefault="00D4755F" w:rsidP="00D4755F">
      <w:pPr>
        <w:pStyle w:val="SingleTxtG"/>
        <w:ind w:firstLine="567"/>
        <w:rPr>
          <w:lang w:val="fr-FR"/>
        </w:rPr>
      </w:pPr>
      <w:r>
        <w:rPr>
          <w:lang w:val="fr-FR"/>
        </w:rPr>
        <w:t>e)</w:t>
      </w:r>
      <w:r>
        <w:rPr>
          <w:lang w:val="fr-FR"/>
        </w:rPr>
        <w:tab/>
        <w:t>Le Centre national des examens organise depuis 2009 dans les écoles des olympiades en géorgien, en azéri, en arménien et en russe.</w:t>
      </w:r>
    </w:p>
    <w:p w:rsidR="00D4755F" w:rsidRDefault="00D4755F" w:rsidP="00D4755F">
      <w:pPr>
        <w:pStyle w:val="H1G"/>
        <w:rPr>
          <w:lang w:val="fr-FR"/>
        </w:rPr>
      </w:pPr>
      <w:r>
        <w:rPr>
          <w:lang w:val="fr-FR"/>
        </w:rPr>
        <w:tab/>
      </w:r>
      <w:r w:rsidRPr="00190F4C">
        <w:rPr>
          <w:lang w:val="fr-FR"/>
        </w:rPr>
        <w:t>E.</w:t>
      </w:r>
      <w:r w:rsidRPr="00190F4C">
        <w:rPr>
          <w:lang w:val="fr-FR"/>
        </w:rPr>
        <w:tab/>
        <w:t>Rép</w:t>
      </w:r>
      <w:r>
        <w:rPr>
          <w:lang w:val="fr-FR"/>
        </w:rPr>
        <w:t>o</w:t>
      </w:r>
      <w:r w:rsidRPr="00190F4C">
        <w:rPr>
          <w:lang w:val="fr-FR"/>
        </w:rPr>
        <w:t>nses aux questions soulevées au paragraphe 14</w:t>
      </w:r>
    </w:p>
    <w:p w:rsidR="00D4755F" w:rsidRDefault="00D4755F" w:rsidP="00D4755F">
      <w:pPr>
        <w:pStyle w:val="SingleTxtG"/>
        <w:rPr>
          <w:lang w:val="fr-FR"/>
        </w:rPr>
      </w:pPr>
      <w:r w:rsidRPr="002237FF">
        <w:rPr>
          <w:lang w:val="fr-FR"/>
        </w:rPr>
        <w:t>31.</w:t>
      </w:r>
      <w:r w:rsidRPr="002237FF">
        <w:rPr>
          <w:lang w:val="fr-FR"/>
        </w:rPr>
        <w:tab/>
        <w:t xml:space="preserve">Le Ministère de la culture, de la protection des monuments et </w:t>
      </w:r>
      <w:r>
        <w:rPr>
          <w:lang w:val="fr-FR"/>
        </w:rPr>
        <w:t>des sports de Géorgie a mis en œuvre des politiques culturelles spéciales afin de promouvoir et d’aider les minorités nationales. Les institutions culturelles de différentes minorités reçoivent notamment une aide financière qui leur permet de mener à bien différentes activités culturelles (</w:t>
      </w:r>
      <w:r w:rsidRPr="002237FF">
        <w:rPr>
          <w:rFonts w:eastAsia="MS Mincho"/>
          <w:lang w:val="fr-FR"/>
        </w:rPr>
        <w:t>par exemple</w:t>
      </w:r>
      <w:r>
        <w:rPr>
          <w:lang w:val="fr-FR"/>
        </w:rPr>
        <w:t xml:space="preserve"> le Musée national d’histoire et d’ethnographie des juifs de Géorgie Davit Baazov, le Centre et la Maison du Caucase pour les relations culturelles en Géorgie, le Musée Mirza-Fathali Akhundov de la culture azerbaïdjanaise, le Centre de la culture russe en Géorgie, les théâtres nationaux arménien et azerbaïdjanais de Tbilissi). De plus, la municipalité de Tbilissi a mis en œuvre un programme d’aide au développement de l’art dramatique qui fournit une assistance financière aux théâtres ayant un rayonnement local (comme l’Académie nationale de théâtre dramatique russe Griboedov). En dehors de la capitale, une aide similaire est fournie par les institutions publiques locales. </w:t>
      </w:r>
      <w:r w:rsidRPr="002237FF">
        <w:rPr>
          <w:rFonts w:eastAsia="MS Mincho"/>
          <w:lang w:val="fr-FR"/>
        </w:rPr>
        <w:t>Par exemple</w:t>
      </w:r>
      <w:r>
        <w:rPr>
          <w:lang w:val="fr-FR"/>
        </w:rPr>
        <w:t>, ce sont les administrations locales qui gèrent les bibliothèques de langues m</w:t>
      </w:r>
      <w:r w:rsidR="00BC400A">
        <w:rPr>
          <w:lang w:val="fr-FR"/>
        </w:rPr>
        <w:t xml:space="preserve">inoritaires (25 arméniennes, 15 </w:t>
      </w:r>
      <w:r>
        <w:rPr>
          <w:lang w:val="fr-FR"/>
        </w:rPr>
        <w:t>azerbaïdjanaises, 14 mixtes et 5 ossètes) ainsi que de nombreuses écoles d’artisanat, de musique et des clubs. De plus, le Ministère de la culture, de la protection des monuments et des sports de Géorgie entretient tous les panthéons de Tbilissi, notamment le Panthéon des grands hommes et des écrivains arméniens.</w:t>
      </w:r>
    </w:p>
    <w:p w:rsidR="00D4755F" w:rsidRDefault="00D4755F" w:rsidP="00D4755F">
      <w:pPr>
        <w:pStyle w:val="SingleTxtG"/>
        <w:rPr>
          <w:lang w:val="fr-FR"/>
        </w:rPr>
      </w:pPr>
      <w:r>
        <w:rPr>
          <w:lang w:val="fr-FR"/>
        </w:rPr>
        <w:t>32.</w:t>
      </w:r>
      <w:r>
        <w:rPr>
          <w:lang w:val="fr-FR"/>
        </w:rPr>
        <w:tab/>
        <w:t>Le Programme national d’enseignement définit les grands axes de la politique éducative et oblige les établissements d’enseignement à encourager la participation de tous les élèves au processus éducatif, quelles que soient leurs aptitudes mentales ou physiques ou leur appartenance sociale, ethnique, religieuse, linguistique ou idéologique. Pour aider les enseignants à suivre cette politique éducative, le Ministère de l’éducation et des sciences a traduit et distribué le manuel du Conseil de l’Europe intitulé «Diversité religieuse et éducation interculturelle». De plus, l’Institut du Caucase pour la paix, le développement et la démocratie a élaboré un manuel intitulé «L’histoire des religions mondiales» pour les élèves plus âgés. Ces manuels visent à développer la tolérance et le respect pour d’autres religions chez les jeunes.</w:t>
      </w:r>
    </w:p>
    <w:p w:rsidR="00D4755F" w:rsidRDefault="00D4755F" w:rsidP="00D4755F">
      <w:pPr>
        <w:pStyle w:val="SingleTxtG"/>
        <w:rPr>
          <w:rFonts w:eastAsia="MS Mincho"/>
          <w:lang w:val="fr-FR"/>
        </w:rPr>
      </w:pPr>
      <w:r>
        <w:rPr>
          <w:lang w:val="fr-FR"/>
        </w:rPr>
        <w:t>33.</w:t>
      </w:r>
      <w:r>
        <w:rPr>
          <w:lang w:val="fr-FR"/>
        </w:rPr>
        <w:tab/>
        <w:t xml:space="preserve">Lorsqu’elles recrutent des candidats aux différents postes, les institutions publiques géorgiennes ne collectent pas d’informations concernant leur appartenance ethnique ou leur affiliation religieuse; il est donc difficile de fournir des informations statistiques sur la présence des minorités dans l’administration publique. Il faut néanmoins souligner que la </w:t>
      </w:r>
      <w:r>
        <w:rPr>
          <w:rFonts w:eastAsia="MS Mincho"/>
          <w:lang w:val="fr-FR"/>
        </w:rPr>
        <w:t xml:space="preserve">représentation des minorités est particulièrement élevée dans les régions où ces dernières constituent une partie importante de la </w:t>
      </w:r>
      <w:r w:rsidRPr="00B42DEA">
        <w:rPr>
          <w:rFonts w:eastAsia="MS Mincho"/>
          <w:lang w:val="fr-FR"/>
        </w:rPr>
        <w:t>population</w:t>
      </w:r>
      <w:r>
        <w:rPr>
          <w:rFonts w:eastAsia="MS Mincho"/>
          <w:lang w:val="fr-FR"/>
        </w:rPr>
        <w:t xml:space="preserve">, </w:t>
      </w:r>
      <w:r w:rsidRPr="00B42DEA">
        <w:rPr>
          <w:rFonts w:eastAsia="MS Mincho"/>
          <w:lang w:val="fr-FR"/>
        </w:rPr>
        <w:t>par exemple</w:t>
      </w:r>
      <w:r>
        <w:rPr>
          <w:rFonts w:eastAsia="MS Mincho"/>
          <w:lang w:val="fr-FR"/>
        </w:rPr>
        <w:t xml:space="preserve"> dans les districts de Ninotsminda et d’Akhalkalaki (jusqu’à 86 % de la population) et dans le district de Tsalka (jusqu’à 55 % de la population). Des </w:t>
      </w:r>
      <w:r w:rsidRPr="006B1E86">
        <w:rPr>
          <w:rFonts w:eastAsia="MS Mincho"/>
          <w:lang w:val="fr-FR"/>
        </w:rPr>
        <w:t>représentant</w:t>
      </w:r>
      <w:r>
        <w:rPr>
          <w:rFonts w:eastAsia="MS Mincho"/>
          <w:lang w:val="fr-FR"/>
        </w:rPr>
        <w:t>s de minorités nationales sont également employés par les services du Ministère d’État à la réintégration; ils représentent la majorité des employés de la Division des questions relatives aux minorités nationales et ethniques et de la Division de l’intégration civile des Services du Ministère d’État à la réintégration.</w:t>
      </w:r>
    </w:p>
    <w:p w:rsidR="00D4755F" w:rsidRDefault="00D4755F" w:rsidP="00D4755F">
      <w:pPr>
        <w:pStyle w:val="SingleTxtG"/>
        <w:rPr>
          <w:rFonts w:eastAsia="MS Mincho"/>
          <w:lang w:val="fr-FR"/>
        </w:rPr>
      </w:pPr>
      <w:r>
        <w:rPr>
          <w:rFonts w:eastAsia="MS Mincho"/>
          <w:lang w:val="fr-FR"/>
        </w:rPr>
        <w:t>34.</w:t>
      </w:r>
      <w:r>
        <w:rPr>
          <w:rFonts w:eastAsia="MS Mincho"/>
          <w:lang w:val="fr-FR"/>
        </w:rPr>
        <w:tab/>
        <w:t>Le Ministère de l’intérieur, quant à lui, estime que les minorités ethniques représentent une valeur ajoutée pour la police, en raison de leur compréhension des traditions et des intérêts locaux. Par conséquent, tout candidat ayant une maîtrise insuffisante du géorgien se voit proposer des cours de langue avant et après son admission à l’École de police.</w:t>
      </w:r>
    </w:p>
    <w:p w:rsidR="00D4755F" w:rsidRDefault="00D4755F" w:rsidP="00D4755F">
      <w:pPr>
        <w:pStyle w:val="SingleTxtG"/>
        <w:rPr>
          <w:rFonts w:eastAsia="MS Mincho"/>
          <w:lang w:val="fr-FR"/>
        </w:rPr>
      </w:pPr>
      <w:r>
        <w:rPr>
          <w:rFonts w:eastAsia="MS Mincho"/>
          <w:lang w:val="fr-FR"/>
        </w:rPr>
        <w:t>35.</w:t>
      </w:r>
      <w:r>
        <w:rPr>
          <w:rFonts w:eastAsia="MS Mincho"/>
          <w:lang w:val="fr-FR"/>
        </w:rPr>
        <w:tab/>
        <w:t xml:space="preserve">Une attention particulière est accordée au renforcement de la participation politique et de l’égalité des droits de vote pour les minorités nationales en Géorgie. Dans cette perspective, la </w:t>
      </w:r>
      <w:r w:rsidRPr="006B1E86">
        <w:rPr>
          <w:rFonts w:eastAsia="MS Mincho"/>
          <w:lang w:val="fr-FR"/>
        </w:rPr>
        <w:t>Commission</w:t>
      </w:r>
      <w:r>
        <w:rPr>
          <w:rFonts w:eastAsia="MS Mincho"/>
          <w:lang w:val="fr-FR"/>
        </w:rPr>
        <w:t xml:space="preserve"> électorale centrale de Géorgie a préparé en 2009 des bulletins de vote ainsi que la documentation nécessaire dans les langues des minorités (russe, ossète, arménien et azéri), avec l’assistance d’organisations internationales. De plus, des annonces publicitaires audio et vidéo en azéri et en arménien sont insérées dans les programmes télévisés régionaux diffusés dans les régions où sont installées les minorités.</w:t>
      </w:r>
    </w:p>
    <w:p w:rsidR="00D4755F" w:rsidRDefault="00D4755F" w:rsidP="00D4755F">
      <w:pPr>
        <w:pStyle w:val="H1G"/>
        <w:rPr>
          <w:rFonts w:eastAsia="MS Mincho"/>
          <w:lang w:val="fr-FR"/>
        </w:rPr>
      </w:pPr>
      <w:r>
        <w:rPr>
          <w:rFonts w:eastAsia="MS Mincho"/>
          <w:lang w:val="fr-FR"/>
        </w:rPr>
        <w:tab/>
        <w:t>F.</w:t>
      </w:r>
      <w:r>
        <w:rPr>
          <w:rFonts w:eastAsia="MS Mincho"/>
          <w:lang w:val="fr-FR"/>
        </w:rPr>
        <w:tab/>
        <w:t>Réponses aux questions soulevées au paragraphe 15</w:t>
      </w:r>
    </w:p>
    <w:p w:rsidR="00D4755F" w:rsidRDefault="00D4755F" w:rsidP="00D4755F">
      <w:pPr>
        <w:pStyle w:val="SingleTxtG"/>
        <w:rPr>
          <w:rFonts w:eastAsia="MS Mincho"/>
          <w:lang w:val="fr-FR"/>
        </w:rPr>
      </w:pPr>
      <w:r>
        <w:rPr>
          <w:rFonts w:eastAsia="MS Mincho"/>
          <w:lang w:val="fr-FR"/>
        </w:rPr>
        <w:t>36.</w:t>
      </w:r>
      <w:r>
        <w:rPr>
          <w:rFonts w:eastAsia="MS Mincho"/>
          <w:lang w:val="fr-FR"/>
        </w:rPr>
        <w:tab/>
        <w:t>Le 11 juillet 2007, le Parlement a adopté la loi sur le rapatriement des personnes déplacées de force de la République socialiste soviétique de Géorgie par l’ex-URSS au cours des années 1940. Il s’agit d’une loi relative aux personnes déplacées de force</w:t>
      </w:r>
      <w:r>
        <w:rPr>
          <w:rStyle w:val="FootnoteReference"/>
          <w:rFonts w:eastAsia="MS Mincho"/>
        </w:rPr>
        <w:footnoteReference w:id="13"/>
      </w:r>
      <w:r>
        <w:rPr>
          <w:rFonts w:eastAsia="MS Mincho"/>
          <w:lang w:val="fr-FR"/>
        </w:rPr>
        <w:t>, qui fournit une base légale au rapatriement de ces personnes et de leurs descendants directs. Le statut de «rapatrié» garantit à un individu le droit de recevoir la citoyenneté géorgienne dans le cadre de la procédure établie par la loi organique de Géorgie sur la nationalité géorgienne. Le Ministère des réfugiés et de l’hébergement (MRA) est chargé d’examiner les demandes de statut de rapatrié.</w:t>
      </w:r>
    </w:p>
    <w:p w:rsidR="00D4755F" w:rsidRDefault="00D4755F" w:rsidP="00D4755F">
      <w:pPr>
        <w:pStyle w:val="SingleTxtG"/>
      </w:pPr>
      <w:r>
        <w:t>37.</w:t>
      </w:r>
      <w:r>
        <w:tab/>
        <w:t>La date limite de soumission des demandes de statut de rapatrié était fixée au 1</w:t>
      </w:r>
      <w:r w:rsidRPr="008533A3">
        <w:rPr>
          <w:vertAlign w:val="superscript"/>
        </w:rPr>
        <w:t>er</w:t>
      </w:r>
      <w:r>
        <w:t> janvier 2009. Suite aux recommandations de plusieurs organisations internationales, le Gouvernement géorgien a prolongé deux fois ce délai: jusqu’au 1</w:t>
      </w:r>
      <w:r w:rsidRPr="008533A3">
        <w:rPr>
          <w:vertAlign w:val="superscript"/>
        </w:rPr>
        <w:t>er</w:t>
      </w:r>
      <w:r>
        <w:t xml:space="preserve"> juillet 2009, puis jusqu’au 1</w:t>
      </w:r>
      <w:r w:rsidRPr="008533A3">
        <w:rPr>
          <w:vertAlign w:val="superscript"/>
        </w:rPr>
        <w:t>er</w:t>
      </w:r>
      <w:r>
        <w:t xml:space="preserve"> janvier 2010. De plus, des modifications simplifiant les procédures de rapatriement ont été apportées en décembre 2009 à la loi pour répondre aux besoins de la population meskhète. </w:t>
      </w:r>
    </w:p>
    <w:p w:rsidR="00D4755F" w:rsidRDefault="00D4755F" w:rsidP="00D4755F">
      <w:pPr>
        <w:pStyle w:val="SingleTxtG"/>
      </w:pPr>
      <w:r>
        <w:t>38.</w:t>
      </w:r>
      <w:r>
        <w:tab/>
        <w:t>Il faut signaler que certaines organisations internationales se sont déclarées préoccupées par le risque que couraient certaines personnes de devenir apatrides après avoir obtenu le statut de rapatrié. Pour éviter cela, la disposition</w:t>
      </w:r>
      <w:r>
        <w:rPr>
          <w:rStyle w:val="FootnoteReference"/>
        </w:rPr>
        <w:footnoteReference w:id="14"/>
      </w:r>
      <w:r>
        <w:t xml:space="preserve"> exigeant d’une personne qui obtient le statut de rapatrié qu’elle refuse la citoyenneté d’un autre pays a été abolie. De plus, le Gouvernement géorgien a été chargé d’élaborer des règlements «sur une procédure simplifiée d’octroi de la citoyenneté géorgienne aux personnes ayant obtenu le statut de rapatrié», qui renforceront les garanties d’élimination du risque d’apatridie.</w:t>
      </w:r>
    </w:p>
    <w:p w:rsidR="00D4755F" w:rsidRDefault="00D4755F" w:rsidP="00D4755F">
      <w:pPr>
        <w:pStyle w:val="SingleTxtG"/>
      </w:pPr>
      <w:r>
        <w:t>39.</w:t>
      </w:r>
      <w:r>
        <w:tab/>
        <w:t xml:space="preserve">D’après les statistiques, 5 806 personnes ont présenté des demandes au MRA afin d’acquérir le statut de rapatrié. La majorité d’entre elles vivent en République d’Azerbaïdjan, les autres étant originaires d’Ukraine, de la République du Kazakhstan, des États-Unis, etc. </w:t>
      </w:r>
    </w:p>
    <w:p w:rsidR="00D4755F" w:rsidRDefault="00D4755F" w:rsidP="00D4755F">
      <w:pPr>
        <w:pStyle w:val="SingleTxtG"/>
      </w:pPr>
      <w:r>
        <w:t>40.</w:t>
      </w:r>
      <w:r>
        <w:tab/>
        <w:t>Des campagnes de sensibilisation ont été menées par le Gouvernement, des ONG et des organisations donatrices afin de permettre une intégration progressive dans la société géorgienne des personnes déplacées de force. Ces mesures comprennent l’élaboration de brochures explicatives sur les procédures et les demandes dans trois langues (russe, anglais et azéri) et leur diffusion dans la population meskhète par l’ECMI.</w:t>
      </w:r>
    </w:p>
    <w:p w:rsidR="00D4755F" w:rsidRDefault="00D4755F" w:rsidP="00D4755F">
      <w:pPr>
        <w:pStyle w:val="SingleTxtG"/>
      </w:pPr>
      <w:r>
        <w:t>41.</w:t>
      </w:r>
      <w:r>
        <w:tab/>
        <w:t>De plus, l’association «Toleranti» réalise des projets qui mettent l’accent sur l’intégration des rapatriés meskhètes en leur fournissant une assistance, par l’intermédiaire d’un centre d’information et de consultation et l’organisation d’écoles d’été et de cours de géorgien. La même organisation a créé une permanence téléphonique ouverte vingt-quatre heures sur vingt-quatre pour les personnes déplacées de force. De plus, quatre documentaires ont été réalisés sur les personnes déplacées de force rapatriées qui ont été diffusés par le Service public de radiodiffusion géorgien. Un livre d’information intitulé «Enfants célèbres de Meskhètes» a été publié en géorgien et en russe, puis distribué aux personnes déplacées de force.</w:t>
      </w:r>
    </w:p>
    <w:p w:rsidR="00D4755F" w:rsidRDefault="00D4755F" w:rsidP="00D4755F">
      <w:pPr>
        <w:pStyle w:val="H1G"/>
      </w:pPr>
      <w:r>
        <w:tab/>
        <w:t>G.</w:t>
      </w:r>
      <w:r>
        <w:tab/>
        <w:t>Réponses aux questions soulevées au paragraphe 16</w:t>
      </w:r>
    </w:p>
    <w:p w:rsidR="00D4755F" w:rsidRDefault="00D4755F" w:rsidP="00D4755F">
      <w:pPr>
        <w:pStyle w:val="SingleTxtG"/>
      </w:pPr>
      <w:r>
        <w:t>42.</w:t>
      </w:r>
      <w:r>
        <w:tab/>
        <w:t>L’égalité devant la justice est un principe constitutionnel en Géorgie qui est garanti par plusieurs actes législatifs. Pour renforcer les garanties constitutionnelles, une nouvelle loi sur l’aide judiciaire gratuite a été adoptée par le Parlement géorgien en juillet 2007, qui garantit l’octroi de cette aide sans discrimination. La loi vise à créer un service social d’aide judiciaire pour permettre l’exercice effectif du droit d’accès à la justice dans les procédures pénales, civiles et administratives. L’aide judiciaire est dispensée sous forme de consultation juridique et d’établissement de documents juridiques pour tous, la représentation au tribunal dans les affaires pénales étant réservée aux résidents vivant sous le seuil de pauvreté</w:t>
      </w:r>
      <w:r>
        <w:rPr>
          <w:rStyle w:val="FootnoteReference"/>
        </w:rPr>
        <w:footnoteReference w:id="15"/>
      </w:r>
      <w:r>
        <w:t>, une assistance juridique obligatoire (pour les affaires pénales, dans les cas établis par le Code de procédure pénale de Géorgie) peut être sollicitée par les résidents de Géorgie tout comme par les étrangers. En Géorgie, l’aide judiciaire est dispensée par 10 bureaux d’aide judiciaire (y compris un bureau situé à Kvemo Kartli, où réside une importante population azéri) et deux centres de consultation. Le Plan d’action pour la réforme de la justice pénale prévoit notamment la création de bureaux régionaux supplémentaires dans la région de Samtskhe-Javakheti (pour 2011-2013) pour répondre aux besoins des minorités ethniques. Depuis mars 2010, les locaux du Bureau d’aide judiciaire d’Akhaltsikhe ont été rénovés avec l’aide du PNUD.</w:t>
      </w:r>
    </w:p>
    <w:p w:rsidR="00D4755F" w:rsidRDefault="00D4755F" w:rsidP="00D4755F">
      <w:pPr>
        <w:pStyle w:val="SingleTxtG"/>
      </w:pPr>
      <w:r>
        <w:t>43.</w:t>
      </w:r>
      <w:r>
        <w:tab/>
        <w:t>Au sujet du droit à la santé, il convient de noter que la protection de la santé est assurée sans discrimination, selon la législation pertinente</w:t>
      </w:r>
      <w:r>
        <w:rPr>
          <w:rStyle w:val="FootnoteReference"/>
        </w:rPr>
        <w:footnoteReference w:id="16"/>
      </w:r>
      <w:r>
        <w:t>. En 2009, plusieurs programmes de santé publique ont été adoptés par l’ordonnance du Ministère du travail, de la santé et des affaires sociales de Géorgie</w:t>
      </w:r>
      <w:r>
        <w:rPr>
          <w:rStyle w:val="FootnoteReference"/>
        </w:rPr>
        <w:footnoteReference w:id="17"/>
      </w:r>
      <w:r>
        <w:t>, qui s’appliquent de la même façon aux citoyens et aux non-citoyens, c’est-à-dire aux étrangers résidant de manière permanente en Géorgie. Ils comprennent:</w:t>
      </w:r>
    </w:p>
    <w:p w:rsidR="00D4755F" w:rsidRDefault="00D4755F" w:rsidP="00D4755F">
      <w:pPr>
        <w:pStyle w:val="Bullet1G"/>
        <w:numPr>
          <w:ilvl w:val="0"/>
          <w:numId w:val="37"/>
        </w:numPr>
      </w:pPr>
      <w:r>
        <w:t>Un programme de fourniture de médicaments spécifiques à la population;</w:t>
      </w:r>
    </w:p>
    <w:p w:rsidR="00D4755F" w:rsidRDefault="00D4755F" w:rsidP="00D4755F">
      <w:pPr>
        <w:pStyle w:val="Bullet1G"/>
        <w:numPr>
          <w:ilvl w:val="0"/>
          <w:numId w:val="37"/>
        </w:numPr>
      </w:pPr>
      <w:r>
        <w:t>Un programme public de soins pour les enfants et les jeunes hémophiles;</w:t>
      </w:r>
    </w:p>
    <w:p w:rsidR="00D4755F" w:rsidRDefault="00D4755F" w:rsidP="00D4755F">
      <w:pPr>
        <w:pStyle w:val="Bullet1G"/>
        <w:numPr>
          <w:ilvl w:val="0"/>
          <w:numId w:val="37"/>
        </w:numPr>
      </w:pPr>
      <w:r>
        <w:t>Un programme public de services psychiatriques;</w:t>
      </w:r>
    </w:p>
    <w:p w:rsidR="00D4755F" w:rsidRDefault="00D4755F" w:rsidP="00D4755F">
      <w:pPr>
        <w:pStyle w:val="Bullet1G"/>
        <w:numPr>
          <w:ilvl w:val="0"/>
          <w:numId w:val="37"/>
        </w:numPr>
      </w:pPr>
      <w:r>
        <w:t>Un programme public de visites médicales pour les recrues de l’armée;</w:t>
      </w:r>
    </w:p>
    <w:p w:rsidR="00D4755F" w:rsidRDefault="00D4755F" w:rsidP="00D4755F">
      <w:pPr>
        <w:pStyle w:val="Bullet1G"/>
        <w:numPr>
          <w:ilvl w:val="0"/>
          <w:numId w:val="37"/>
        </w:numPr>
      </w:pPr>
      <w:r>
        <w:t>Un programme public de services antituberculeux;</w:t>
      </w:r>
    </w:p>
    <w:p w:rsidR="00D4755F" w:rsidRPr="00C07533" w:rsidRDefault="00D4755F" w:rsidP="00D4755F">
      <w:pPr>
        <w:pStyle w:val="Bullet1G"/>
        <w:numPr>
          <w:ilvl w:val="0"/>
          <w:numId w:val="37"/>
        </w:numPr>
      </w:pPr>
      <w:r>
        <w:t>Un programme public d’assurance médicale pour la population vivant sous le seuil de pauvreté.</w:t>
      </w:r>
    </w:p>
    <w:p w:rsidR="00D4755F" w:rsidRDefault="00D4755F" w:rsidP="00D4755F">
      <w:pPr>
        <w:pStyle w:val="H1G"/>
      </w:pPr>
      <w:r>
        <w:tab/>
        <w:t>H.</w:t>
      </w:r>
      <w:r>
        <w:tab/>
        <w:t>Réponses aux questions soulevées au paragraphe 17</w:t>
      </w:r>
    </w:p>
    <w:p w:rsidR="00D4755F" w:rsidRPr="00AC231B" w:rsidRDefault="00D4755F" w:rsidP="00D4755F">
      <w:pPr>
        <w:pStyle w:val="SingleTxtG"/>
        <w:rPr>
          <w:spacing w:val="-2"/>
        </w:rPr>
      </w:pPr>
      <w:r w:rsidRPr="00AC231B">
        <w:rPr>
          <w:spacing w:val="-2"/>
        </w:rPr>
        <w:t>44.</w:t>
      </w:r>
      <w:r w:rsidRPr="00AC231B">
        <w:rPr>
          <w:spacing w:val="-2"/>
        </w:rPr>
        <w:tab/>
        <w:t>En 2005, le Parlement a adopté la loi géorgienne sur le statut des étrangers qui réglemente l’entrée, le séjour, le transit en Géorgie et le départ de Géorgie des étrangers et définit les droits et obligations de ces derniers ainsi que les procédures d’expulsion</w:t>
      </w:r>
      <w:r w:rsidRPr="00AC231B">
        <w:rPr>
          <w:rStyle w:val="FootnoteReference"/>
          <w:spacing w:val="-2"/>
        </w:rPr>
        <w:footnoteReference w:id="18"/>
      </w:r>
      <w:r w:rsidRPr="00AC231B">
        <w:rPr>
          <w:spacing w:val="-2"/>
        </w:rPr>
        <w:t>. L’article 53 de cette loi décrit les motifs d’expulsion des étrangers: un étranger peut notamment être expulsé de Géorgie si il ou elle est entré(e) illégalement dans le pays; s’il n’existe plus de motif légal justifiant la poursuite de son séjour en Géorgie ou si sa résidence en Géorgie est contraire aux intérêts de la sécurité nationale et de l’ordre public. Il convient de noter que la loi interdit l’expulsion d’une personne si elle est persécutée pour ses opinions politiques ou pour des activités qui ne sont pas considérées comme un crime dans la législation géorgienne; si elle est menacée pour avoir mené des activités en faveur de la protection des droits de l’homme et de la paix ou des activités sociales, politiques, scientifiques et autres à caractère progressiste; et si l’expulsion serait une menace pour sa vie ou sa santé.</w:t>
      </w:r>
    </w:p>
    <w:p w:rsidR="00625336" w:rsidRPr="00AC231B" w:rsidRDefault="00625336" w:rsidP="00625336">
      <w:pPr>
        <w:pStyle w:val="SingleTxtG"/>
        <w:rPr>
          <w:spacing w:val="-2"/>
          <w:lang w:val="fr-FR"/>
        </w:rPr>
      </w:pPr>
      <w:r w:rsidRPr="00AC231B">
        <w:rPr>
          <w:spacing w:val="-2"/>
          <w:lang w:val="fr-FR"/>
        </w:rPr>
        <w:t>45.</w:t>
      </w:r>
      <w:r w:rsidRPr="00AC231B">
        <w:rPr>
          <w:spacing w:val="-2"/>
          <w:lang w:val="fr-FR"/>
        </w:rPr>
        <w:tab/>
        <w:t>Le Gouvernement géorgien note que, durant la période sur laquelle porte le rapport, il n’y a eu aucun cas d’expulsion, de retour ou d’autre forme de renvoi d’étrangers vers un pays dans lequel leur intégrité physique ou morale pouvait être en danger. En 2001, la Géorgie a extradé des citoyens russes d’origine tchétchène réclamés par les autorités chargées de l’application des lois russes. Treize personnes d’origine tchétchène faisant l’objet d’une demande d’extradition ont porté plainte devant la Cour européenne des droits de l’homme. Seules quatre d’entre elles ont été extradées vers la Russie. La Cour européenne a estimé que la Géorgie n’avait pas respecté ses obligations au titre de la Convention européenne de sauvegarde des droits de l’homme et des libertés fondamentales</w:t>
      </w:r>
      <w:r w:rsidRPr="00AC231B">
        <w:rPr>
          <w:rStyle w:val="FootnoteReference"/>
          <w:spacing w:val="-2"/>
        </w:rPr>
        <w:footnoteReference w:id="19"/>
      </w:r>
      <w:r w:rsidRPr="00AC231B">
        <w:rPr>
          <w:spacing w:val="-2"/>
          <w:lang w:val="fr-FR"/>
        </w:rPr>
        <w:t xml:space="preserve">. La Géorgie a procédé depuis lors à des modifications législatives importantes: procédure détaillée de recours en justice contre la décision d’extradition du Procureur général, obligation d’informer le détenu de la procédure d’extradition en cours, etc. En outre, la Géorgie a dûment exécuté ledit jugement s’agissant des mesures individuelles comme des mesures générales: elle a versé indemnisé les victimes, annulé le décret d’extradition du Procureur général adjoint concernant neuf fugitifs et amélioré la législation sur l’extradition. De plus, conformément aux normes internationales (notamment la Recommandation générale </w:t>
      </w:r>
      <w:r w:rsidRPr="00AC231B">
        <w:rPr>
          <w:rFonts w:eastAsia="MS Mincho"/>
          <w:spacing w:val="-2"/>
          <w:lang w:val="fr-FR"/>
        </w:rPr>
        <w:t>n</w:t>
      </w:r>
      <w:r w:rsidRPr="00AC231B">
        <w:rPr>
          <w:rFonts w:eastAsia="MS Mincho"/>
          <w:spacing w:val="-2"/>
          <w:vertAlign w:val="superscript"/>
          <w:lang w:val="fr-FR"/>
        </w:rPr>
        <w:t>o</w:t>
      </w:r>
      <w:r w:rsidRPr="00AC231B">
        <w:rPr>
          <w:spacing w:val="-2"/>
          <w:lang w:val="fr-FR"/>
        </w:rPr>
        <w:t> 22), le Code pénal géorgien a été modifié en juillet 2006 afin d’interdire explicitement l’extradition de personnes ayant obtenu l’asile politique ou le statut de refugié.</w:t>
      </w:r>
    </w:p>
    <w:p w:rsidR="00625336" w:rsidRPr="0017720E" w:rsidRDefault="00625336" w:rsidP="00625336">
      <w:pPr>
        <w:pStyle w:val="H23G"/>
        <w:rPr>
          <w:lang w:val="fr-FR"/>
        </w:rPr>
      </w:pPr>
      <w:r>
        <w:rPr>
          <w:lang w:val="fr-FR"/>
        </w:rPr>
        <w:tab/>
      </w:r>
      <w:r>
        <w:rPr>
          <w:lang w:val="fr-FR"/>
        </w:rPr>
        <w:tab/>
      </w:r>
      <w:r w:rsidRPr="0017720E">
        <w:rPr>
          <w:lang w:val="fr-FR"/>
        </w:rPr>
        <w:t xml:space="preserve">Protection </w:t>
      </w:r>
      <w:r>
        <w:rPr>
          <w:lang w:val="fr-FR"/>
        </w:rPr>
        <w:t xml:space="preserve">juridique </w:t>
      </w:r>
      <w:r w:rsidRPr="0017720E">
        <w:rPr>
          <w:lang w:val="fr-FR"/>
        </w:rPr>
        <w:t>des réfugiés et des demandeurs d’asile</w:t>
      </w:r>
    </w:p>
    <w:p w:rsidR="00625336" w:rsidRPr="0017720E" w:rsidRDefault="00625336" w:rsidP="00625336">
      <w:pPr>
        <w:pStyle w:val="SingleTxtG"/>
        <w:rPr>
          <w:lang w:val="fr-FR"/>
        </w:rPr>
      </w:pPr>
      <w:r w:rsidRPr="0017720E">
        <w:rPr>
          <w:lang w:val="fr-FR"/>
        </w:rPr>
        <w:t>46.</w:t>
      </w:r>
      <w:r w:rsidRPr="0017720E">
        <w:rPr>
          <w:lang w:val="fr-FR"/>
        </w:rPr>
        <w:tab/>
      </w:r>
      <w:r>
        <w:rPr>
          <w:lang w:val="fr-FR"/>
        </w:rPr>
        <w:t xml:space="preserve">Suite aux </w:t>
      </w:r>
      <w:r w:rsidRPr="0017720E">
        <w:rPr>
          <w:lang w:val="fr-FR"/>
        </w:rPr>
        <w:t xml:space="preserve">récentes </w:t>
      </w:r>
      <w:r>
        <w:rPr>
          <w:lang w:val="fr-FR"/>
        </w:rPr>
        <w:t xml:space="preserve">modifications apportées </w:t>
      </w:r>
      <w:r w:rsidRPr="0017720E">
        <w:rPr>
          <w:lang w:val="fr-FR"/>
        </w:rPr>
        <w:t>à la législation géorgienne</w:t>
      </w:r>
      <w:r w:rsidRPr="006F1236">
        <w:rPr>
          <w:rStyle w:val="FootnoteReference"/>
        </w:rPr>
        <w:footnoteReference w:id="20"/>
      </w:r>
      <w:r w:rsidRPr="0017720E">
        <w:rPr>
          <w:lang w:val="fr-FR"/>
        </w:rPr>
        <w:t xml:space="preserve">, les réfugiés </w:t>
      </w:r>
      <w:r>
        <w:rPr>
          <w:lang w:val="fr-FR"/>
        </w:rPr>
        <w:t xml:space="preserve">ont pu obtenir </w:t>
      </w:r>
      <w:r w:rsidRPr="0017720E">
        <w:rPr>
          <w:lang w:val="fr-FR"/>
        </w:rPr>
        <w:t>des documents de voyage</w:t>
      </w:r>
      <w:r>
        <w:rPr>
          <w:lang w:val="fr-FR"/>
        </w:rPr>
        <w:t>,</w:t>
      </w:r>
      <w:r w:rsidRPr="0017720E">
        <w:rPr>
          <w:lang w:val="fr-FR"/>
        </w:rPr>
        <w:t xml:space="preserve"> comme prévu par la Convention sur les réfugiés de 1951. Ces documents leur permettent de voyager sur l’ensemble du territoire </w:t>
      </w:r>
      <w:r>
        <w:rPr>
          <w:lang w:val="fr-FR"/>
        </w:rPr>
        <w:t xml:space="preserve">géorgien </w:t>
      </w:r>
      <w:r w:rsidRPr="0017720E">
        <w:rPr>
          <w:lang w:val="fr-FR"/>
        </w:rPr>
        <w:t>ainsi qu’à l’étranger.</w:t>
      </w:r>
    </w:p>
    <w:p w:rsidR="00625336" w:rsidRPr="00AC231B" w:rsidRDefault="00625336" w:rsidP="00AC231B">
      <w:pPr>
        <w:pStyle w:val="Heading1"/>
        <w:spacing w:after="120"/>
        <w:rPr>
          <w:b/>
          <w:lang w:val="fr-FR"/>
        </w:rPr>
      </w:pPr>
      <w:r w:rsidRPr="00AC231B">
        <w:rPr>
          <w:b/>
          <w:lang w:val="fr-FR"/>
        </w:rPr>
        <w:t>Statistiques sur les personnes ayant le statut de refugié en Géorgie (2009)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69"/>
        <w:gridCol w:w="1701"/>
      </w:tblGrid>
      <w:tr w:rsidR="00625336" w:rsidRPr="0017720E" w:rsidTr="000773CC">
        <w:trPr>
          <w:tblHeader/>
        </w:trPr>
        <w:tc>
          <w:tcPr>
            <w:tcW w:w="5670" w:type="dxa"/>
            <w:tcBorders>
              <w:top w:val="single" w:sz="4" w:space="0" w:color="auto"/>
              <w:bottom w:val="single" w:sz="12" w:space="0" w:color="auto"/>
            </w:tcBorders>
            <w:shd w:val="clear" w:color="auto" w:fill="auto"/>
            <w:vAlign w:val="bottom"/>
          </w:tcPr>
          <w:p w:rsidR="00625336" w:rsidRPr="0017720E" w:rsidRDefault="00625336" w:rsidP="000773CC">
            <w:pPr>
              <w:suppressAutoHyphens w:val="0"/>
              <w:spacing w:before="80" w:after="80" w:line="200" w:lineRule="exact"/>
              <w:rPr>
                <w:i/>
                <w:sz w:val="16"/>
                <w:lang w:val="fr-FR"/>
              </w:rPr>
            </w:pPr>
            <w:r w:rsidRPr="0017720E">
              <w:rPr>
                <w:i/>
                <w:sz w:val="16"/>
                <w:lang w:val="fr-FR"/>
              </w:rPr>
              <w:t>Pays</w:t>
            </w:r>
          </w:p>
        </w:tc>
        <w:tc>
          <w:tcPr>
            <w:tcW w:w="1701" w:type="dxa"/>
            <w:tcBorders>
              <w:top w:val="single" w:sz="4" w:space="0" w:color="auto"/>
              <w:bottom w:val="single" w:sz="12" w:space="0" w:color="auto"/>
            </w:tcBorders>
            <w:shd w:val="clear" w:color="auto" w:fill="auto"/>
            <w:vAlign w:val="bottom"/>
          </w:tcPr>
          <w:p w:rsidR="00625336" w:rsidRPr="0017720E" w:rsidRDefault="00625336" w:rsidP="000773CC">
            <w:pPr>
              <w:suppressAutoHyphens w:val="0"/>
              <w:spacing w:before="80" w:after="80" w:line="200" w:lineRule="exact"/>
              <w:jc w:val="right"/>
              <w:rPr>
                <w:i/>
                <w:sz w:val="16"/>
                <w:lang w:val="fr-FR"/>
              </w:rPr>
            </w:pPr>
            <w:r w:rsidRPr="0017720E">
              <w:rPr>
                <w:i/>
                <w:sz w:val="16"/>
                <w:lang w:val="fr-FR"/>
              </w:rPr>
              <w:t>Nombre</w:t>
            </w:r>
          </w:p>
        </w:tc>
      </w:tr>
      <w:tr w:rsidR="00625336" w:rsidRPr="0017720E" w:rsidTr="000773CC">
        <w:tc>
          <w:tcPr>
            <w:tcW w:w="5670" w:type="dxa"/>
            <w:tcBorders>
              <w:top w:val="single" w:sz="12" w:space="0" w:color="auto"/>
            </w:tcBorders>
            <w:shd w:val="clear" w:color="auto" w:fill="auto"/>
          </w:tcPr>
          <w:p w:rsidR="00625336" w:rsidRPr="0017720E" w:rsidRDefault="00625336" w:rsidP="000773CC">
            <w:pPr>
              <w:suppressAutoHyphens w:val="0"/>
              <w:spacing w:before="40" w:after="40" w:line="220" w:lineRule="exact"/>
              <w:rPr>
                <w:sz w:val="18"/>
                <w:lang w:val="fr-FR"/>
              </w:rPr>
            </w:pPr>
            <w:r w:rsidRPr="0017720E">
              <w:rPr>
                <w:sz w:val="18"/>
                <w:lang w:val="fr-FR"/>
              </w:rPr>
              <w:t>Turquie</w:t>
            </w:r>
          </w:p>
        </w:tc>
        <w:tc>
          <w:tcPr>
            <w:tcW w:w="1701" w:type="dxa"/>
            <w:tcBorders>
              <w:top w:val="single" w:sz="12" w:space="0" w:color="auto"/>
            </w:tcBorders>
            <w:shd w:val="clear" w:color="auto" w:fill="auto"/>
            <w:vAlign w:val="bottom"/>
          </w:tcPr>
          <w:p w:rsidR="00625336" w:rsidRPr="0017720E" w:rsidRDefault="00625336" w:rsidP="000773CC">
            <w:pPr>
              <w:suppressAutoHyphens w:val="0"/>
              <w:spacing w:before="40" w:after="40" w:line="220" w:lineRule="exact"/>
              <w:jc w:val="right"/>
              <w:rPr>
                <w:sz w:val="18"/>
                <w:lang w:val="fr-FR"/>
              </w:rPr>
            </w:pPr>
            <w:r w:rsidRPr="0017720E">
              <w:rPr>
                <w:sz w:val="18"/>
                <w:lang w:val="fr-FR"/>
              </w:rPr>
              <w:t>1</w:t>
            </w:r>
          </w:p>
        </w:tc>
      </w:tr>
      <w:tr w:rsidR="00625336" w:rsidRPr="0017720E" w:rsidTr="000773CC">
        <w:tc>
          <w:tcPr>
            <w:tcW w:w="5670" w:type="dxa"/>
            <w:shd w:val="clear" w:color="auto" w:fill="auto"/>
          </w:tcPr>
          <w:p w:rsidR="00625336" w:rsidRPr="0017720E" w:rsidRDefault="00625336" w:rsidP="000773CC">
            <w:pPr>
              <w:suppressAutoHyphens w:val="0"/>
              <w:spacing w:before="40" w:after="40" w:line="220" w:lineRule="exact"/>
              <w:rPr>
                <w:sz w:val="18"/>
                <w:lang w:val="fr-FR"/>
              </w:rPr>
            </w:pPr>
            <w:r w:rsidRPr="0017720E">
              <w:rPr>
                <w:sz w:val="18"/>
                <w:lang w:val="fr-FR"/>
              </w:rPr>
              <w:t xml:space="preserve">Russie </w:t>
            </w:r>
          </w:p>
        </w:tc>
        <w:tc>
          <w:tcPr>
            <w:tcW w:w="1701" w:type="dxa"/>
            <w:shd w:val="clear" w:color="auto" w:fill="auto"/>
            <w:vAlign w:val="bottom"/>
          </w:tcPr>
          <w:p w:rsidR="00625336" w:rsidRPr="0017720E" w:rsidRDefault="00625336" w:rsidP="000773CC">
            <w:pPr>
              <w:suppressAutoHyphens w:val="0"/>
              <w:spacing w:before="40" w:after="40" w:line="220" w:lineRule="exact"/>
              <w:jc w:val="right"/>
              <w:rPr>
                <w:sz w:val="18"/>
                <w:lang w:val="fr-FR"/>
              </w:rPr>
            </w:pPr>
            <w:r w:rsidRPr="0017720E">
              <w:rPr>
                <w:sz w:val="18"/>
                <w:lang w:val="fr-FR"/>
              </w:rPr>
              <w:t>856</w:t>
            </w:r>
          </w:p>
        </w:tc>
      </w:tr>
      <w:tr w:rsidR="00625336" w:rsidRPr="0017720E" w:rsidTr="000773CC">
        <w:tc>
          <w:tcPr>
            <w:tcW w:w="5670" w:type="dxa"/>
            <w:shd w:val="clear" w:color="auto" w:fill="auto"/>
          </w:tcPr>
          <w:p w:rsidR="00625336" w:rsidRPr="0017720E" w:rsidRDefault="00625336" w:rsidP="000773CC">
            <w:pPr>
              <w:suppressAutoHyphens w:val="0"/>
              <w:spacing w:before="40" w:after="40" w:line="220" w:lineRule="exact"/>
              <w:rPr>
                <w:sz w:val="18"/>
                <w:lang w:val="fr-FR"/>
              </w:rPr>
            </w:pPr>
            <w:r w:rsidRPr="0017720E">
              <w:rPr>
                <w:sz w:val="18"/>
                <w:lang w:val="fr-FR"/>
              </w:rPr>
              <w:t>Iraq</w:t>
            </w:r>
          </w:p>
        </w:tc>
        <w:tc>
          <w:tcPr>
            <w:tcW w:w="1701" w:type="dxa"/>
            <w:shd w:val="clear" w:color="auto" w:fill="auto"/>
            <w:vAlign w:val="bottom"/>
          </w:tcPr>
          <w:p w:rsidR="00625336" w:rsidRPr="0017720E" w:rsidRDefault="00625336" w:rsidP="000773CC">
            <w:pPr>
              <w:suppressAutoHyphens w:val="0"/>
              <w:spacing w:before="40" w:after="40" w:line="220" w:lineRule="exact"/>
              <w:jc w:val="right"/>
              <w:rPr>
                <w:sz w:val="18"/>
                <w:lang w:val="fr-FR"/>
              </w:rPr>
            </w:pPr>
            <w:r w:rsidRPr="0017720E">
              <w:rPr>
                <w:sz w:val="18"/>
                <w:lang w:val="fr-FR"/>
              </w:rPr>
              <w:t>5</w:t>
            </w:r>
          </w:p>
        </w:tc>
      </w:tr>
      <w:tr w:rsidR="00625336" w:rsidRPr="0017720E" w:rsidTr="000773CC">
        <w:tc>
          <w:tcPr>
            <w:tcW w:w="5670" w:type="dxa"/>
            <w:shd w:val="clear" w:color="auto" w:fill="auto"/>
          </w:tcPr>
          <w:p w:rsidR="00625336" w:rsidRPr="0017720E" w:rsidRDefault="00625336" w:rsidP="000773CC">
            <w:pPr>
              <w:suppressAutoHyphens w:val="0"/>
              <w:spacing w:before="40" w:after="40" w:line="220" w:lineRule="exact"/>
              <w:rPr>
                <w:sz w:val="18"/>
                <w:lang w:val="fr-FR"/>
              </w:rPr>
            </w:pPr>
            <w:r w:rsidRPr="0017720E">
              <w:rPr>
                <w:sz w:val="18"/>
                <w:lang w:val="fr-FR"/>
              </w:rPr>
              <w:t>Turkménistan</w:t>
            </w:r>
          </w:p>
        </w:tc>
        <w:tc>
          <w:tcPr>
            <w:tcW w:w="1701" w:type="dxa"/>
            <w:shd w:val="clear" w:color="auto" w:fill="auto"/>
            <w:vAlign w:val="bottom"/>
          </w:tcPr>
          <w:p w:rsidR="00625336" w:rsidRPr="0017720E" w:rsidRDefault="00625336" w:rsidP="000773CC">
            <w:pPr>
              <w:suppressAutoHyphens w:val="0"/>
              <w:spacing w:before="40" w:after="40" w:line="220" w:lineRule="exact"/>
              <w:jc w:val="right"/>
              <w:rPr>
                <w:sz w:val="18"/>
                <w:lang w:val="fr-FR"/>
              </w:rPr>
            </w:pPr>
            <w:r w:rsidRPr="0017720E">
              <w:rPr>
                <w:sz w:val="18"/>
                <w:lang w:val="fr-FR"/>
              </w:rPr>
              <w:t>2</w:t>
            </w:r>
          </w:p>
        </w:tc>
      </w:tr>
      <w:tr w:rsidR="00625336" w:rsidRPr="0017720E" w:rsidTr="000773CC">
        <w:tc>
          <w:tcPr>
            <w:tcW w:w="5670" w:type="dxa"/>
            <w:shd w:val="clear" w:color="auto" w:fill="auto"/>
          </w:tcPr>
          <w:p w:rsidR="00625336" w:rsidRPr="0017720E" w:rsidRDefault="00625336" w:rsidP="000773CC">
            <w:pPr>
              <w:suppressAutoHyphens w:val="0"/>
              <w:spacing w:before="40" w:after="40" w:line="220" w:lineRule="exact"/>
              <w:rPr>
                <w:sz w:val="18"/>
                <w:lang w:val="fr-FR"/>
              </w:rPr>
            </w:pPr>
            <w:r w:rsidRPr="0017720E">
              <w:rPr>
                <w:sz w:val="18"/>
                <w:lang w:val="fr-FR"/>
              </w:rPr>
              <w:t>Iran</w:t>
            </w:r>
          </w:p>
        </w:tc>
        <w:tc>
          <w:tcPr>
            <w:tcW w:w="1701" w:type="dxa"/>
            <w:shd w:val="clear" w:color="auto" w:fill="auto"/>
            <w:vAlign w:val="bottom"/>
          </w:tcPr>
          <w:p w:rsidR="00625336" w:rsidRPr="0017720E" w:rsidRDefault="00625336" w:rsidP="000773CC">
            <w:pPr>
              <w:suppressAutoHyphens w:val="0"/>
              <w:spacing w:before="40" w:after="40" w:line="220" w:lineRule="exact"/>
              <w:jc w:val="right"/>
              <w:rPr>
                <w:sz w:val="18"/>
                <w:lang w:val="fr-FR"/>
              </w:rPr>
            </w:pPr>
            <w:r w:rsidRPr="0017720E">
              <w:rPr>
                <w:sz w:val="18"/>
                <w:lang w:val="fr-FR"/>
              </w:rPr>
              <w:t>1</w:t>
            </w:r>
          </w:p>
        </w:tc>
      </w:tr>
      <w:tr w:rsidR="00625336" w:rsidRPr="0017720E" w:rsidTr="000773CC">
        <w:tc>
          <w:tcPr>
            <w:tcW w:w="5670" w:type="dxa"/>
            <w:tcBorders>
              <w:bottom w:val="single" w:sz="4" w:space="0" w:color="auto"/>
            </w:tcBorders>
            <w:shd w:val="clear" w:color="auto" w:fill="auto"/>
          </w:tcPr>
          <w:p w:rsidR="00625336" w:rsidRPr="0017720E" w:rsidRDefault="00625336" w:rsidP="000773CC">
            <w:pPr>
              <w:suppressAutoHyphens w:val="0"/>
              <w:spacing w:before="40" w:after="40" w:line="220" w:lineRule="exact"/>
              <w:rPr>
                <w:sz w:val="18"/>
                <w:lang w:val="fr-FR"/>
              </w:rPr>
            </w:pPr>
            <w:r w:rsidRPr="0017720E">
              <w:rPr>
                <w:sz w:val="18"/>
                <w:lang w:val="fr-FR"/>
              </w:rPr>
              <w:t>Tadjikistan</w:t>
            </w:r>
          </w:p>
        </w:tc>
        <w:tc>
          <w:tcPr>
            <w:tcW w:w="1701" w:type="dxa"/>
            <w:tcBorders>
              <w:bottom w:val="single" w:sz="4" w:space="0" w:color="auto"/>
            </w:tcBorders>
            <w:shd w:val="clear" w:color="auto" w:fill="auto"/>
            <w:vAlign w:val="bottom"/>
          </w:tcPr>
          <w:p w:rsidR="00625336" w:rsidRPr="0017720E" w:rsidRDefault="00625336" w:rsidP="000773CC">
            <w:pPr>
              <w:suppressAutoHyphens w:val="0"/>
              <w:spacing w:before="40" w:after="40" w:line="220" w:lineRule="exact"/>
              <w:jc w:val="right"/>
              <w:rPr>
                <w:sz w:val="18"/>
                <w:lang w:val="fr-FR"/>
              </w:rPr>
            </w:pPr>
            <w:r w:rsidRPr="0017720E">
              <w:rPr>
                <w:sz w:val="18"/>
                <w:lang w:val="fr-FR"/>
              </w:rPr>
              <w:t>2</w:t>
            </w:r>
          </w:p>
        </w:tc>
      </w:tr>
      <w:tr w:rsidR="00625336" w:rsidRPr="0017720E" w:rsidTr="000773CC">
        <w:tc>
          <w:tcPr>
            <w:tcW w:w="5670" w:type="dxa"/>
            <w:tcBorders>
              <w:top w:val="single" w:sz="4" w:space="0" w:color="auto"/>
              <w:bottom w:val="single" w:sz="12" w:space="0" w:color="auto"/>
            </w:tcBorders>
            <w:shd w:val="clear" w:color="auto" w:fill="auto"/>
          </w:tcPr>
          <w:p w:rsidR="00625336" w:rsidRPr="0017720E" w:rsidRDefault="00625336" w:rsidP="000773CC">
            <w:pPr>
              <w:suppressAutoHyphens w:val="0"/>
              <w:spacing w:before="80" w:after="80" w:line="220" w:lineRule="exact"/>
              <w:ind w:left="284"/>
              <w:rPr>
                <w:b/>
                <w:sz w:val="18"/>
                <w:lang w:val="fr-FR"/>
              </w:rPr>
            </w:pPr>
            <w:r w:rsidRPr="0017720E">
              <w:rPr>
                <w:b/>
                <w:sz w:val="18"/>
                <w:lang w:val="fr-FR"/>
              </w:rPr>
              <w:t>Total</w:t>
            </w:r>
          </w:p>
        </w:tc>
        <w:tc>
          <w:tcPr>
            <w:tcW w:w="1701" w:type="dxa"/>
            <w:tcBorders>
              <w:top w:val="single" w:sz="4" w:space="0" w:color="auto"/>
              <w:bottom w:val="single" w:sz="12" w:space="0" w:color="auto"/>
            </w:tcBorders>
            <w:shd w:val="clear" w:color="auto" w:fill="auto"/>
            <w:vAlign w:val="bottom"/>
          </w:tcPr>
          <w:p w:rsidR="00625336" w:rsidRPr="0017720E" w:rsidRDefault="00625336" w:rsidP="000773CC">
            <w:pPr>
              <w:suppressAutoHyphens w:val="0"/>
              <w:spacing w:before="80" w:after="80" w:line="220" w:lineRule="exact"/>
              <w:ind w:left="284"/>
              <w:jc w:val="right"/>
              <w:rPr>
                <w:b/>
                <w:sz w:val="18"/>
                <w:lang w:val="fr-FR"/>
              </w:rPr>
            </w:pPr>
            <w:r w:rsidRPr="0017720E">
              <w:rPr>
                <w:b/>
                <w:sz w:val="18"/>
                <w:lang w:val="fr-FR"/>
              </w:rPr>
              <w:t>867</w:t>
            </w:r>
          </w:p>
        </w:tc>
      </w:tr>
    </w:tbl>
    <w:p w:rsidR="00625336" w:rsidRPr="0017720E" w:rsidRDefault="00625336" w:rsidP="00625336">
      <w:pPr>
        <w:pStyle w:val="SingleTxtG"/>
        <w:spacing w:before="240"/>
        <w:rPr>
          <w:lang w:val="fr-FR"/>
        </w:rPr>
      </w:pPr>
      <w:r w:rsidRPr="0017720E">
        <w:rPr>
          <w:lang w:val="fr-FR"/>
        </w:rPr>
        <w:t>47.</w:t>
      </w:r>
      <w:r w:rsidRPr="0017720E">
        <w:rPr>
          <w:lang w:val="fr-FR"/>
        </w:rPr>
        <w:tab/>
        <w:t>Ce sont les personnes d’origine tchétchène qui constitue</w:t>
      </w:r>
      <w:r>
        <w:rPr>
          <w:lang w:val="fr-FR"/>
        </w:rPr>
        <w:t>nt</w:t>
      </w:r>
      <w:r w:rsidRPr="0017720E">
        <w:rPr>
          <w:lang w:val="fr-FR"/>
        </w:rPr>
        <w:t xml:space="preserve"> le principal groupe de refugiés en Géorgie. Le Gouvernement </w:t>
      </w:r>
      <w:r>
        <w:rPr>
          <w:lang w:val="fr-FR"/>
        </w:rPr>
        <w:t xml:space="preserve">s’emploie à trouver </w:t>
      </w:r>
      <w:r w:rsidRPr="0017720E">
        <w:rPr>
          <w:lang w:val="fr-FR"/>
        </w:rPr>
        <w:t>de</w:t>
      </w:r>
      <w:r>
        <w:rPr>
          <w:lang w:val="fr-FR"/>
        </w:rPr>
        <w:t>s</w:t>
      </w:r>
      <w:r w:rsidRPr="0017720E">
        <w:rPr>
          <w:lang w:val="fr-FR"/>
        </w:rPr>
        <w:t xml:space="preserve"> solutions durables à leur</w:t>
      </w:r>
      <w:r>
        <w:rPr>
          <w:lang w:val="fr-FR"/>
        </w:rPr>
        <w:t>s</w:t>
      </w:r>
      <w:r w:rsidRPr="0017720E">
        <w:rPr>
          <w:lang w:val="fr-FR"/>
        </w:rPr>
        <w:t xml:space="preserve"> problème</w:t>
      </w:r>
      <w:r>
        <w:rPr>
          <w:lang w:val="fr-FR"/>
        </w:rPr>
        <w:t>s</w:t>
      </w:r>
      <w:r w:rsidRPr="0017720E">
        <w:rPr>
          <w:lang w:val="fr-FR"/>
        </w:rPr>
        <w:t xml:space="preserve"> pour répondre à leurs besoins. </w:t>
      </w:r>
      <w:r>
        <w:rPr>
          <w:lang w:val="fr-FR"/>
        </w:rPr>
        <w:t xml:space="preserve">À l’heure actuelle, le MRA, en collaboration </w:t>
      </w:r>
      <w:r w:rsidRPr="0017720E">
        <w:rPr>
          <w:lang w:val="fr-FR"/>
        </w:rPr>
        <w:t>avec des institutions</w:t>
      </w:r>
      <w:r>
        <w:rPr>
          <w:lang w:val="fr-FR"/>
        </w:rPr>
        <w:t xml:space="preserve"> internationales, met en œuvre </w:t>
      </w:r>
      <w:r w:rsidRPr="0017720E">
        <w:rPr>
          <w:lang w:val="fr-FR"/>
        </w:rPr>
        <w:t>le projet «</w:t>
      </w:r>
      <w:r>
        <w:rPr>
          <w:lang w:val="fr-FR"/>
        </w:rPr>
        <w:t>E</w:t>
      </w:r>
      <w:r w:rsidRPr="0017720E">
        <w:rPr>
          <w:lang w:val="fr-FR"/>
        </w:rPr>
        <w:t xml:space="preserve">nregistrement et naturalisation </w:t>
      </w:r>
      <w:r>
        <w:rPr>
          <w:lang w:val="fr-FR"/>
        </w:rPr>
        <w:t xml:space="preserve">(à la </w:t>
      </w:r>
      <w:r w:rsidRPr="0017720E">
        <w:rPr>
          <w:lang w:val="fr-FR"/>
        </w:rPr>
        <w:t>naissance de</w:t>
      </w:r>
      <w:r>
        <w:rPr>
          <w:lang w:val="fr-FR"/>
        </w:rPr>
        <w:t>s</w:t>
      </w:r>
      <w:r w:rsidRPr="0017720E">
        <w:rPr>
          <w:lang w:val="fr-FR"/>
        </w:rPr>
        <w:t xml:space="preserve"> réfugiés</w:t>
      </w:r>
      <w:r>
        <w:rPr>
          <w:lang w:val="fr-FR"/>
        </w:rPr>
        <w:t>)</w:t>
      </w:r>
      <w:r w:rsidRPr="0017720E">
        <w:rPr>
          <w:lang w:val="fr-FR"/>
        </w:rPr>
        <w:t xml:space="preserve"> afin d’améliorer leur accès aux services </w:t>
      </w:r>
      <w:r>
        <w:rPr>
          <w:lang w:val="fr-FR"/>
        </w:rPr>
        <w:t xml:space="preserve">sociaux </w:t>
      </w:r>
      <w:r w:rsidRPr="0017720E">
        <w:rPr>
          <w:lang w:val="fr-FR"/>
        </w:rPr>
        <w:t>et à la protection sociale».</w:t>
      </w:r>
      <w:r>
        <w:rPr>
          <w:lang w:val="fr-FR"/>
        </w:rPr>
        <w:t xml:space="preserve"> </w:t>
      </w:r>
      <w:r w:rsidRPr="0017720E">
        <w:rPr>
          <w:lang w:val="fr-FR"/>
        </w:rPr>
        <w:t>Le projet vise entre autres à aider les réfugiés à obtenir la citoyenneté géorgienne</w:t>
      </w:r>
      <w:r>
        <w:rPr>
          <w:lang w:val="fr-FR"/>
        </w:rPr>
        <w:t>.</w:t>
      </w:r>
      <w:r w:rsidRPr="0017720E">
        <w:rPr>
          <w:lang w:val="fr-FR"/>
        </w:rPr>
        <w:t xml:space="preserve"> </w:t>
      </w:r>
      <w:r>
        <w:rPr>
          <w:lang w:val="fr-FR"/>
        </w:rPr>
        <w:t xml:space="preserve">Des projets sont également </w:t>
      </w:r>
      <w:r w:rsidRPr="0017720E">
        <w:rPr>
          <w:lang w:val="fr-FR"/>
        </w:rPr>
        <w:t xml:space="preserve">mis en œuvre avec l’aide financière </w:t>
      </w:r>
      <w:r>
        <w:rPr>
          <w:lang w:val="fr-FR"/>
        </w:rPr>
        <w:t>de l’ONU</w:t>
      </w:r>
      <w:r w:rsidRPr="0017720E">
        <w:rPr>
          <w:lang w:val="fr-FR"/>
        </w:rPr>
        <w:t xml:space="preserve"> et du Conseil norvégien pour les réfugiés pour favoriser l’intégration civile des réfugiés </w:t>
      </w:r>
      <w:r>
        <w:rPr>
          <w:lang w:val="fr-FR"/>
        </w:rPr>
        <w:t>t</w:t>
      </w:r>
      <w:r w:rsidRPr="0017720E">
        <w:rPr>
          <w:lang w:val="fr-FR"/>
        </w:rPr>
        <w:t>chétchènes en Géorgie</w:t>
      </w:r>
      <w:r w:rsidRPr="006F1236">
        <w:rPr>
          <w:rStyle w:val="FootnoteReference"/>
        </w:rPr>
        <w:footnoteReference w:id="21"/>
      </w:r>
      <w:r w:rsidRPr="0017720E">
        <w:rPr>
          <w:lang w:val="fr-FR"/>
        </w:rPr>
        <w:t>.</w:t>
      </w:r>
    </w:p>
    <w:p w:rsidR="00625336" w:rsidRPr="0017720E" w:rsidRDefault="00625336" w:rsidP="00625336">
      <w:pPr>
        <w:pStyle w:val="SingleTxtG"/>
        <w:rPr>
          <w:lang w:val="fr-FR"/>
        </w:rPr>
      </w:pPr>
      <w:r w:rsidRPr="0017720E">
        <w:rPr>
          <w:lang w:val="fr-FR"/>
        </w:rPr>
        <w:t>48.</w:t>
      </w:r>
      <w:r w:rsidRPr="0017720E">
        <w:rPr>
          <w:lang w:val="fr-FR"/>
        </w:rPr>
        <w:tab/>
        <w:t xml:space="preserve">Le Gouvernement </w:t>
      </w:r>
      <w:r>
        <w:rPr>
          <w:lang w:val="fr-FR"/>
        </w:rPr>
        <w:t>géorgien</w:t>
      </w:r>
      <w:r w:rsidRPr="0017720E">
        <w:rPr>
          <w:lang w:val="fr-FR"/>
        </w:rPr>
        <w:t xml:space="preserve">, </w:t>
      </w:r>
      <w:r>
        <w:rPr>
          <w:lang w:val="fr-FR"/>
        </w:rPr>
        <w:t xml:space="preserve">après avoir </w:t>
      </w:r>
      <w:r w:rsidRPr="0017720E">
        <w:rPr>
          <w:lang w:val="fr-FR"/>
        </w:rPr>
        <w:t>identifié les lacunes de la loi de 1998 sur les réfugiés, a élaboré un nouveau projet de loi sur les réfugiés et les demandeurs d’asile</w:t>
      </w:r>
      <w:r>
        <w:rPr>
          <w:lang w:val="fr-FR"/>
        </w:rPr>
        <w:t xml:space="preserve"> provisoire</w:t>
      </w:r>
      <w:r w:rsidRPr="0017720E">
        <w:rPr>
          <w:lang w:val="fr-FR"/>
        </w:rPr>
        <w:t>.</w:t>
      </w:r>
      <w:r>
        <w:rPr>
          <w:lang w:val="fr-FR"/>
        </w:rPr>
        <w:t xml:space="preserve"> </w:t>
      </w:r>
      <w:r w:rsidRPr="0017720E">
        <w:rPr>
          <w:lang w:val="fr-FR"/>
        </w:rPr>
        <w:t xml:space="preserve">Le projet de loi </w:t>
      </w:r>
      <w:r>
        <w:rPr>
          <w:lang w:val="fr-FR"/>
        </w:rPr>
        <w:t xml:space="preserve">élargit notamment </w:t>
      </w:r>
      <w:r w:rsidRPr="0017720E">
        <w:rPr>
          <w:lang w:val="fr-FR"/>
        </w:rPr>
        <w:t>les possibilités d’octroi du statut de réfugié</w:t>
      </w:r>
      <w:r>
        <w:rPr>
          <w:lang w:val="fr-FR"/>
        </w:rPr>
        <w:t xml:space="preserve"> et </w:t>
      </w:r>
      <w:r w:rsidRPr="0017720E">
        <w:rPr>
          <w:lang w:val="fr-FR"/>
        </w:rPr>
        <w:t xml:space="preserve">établit des procédures claires </w:t>
      </w:r>
      <w:r>
        <w:rPr>
          <w:lang w:val="fr-FR"/>
        </w:rPr>
        <w:t>pour l’octroi de l’asile</w:t>
      </w:r>
      <w:r w:rsidRPr="0017720E">
        <w:rPr>
          <w:lang w:val="fr-FR"/>
        </w:rPr>
        <w:t xml:space="preserve">. Le MRA a bénéficié en 2009 des compétences du Haut-Commissariat des Nations Unies </w:t>
      </w:r>
      <w:r>
        <w:rPr>
          <w:lang w:val="fr-FR"/>
        </w:rPr>
        <w:t xml:space="preserve">pour les </w:t>
      </w:r>
      <w:r w:rsidRPr="0017720E">
        <w:rPr>
          <w:lang w:val="fr-FR"/>
        </w:rPr>
        <w:t>réfugiés et l</w:t>
      </w:r>
      <w:r>
        <w:rPr>
          <w:lang w:val="fr-FR"/>
        </w:rPr>
        <w:t xml:space="preserve">a version finale du </w:t>
      </w:r>
      <w:r w:rsidRPr="0017720E">
        <w:rPr>
          <w:lang w:val="fr-FR"/>
        </w:rPr>
        <w:t>projet de loi sera présenté</w:t>
      </w:r>
      <w:r>
        <w:rPr>
          <w:lang w:val="fr-FR"/>
        </w:rPr>
        <w:t>e</w:t>
      </w:r>
      <w:r w:rsidRPr="0017720E">
        <w:rPr>
          <w:lang w:val="fr-FR"/>
        </w:rPr>
        <w:t xml:space="preserve"> prochainement au Parlement </w:t>
      </w:r>
      <w:r>
        <w:rPr>
          <w:lang w:val="fr-FR"/>
        </w:rPr>
        <w:t>géorgien</w:t>
      </w:r>
      <w:r w:rsidRPr="0017720E">
        <w:rPr>
          <w:lang w:val="fr-FR"/>
        </w:rPr>
        <w:t>.</w:t>
      </w:r>
    </w:p>
    <w:p w:rsidR="00625336" w:rsidRPr="0017720E" w:rsidRDefault="00625336" w:rsidP="00625336">
      <w:pPr>
        <w:pStyle w:val="H1G"/>
        <w:rPr>
          <w:lang w:val="fr-FR"/>
        </w:rPr>
      </w:pPr>
      <w:r>
        <w:rPr>
          <w:lang w:val="fr-FR"/>
        </w:rPr>
        <w:tab/>
      </w:r>
      <w:r w:rsidRPr="0017720E">
        <w:rPr>
          <w:lang w:val="fr-FR"/>
        </w:rPr>
        <w:t>I.</w:t>
      </w:r>
      <w:r w:rsidRPr="0017720E">
        <w:rPr>
          <w:lang w:val="fr-FR"/>
        </w:rPr>
        <w:tab/>
        <w:t xml:space="preserve">Réponses aux questions soulevées </w:t>
      </w:r>
      <w:r>
        <w:rPr>
          <w:lang w:val="fr-FR"/>
        </w:rPr>
        <w:t xml:space="preserve">au </w:t>
      </w:r>
      <w:r w:rsidRPr="0017720E">
        <w:rPr>
          <w:lang w:val="fr-FR"/>
        </w:rPr>
        <w:t>paragraphe 18</w:t>
      </w:r>
    </w:p>
    <w:p w:rsidR="00625336" w:rsidRPr="0017720E" w:rsidRDefault="00625336" w:rsidP="00625336">
      <w:pPr>
        <w:pStyle w:val="SingleTxtG"/>
        <w:rPr>
          <w:lang w:val="fr-FR"/>
        </w:rPr>
      </w:pPr>
      <w:r w:rsidRPr="0017720E">
        <w:rPr>
          <w:lang w:val="fr-FR"/>
        </w:rPr>
        <w:t>49.</w:t>
      </w:r>
      <w:r w:rsidRPr="0017720E">
        <w:rPr>
          <w:lang w:val="fr-FR"/>
        </w:rPr>
        <w:tab/>
        <w:t xml:space="preserve">La liberté </w:t>
      </w:r>
      <w:r>
        <w:rPr>
          <w:lang w:val="fr-FR"/>
        </w:rPr>
        <w:t xml:space="preserve">de </w:t>
      </w:r>
      <w:r w:rsidRPr="0017720E">
        <w:rPr>
          <w:lang w:val="fr-FR"/>
        </w:rPr>
        <w:t>religi</w:t>
      </w:r>
      <w:r>
        <w:rPr>
          <w:lang w:val="fr-FR"/>
        </w:rPr>
        <w:t>on</w:t>
      </w:r>
      <w:r w:rsidRPr="0017720E">
        <w:rPr>
          <w:lang w:val="fr-FR"/>
        </w:rPr>
        <w:t xml:space="preserve"> est un droit constitutionnel protégé par la loi</w:t>
      </w:r>
      <w:r w:rsidRPr="006F1236">
        <w:rPr>
          <w:rStyle w:val="FootnoteReference"/>
          <w:rFonts w:eastAsia="MS Mincho"/>
        </w:rPr>
        <w:footnoteReference w:id="22"/>
      </w:r>
      <w:r w:rsidRPr="0017720E">
        <w:rPr>
          <w:lang w:val="fr-FR"/>
        </w:rPr>
        <w:t xml:space="preserve">. La législation géorgienne </w:t>
      </w:r>
      <w:r>
        <w:rPr>
          <w:lang w:val="fr-FR"/>
        </w:rPr>
        <w:t xml:space="preserve">érige en infraction pénale l’immixtion </w:t>
      </w:r>
      <w:r w:rsidRPr="0017720E">
        <w:rPr>
          <w:lang w:val="fr-FR"/>
        </w:rPr>
        <w:t>illégale dans l’exercice des droits religieux, y</w:t>
      </w:r>
      <w:r w:rsidR="00426262">
        <w:rPr>
          <w:lang w:val="fr-FR"/>
        </w:rPr>
        <w:t xml:space="preserve"> </w:t>
      </w:r>
      <w:r w:rsidRPr="0017720E">
        <w:rPr>
          <w:lang w:val="fr-FR"/>
        </w:rPr>
        <w:t xml:space="preserve">compris dans l’exercice du culte ou </w:t>
      </w:r>
      <w:r>
        <w:rPr>
          <w:lang w:val="fr-FR"/>
        </w:rPr>
        <w:t>d’</w:t>
      </w:r>
      <w:r w:rsidRPr="0017720E">
        <w:rPr>
          <w:lang w:val="fr-FR"/>
        </w:rPr>
        <w:t>autres coutumes ou rites religieux</w:t>
      </w:r>
      <w:r>
        <w:rPr>
          <w:lang w:val="fr-FR"/>
        </w:rPr>
        <w:t>,</w:t>
      </w:r>
      <w:r w:rsidRPr="0017720E">
        <w:rPr>
          <w:lang w:val="fr-FR"/>
        </w:rPr>
        <w:t xml:space="preserve"> par la violence ou </w:t>
      </w:r>
      <w:r>
        <w:rPr>
          <w:lang w:val="fr-FR"/>
        </w:rPr>
        <w:t xml:space="preserve">la menace de la violence en offensant </w:t>
      </w:r>
      <w:r w:rsidRPr="0017720E">
        <w:rPr>
          <w:lang w:val="fr-FR"/>
        </w:rPr>
        <w:t xml:space="preserve">le sentiment religieux d’un croyant ou d’un ministre du culte (art. 155 du Code pénal de Géorgie). De plus, </w:t>
      </w:r>
      <w:r>
        <w:rPr>
          <w:lang w:val="fr-FR"/>
        </w:rPr>
        <w:t xml:space="preserve">la persécution fondée sur </w:t>
      </w:r>
      <w:r w:rsidRPr="0017720E">
        <w:rPr>
          <w:lang w:val="fr-FR"/>
        </w:rPr>
        <w:t xml:space="preserve">l’appartenance à une religion, une foi ou une croyance fait également l’objet de sanctions pénales </w:t>
      </w:r>
      <w:r>
        <w:rPr>
          <w:lang w:val="fr-FR"/>
        </w:rPr>
        <w:t xml:space="preserve">au titre </w:t>
      </w:r>
      <w:r w:rsidRPr="0017720E">
        <w:rPr>
          <w:lang w:val="fr-FR"/>
        </w:rPr>
        <w:t xml:space="preserve">de l’article 156 du Code pénal de Géorgie. Ces deux articles constituent une garantie légale contre la discrimination </w:t>
      </w:r>
      <w:r>
        <w:rPr>
          <w:lang w:val="fr-FR"/>
        </w:rPr>
        <w:t xml:space="preserve">visant les minorités </w:t>
      </w:r>
      <w:r w:rsidRPr="0017720E">
        <w:rPr>
          <w:lang w:val="fr-FR"/>
        </w:rPr>
        <w:t>religieuse</w:t>
      </w:r>
      <w:r>
        <w:rPr>
          <w:lang w:val="fr-FR"/>
        </w:rPr>
        <w:t>s</w:t>
      </w:r>
      <w:r w:rsidRPr="0017720E">
        <w:rPr>
          <w:lang w:val="fr-FR"/>
        </w:rPr>
        <w:t>.</w:t>
      </w:r>
    </w:p>
    <w:p w:rsidR="00625336" w:rsidRPr="0017720E" w:rsidRDefault="00625336" w:rsidP="00625336">
      <w:pPr>
        <w:pStyle w:val="SingleTxtG"/>
        <w:rPr>
          <w:lang w:val="fr-FR"/>
        </w:rPr>
      </w:pPr>
      <w:r w:rsidRPr="0017720E">
        <w:rPr>
          <w:lang w:val="fr-FR"/>
        </w:rPr>
        <w:t>50.</w:t>
      </w:r>
      <w:r w:rsidRPr="0017720E">
        <w:rPr>
          <w:lang w:val="fr-FR"/>
        </w:rPr>
        <w:tab/>
        <w:t xml:space="preserve">Des mesures importantes ont été prises au niveau de l’école afin d’empêcher la discrimination religieuse entre les élèves. </w:t>
      </w:r>
      <w:r>
        <w:rPr>
          <w:lang w:val="fr-FR"/>
        </w:rPr>
        <w:t xml:space="preserve">En vertu </w:t>
      </w:r>
      <w:r w:rsidRPr="0017720E">
        <w:rPr>
          <w:lang w:val="fr-FR"/>
        </w:rPr>
        <w:t xml:space="preserve">du programme national </w:t>
      </w:r>
      <w:r>
        <w:rPr>
          <w:lang w:val="fr-FR"/>
        </w:rPr>
        <w:t xml:space="preserve">d’enseignement </w:t>
      </w:r>
      <w:r w:rsidRPr="0017720E">
        <w:rPr>
          <w:lang w:val="fr-FR"/>
        </w:rPr>
        <w:t>adopté en 2006</w:t>
      </w:r>
      <w:r w:rsidR="00426262">
        <w:rPr>
          <w:lang w:val="fr-FR"/>
        </w:rPr>
        <w:t>,</w:t>
      </w:r>
      <w:r>
        <w:rPr>
          <w:lang w:val="fr-FR"/>
        </w:rPr>
        <w:t xml:space="preserve"> l</w:t>
      </w:r>
      <w:r w:rsidRPr="0017720E">
        <w:rPr>
          <w:lang w:val="fr-FR"/>
        </w:rPr>
        <w:t xml:space="preserve">’histoire des religions est un cours facultatif </w:t>
      </w:r>
      <w:r>
        <w:rPr>
          <w:lang w:val="fr-FR"/>
        </w:rPr>
        <w:t xml:space="preserve">qui est dispensé </w:t>
      </w:r>
      <w:r w:rsidRPr="0017720E">
        <w:rPr>
          <w:lang w:val="fr-FR"/>
        </w:rPr>
        <w:t>dans le cadre des sciences sociales et porte sur l’origine et la formation des religions, le rôle de la religion dans la société, les différentes religions du monde, etc.</w:t>
      </w:r>
      <w:r>
        <w:rPr>
          <w:lang w:val="fr-FR"/>
        </w:rPr>
        <w:t xml:space="preserve"> Point très important</w:t>
      </w:r>
      <w:r w:rsidRPr="0017720E">
        <w:rPr>
          <w:lang w:val="fr-FR"/>
        </w:rPr>
        <w:t xml:space="preserve">, l’État interdit aux écoles </w:t>
      </w:r>
      <w:r>
        <w:rPr>
          <w:lang w:val="fr-FR"/>
        </w:rPr>
        <w:t xml:space="preserve">de procéder à des </w:t>
      </w:r>
      <w:r w:rsidRPr="0017720E">
        <w:rPr>
          <w:lang w:val="fr-FR"/>
        </w:rPr>
        <w:t>cérémonie</w:t>
      </w:r>
      <w:r>
        <w:rPr>
          <w:lang w:val="fr-FR"/>
        </w:rPr>
        <w:t>s</w:t>
      </w:r>
      <w:r w:rsidRPr="0017720E">
        <w:rPr>
          <w:lang w:val="fr-FR"/>
        </w:rPr>
        <w:t xml:space="preserve"> ou rituel</w:t>
      </w:r>
      <w:r>
        <w:rPr>
          <w:lang w:val="fr-FR"/>
        </w:rPr>
        <w:t>s</w:t>
      </w:r>
      <w:r w:rsidRPr="0017720E">
        <w:rPr>
          <w:lang w:val="fr-FR"/>
        </w:rPr>
        <w:t xml:space="preserve"> religieux et d’utiliser des symboles religieux sauf à des fins éducati</w:t>
      </w:r>
      <w:r>
        <w:rPr>
          <w:lang w:val="fr-FR"/>
        </w:rPr>
        <w:t>ve</w:t>
      </w:r>
      <w:r w:rsidRPr="0017720E">
        <w:rPr>
          <w:lang w:val="fr-FR"/>
        </w:rPr>
        <w:t>s.</w:t>
      </w:r>
    </w:p>
    <w:p w:rsidR="00625336" w:rsidRPr="0017720E" w:rsidRDefault="00625336" w:rsidP="00625336">
      <w:pPr>
        <w:pStyle w:val="SingleTxtG"/>
        <w:rPr>
          <w:lang w:val="fr-FR"/>
        </w:rPr>
      </w:pPr>
      <w:r w:rsidRPr="0017720E">
        <w:rPr>
          <w:lang w:val="fr-FR"/>
        </w:rPr>
        <w:t>51.</w:t>
      </w:r>
      <w:r w:rsidRPr="0017720E">
        <w:rPr>
          <w:lang w:val="fr-FR"/>
        </w:rPr>
        <w:tab/>
        <w:t xml:space="preserve">Le </w:t>
      </w:r>
      <w:r>
        <w:rPr>
          <w:lang w:val="fr-FR"/>
        </w:rPr>
        <w:t>C</w:t>
      </w:r>
      <w:r w:rsidRPr="0017720E">
        <w:rPr>
          <w:lang w:val="fr-FR"/>
        </w:rPr>
        <w:t xml:space="preserve">ode de déontologie des enseignants oblige ces derniers à créer un environnement favorable </w:t>
      </w:r>
      <w:r>
        <w:rPr>
          <w:lang w:val="fr-FR"/>
        </w:rPr>
        <w:t xml:space="preserve">au plein </w:t>
      </w:r>
      <w:r w:rsidRPr="0017720E">
        <w:rPr>
          <w:lang w:val="fr-FR"/>
        </w:rPr>
        <w:t xml:space="preserve">épanouissement de </w:t>
      </w:r>
      <w:r>
        <w:rPr>
          <w:lang w:val="fr-FR"/>
        </w:rPr>
        <w:t xml:space="preserve">la </w:t>
      </w:r>
      <w:r w:rsidRPr="0017720E">
        <w:rPr>
          <w:lang w:val="fr-FR"/>
        </w:rPr>
        <w:t xml:space="preserve">personnalité de </w:t>
      </w:r>
      <w:r>
        <w:rPr>
          <w:lang w:val="fr-FR"/>
        </w:rPr>
        <w:t xml:space="preserve">chacun des élèves et à </w:t>
      </w:r>
      <w:r w:rsidRPr="0017720E">
        <w:rPr>
          <w:lang w:val="fr-FR"/>
        </w:rPr>
        <w:t xml:space="preserve">la protection de leurs droits et libertés. </w:t>
      </w:r>
      <w:r>
        <w:rPr>
          <w:lang w:val="fr-FR"/>
        </w:rPr>
        <w:t xml:space="preserve">Il </w:t>
      </w:r>
      <w:r w:rsidRPr="0017720E">
        <w:rPr>
          <w:lang w:val="fr-FR"/>
        </w:rPr>
        <w:t xml:space="preserve">réaffirme le rôle des enseignants dans la diffusion des valeurs </w:t>
      </w:r>
      <w:r>
        <w:rPr>
          <w:lang w:val="fr-FR"/>
        </w:rPr>
        <w:t>et</w:t>
      </w:r>
      <w:r w:rsidRPr="0017720E">
        <w:rPr>
          <w:lang w:val="fr-FR"/>
        </w:rPr>
        <w:t xml:space="preserve"> principes fondés sur les droits et interdit toute discrimination à </w:t>
      </w:r>
      <w:r>
        <w:rPr>
          <w:lang w:val="fr-FR"/>
        </w:rPr>
        <w:t xml:space="preserve">l’égard </w:t>
      </w:r>
      <w:r w:rsidRPr="0017720E">
        <w:rPr>
          <w:lang w:val="fr-FR"/>
        </w:rPr>
        <w:t xml:space="preserve">des étudiants </w:t>
      </w:r>
      <w:r>
        <w:rPr>
          <w:lang w:val="fr-FR"/>
        </w:rPr>
        <w:t xml:space="preserve">sur la base de </w:t>
      </w:r>
      <w:r w:rsidRPr="0017720E">
        <w:rPr>
          <w:lang w:val="fr-FR"/>
        </w:rPr>
        <w:t xml:space="preserve">leur origine ethnique ou </w:t>
      </w:r>
      <w:r>
        <w:rPr>
          <w:lang w:val="fr-FR"/>
        </w:rPr>
        <w:t xml:space="preserve">de </w:t>
      </w:r>
      <w:r w:rsidRPr="0017720E">
        <w:rPr>
          <w:lang w:val="fr-FR"/>
        </w:rPr>
        <w:t>leur appartenance religieuse.</w:t>
      </w:r>
    </w:p>
    <w:p w:rsidR="00625336" w:rsidRPr="0017720E" w:rsidRDefault="00625336" w:rsidP="00625336">
      <w:pPr>
        <w:pStyle w:val="H1G"/>
        <w:rPr>
          <w:lang w:val="fr-FR"/>
        </w:rPr>
      </w:pPr>
      <w:r>
        <w:rPr>
          <w:lang w:val="fr-FR"/>
        </w:rPr>
        <w:tab/>
      </w:r>
      <w:r w:rsidRPr="0017720E">
        <w:rPr>
          <w:lang w:val="fr-FR"/>
        </w:rPr>
        <w:t>J.</w:t>
      </w:r>
      <w:r w:rsidRPr="0017720E">
        <w:rPr>
          <w:lang w:val="fr-FR"/>
        </w:rPr>
        <w:tab/>
        <w:t xml:space="preserve">Réponses aux questions soulevées </w:t>
      </w:r>
      <w:r>
        <w:rPr>
          <w:lang w:val="fr-FR"/>
        </w:rPr>
        <w:t xml:space="preserve">au </w:t>
      </w:r>
      <w:r w:rsidRPr="0017720E">
        <w:rPr>
          <w:lang w:val="fr-FR"/>
        </w:rPr>
        <w:t>paragraphe 19</w:t>
      </w:r>
    </w:p>
    <w:p w:rsidR="00625336" w:rsidRPr="0017720E" w:rsidRDefault="00625336" w:rsidP="005B6995">
      <w:pPr>
        <w:pStyle w:val="SingleTxtG"/>
        <w:keepLines/>
        <w:rPr>
          <w:lang w:val="fr-FR"/>
        </w:rPr>
      </w:pPr>
      <w:r>
        <w:rPr>
          <w:lang w:val="fr-FR"/>
        </w:rPr>
        <w:t>52.</w:t>
      </w:r>
      <w:r>
        <w:rPr>
          <w:lang w:val="fr-FR"/>
        </w:rPr>
        <w:tab/>
        <w:t xml:space="preserve">Réduire </w:t>
      </w:r>
      <w:r w:rsidRPr="0017720E">
        <w:rPr>
          <w:lang w:val="fr-FR"/>
        </w:rPr>
        <w:t xml:space="preserve">la pauvreté en Géorgie est une </w:t>
      </w:r>
      <w:r>
        <w:rPr>
          <w:lang w:val="fr-FR"/>
        </w:rPr>
        <w:t xml:space="preserve">des principales </w:t>
      </w:r>
      <w:r w:rsidRPr="0017720E">
        <w:rPr>
          <w:lang w:val="fr-FR"/>
        </w:rPr>
        <w:t>priorité</w:t>
      </w:r>
      <w:r>
        <w:rPr>
          <w:lang w:val="fr-FR"/>
        </w:rPr>
        <w:t>s</w:t>
      </w:r>
      <w:r w:rsidRPr="0017720E">
        <w:rPr>
          <w:lang w:val="fr-FR"/>
        </w:rPr>
        <w:t xml:space="preserve"> du Gouvernement. L’une des mesures les plus importantes est la création du Fonds </w:t>
      </w:r>
      <w:r>
        <w:rPr>
          <w:lang w:val="fr-FR"/>
        </w:rPr>
        <w:t xml:space="preserve">géorgien </w:t>
      </w:r>
      <w:r w:rsidRPr="0017720E">
        <w:rPr>
          <w:lang w:val="fr-FR"/>
        </w:rPr>
        <w:t>pour le défi</w:t>
      </w:r>
      <w:r>
        <w:rPr>
          <w:lang w:val="fr-FR"/>
        </w:rPr>
        <w:t xml:space="preserve"> du Millénaire, </w:t>
      </w:r>
      <w:r w:rsidRPr="0017720E">
        <w:rPr>
          <w:lang w:val="fr-FR"/>
        </w:rPr>
        <w:t xml:space="preserve">qui dispose d’un budget de 395,3 millions de dollars des États-Unis. Ce </w:t>
      </w:r>
      <w:r>
        <w:rPr>
          <w:lang w:val="fr-FR"/>
        </w:rPr>
        <w:t>f</w:t>
      </w:r>
      <w:r w:rsidRPr="0017720E">
        <w:rPr>
          <w:lang w:val="fr-FR"/>
        </w:rPr>
        <w:t xml:space="preserve">onds </w:t>
      </w:r>
      <w:r>
        <w:rPr>
          <w:lang w:val="fr-FR"/>
        </w:rPr>
        <w:t>a pour but de</w:t>
      </w:r>
      <w:r w:rsidRPr="0017720E">
        <w:rPr>
          <w:lang w:val="fr-FR"/>
        </w:rPr>
        <w:t xml:space="preserve"> réduire la pauvreté et </w:t>
      </w:r>
      <w:r>
        <w:rPr>
          <w:lang w:val="fr-FR"/>
        </w:rPr>
        <w:t>de</w:t>
      </w:r>
      <w:r w:rsidRPr="0017720E">
        <w:rPr>
          <w:lang w:val="fr-FR"/>
        </w:rPr>
        <w:t xml:space="preserve"> promouvoir le développement économique dans les régions de </w:t>
      </w:r>
      <w:r>
        <w:rPr>
          <w:lang w:val="fr-FR"/>
        </w:rPr>
        <w:t xml:space="preserve">la </w:t>
      </w:r>
      <w:r w:rsidRPr="0017720E">
        <w:rPr>
          <w:lang w:val="fr-FR"/>
        </w:rPr>
        <w:t xml:space="preserve">Géorgie. Sa mise en </w:t>
      </w:r>
      <w:r>
        <w:rPr>
          <w:lang w:val="fr-FR"/>
        </w:rPr>
        <w:t xml:space="preserve">place va </w:t>
      </w:r>
      <w:r w:rsidRPr="0017720E">
        <w:rPr>
          <w:lang w:val="fr-FR"/>
        </w:rPr>
        <w:t>facilite</w:t>
      </w:r>
      <w:r>
        <w:rPr>
          <w:lang w:val="fr-FR"/>
        </w:rPr>
        <w:t>r</w:t>
      </w:r>
      <w:r w:rsidRPr="0017720E">
        <w:rPr>
          <w:lang w:val="fr-FR"/>
        </w:rPr>
        <w:t xml:space="preserve"> la </w:t>
      </w:r>
      <w:r>
        <w:rPr>
          <w:lang w:val="fr-FR"/>
        </w:rPr>
        <w:t xml:space="preserve">remise en état des </w:t>
      </w:r>
      <w:r w:rsidRPr="0017720E">
        <w:rPr>
          <w:lang w:val="fr-FR"/>
        </w:rPr>
        <w:t>infrastructures et le développement d</w:t>
      </w:r>
      <w:r>
        <w:rPr>
          <w:lang w:val="fr-FR"/>
        </w:rPr>
        <w:t xml:space="preserve">es </w:t>
      </w:r>
      <w:r w:rsidRPr="0017720E">
        <w:rPr>
          <w:lang w:val="fr-FR"/>
        </w:rPr>
        <w:t>entreprises.</w:t>
      </w:r>
    </w:p>
    <w:p w:rsidR="00625336" w:rsidRDefault="00625336" w:rsidP="00625336">
      <w:pPr>
        <w:pStyle w:val="SingleTxtG"/>
        <w:rPr>
          <w:lang w:val="fr-FR"/>
        </w:rPr>
      </w:pPr>
      <w:r w:rsidRPr="0017720E">
        <w:rPr>
          <w:lang w:val="fr-FR"/>
        </w:rPr>
        <w:t>53.</w:t>
      </w:r>
      <w:r w:rsidRPr="0017720E">
        <w:rPr>
          <w:lang w:val="fr-FR"/>
        </w:rPr>
        <w:tab/>
      </w:r>
      <w:r>
        <w:rPr>
          <w:lang w:val="fr-FR"/>
        </w:rPr>
        <w:t>A</w:t>
      </w:r>
      <w:r w:rsidRPr="0017720E">
        <w:rPr>
          <w:lang w:val="fr-FR"/>
        </w:rPr>
        <w:t xml:space="preserve">fin de trouver une solution aux problèmes </w:t>
      </w:r>
      <w:r>
        <w:rPr>
          <w:lang w:val="fr-FR"/>
        </w:rPr>
        <w:t xml:space="preserve">auxquels sont confrontées </w:t>
      </w:r>
      <w:r w:rsidRPr="0017720E">
        <w:rPr>
          <w:lang w:val="fr-FR"/>
        </w:rPr>
        <w:t>les minorités ethniques</w:t>
      </w:r>
      <w:r>
        <w:rPr>
          <w:lang w:val="fr-FR"/>
        </w:rPr>
        <w:t xml:space="preserve">, les </w:t>
      </w:r>
      <w:r w:rsidRPr="0017720E">
        <w:rPr>
          <w:lang w:val="fr-FR"/>
        </w:rPr>
        <w:t>projets suivants ont été mis en œuvre dans le cadre du programme pour le défi du Millénaire:</w:t>
      </w:r>
    </w:p>
    <w:p w:rsidR="00625336" w:rsidRDefault="00625336" w:rsidP="00625336">
      <w:pPr>
        <w:pStyle w:val="Bullet1G"/>
        <w:numPr>
          <w:ilvl w:val="0"/>
          <w:numId w:val="37"/>
        </w:numPr>
        <w:rPr>
          <w:lang w:val="fr-FR"/>
        </w:rPr>
      </w:pPr>
      <w:r w:rsidRPr="0017720E">
        <w:rPr>
          <w:lang w:val="fr-FR"/>
        </w:rPr>
        <w:t xml:space="preserve">Projet de </w:t>
      </w:r>
      <w:r>
        <w:rPr>
          <w:lang w:val="fr-FR"/>
        </w:rPr>
        <w:t xml:space="preserve">remise en état des infrastructures </w:t>
      </w:r>
      <w:r w:rsidRPr="0017720E">
        <w:rPr>
          <w:lang w:val="fr-FR"/>
        </w:rPr>
        <w:t>énergétique</w:t>
      </w:r>
      <w:r>
        <w:rPr>
          <w:lang w:val="fr-FR"/>
        </w:rPr>
        <w:t>s</w:t>
      </w:r>
      <w:r w:rsidRPr="0017720E">
        <w:rPr>
          <w:lang w:val="fr-FR"/>
        </w:rPr>
        <w:t xml:space="preserve"> (budget de 49,5 millions de dollars </w:t>
      </w:r>
      <w:r>
        <w:rPr>
          <w:lang w:val="fr-FR"/>
        </w:rPr>
        <w:t>É.-U.</w:t>
      </w:r>
      <w:r w:rsidRPr="0017720E">
        <w:rPr>
          <w:lang w:val="fr-FR"/>
        </w:rPr>
        <w:t xml:space="preserve">) pour la réparation du </w:t>
      </w:r>
      <w:r>
        <w:rPr>
          <w:lang w:val="fr-FR"/>
        </w:rPr>
        <w:t>gazoduc Nord-Sud</w:t>
      </w:r>
      <w:r w:rsidRPr="0017720E">
        <w:rPr>
          <w:lang w:val="fr-FR"/>
        </w:rPr>
        <w:t xml:space="preserve">. Ce projet prévoit la réhabilitation de 22 sites. La sécurité et la fiabilité de l’approvisionnement énergétique permettront de ce fait d’augmenter l’approvisionnement en gaz des centrales et </w:t>
      </w:r>
      <w:r>
        <w:rPr>
          <w:lang w:val="fr-FR"/>
        </w:rPr>
        <w:t xml:space="preserve">de rendre le </w:t>
      </w:r>
      <w:r w:rsidRPr="0017720E">
        <w:rPr>
          <w:lang w:val="fr-FR"/>
        </w:rPr>
        <w:t>secteur industriel plus fiable.</w:t>
      </w:r>
    </w:p>
    <w:p w:rsidR="00625336" w:rsidRDefault="00625336" w:rsidP="00625336">
      <w:pPr>
        <w:pStyle w:val="Bullet1G"/>
        <w:numPr>
          <w:ilvl w:val="0"/>
          <w:numId w:val="37"/>
        </w:numPr>
        <w:rPr>
          <w:lang w:val="fr-FR"/>
        </w:rPr>
      </w:pPr>
      <w:r>
        <w:rPr>
          <w:lang w:val="fr-FR"/>
        </w:rPr>
        <w:t>P</w:t>
      </w:r>
      <w:r w:rsidRPr="0017720E">
        <w:rPr>
          <w:lang w:val="fr-FR"/>
        </w:rPr>
        <w:t>rojet de réhabilitation de la route Samtskhe-Javakheti (budget de 203</w:t>
      </w:r>
      <w:r>
        <w:rPr>
          <w:lang w:val="fr-FR"/>
        </w:rPr>
        <w:t> </w:t>
      </w:r>
      <w:r w:rsidRPr="0017720E">
        <w:rPr>
          <w:lang w:val="fr-FR"/>
        </w:rPr>
        <w:t>515</w:t>
      </w:r>
      <w:r>
        <w:rPr>
          <w:lang w:val="fr-FR"/>
        </w:rPr>
        <w:t> 000 </w:t>
      </w:r>
      <w:r w:rsidRPr="0017720E">
        <w:rPr>
          <w:lang w:val="fr-FR"/>
        </w:rPr>
        <w:t xml:space="preserve">dollars </w:t>
      </w:r>
      <w:r>
        <w:rPr>
          <w:lang w:val="fr-FR"/>
        </w:rPr>
        <w:t>É.-U.</w:t>
      </w:r>
      <w:r w:rsidRPr="0017720E">
        <w:rPr>
          <w:lang w:val="fr-FR"/>
        </w:rPr>
        <w:t>)</w:t>
      </w:r>
      <w:r>
        <w:rPr>
          <w:lang w:val="fr-FR"/>
        </w:rPr>
        <w:t>, il s’agit d’</w:t>
      </w:r>
      <w:r w:rsidRPr="0017720E">
        <w:rPr>
          <w:lang w:val="fr-FR"/>
        </w:rPr>
        <w:t xml:space="preserve">un projet à grande échelle de remise en état des routes et du réseau de transport dans les régions de Samtskhe-Javakheti et Kvemo-Kartli. La réfection de la route facilitera les </w:t>
      </w:r>
      <w:r>
        <w:rPr>
          <w:lang w:val="fr-FR"/>
        </w:rPr>
        <w:t xml:space="preserve">liaisons </w:t>
      </w:r>
      <w:r w:rsidRPr="0017720E">
        <w:rPr>
          <w:lang w:val="fr-FR"/>
        </w:rPr>
        <w:t>entre les deux régions, peuplées par des minorités ethniques et d’autres parties de la Géorgie.</w:t>
      </w:r>
    </w:p>
    <w:p w:rsidR="00625336" w:rsidRPr="0017720E" w:rsidRDefault="00625336" w:rsidP="00625336">
      <w:pPr>
        <w:pStyle w:val="Bullet1G"/>
        <w:numPr>
          <w:ilvl w:val="0"/>
          <w:numId w:val="37"/>
        </w:numPr>
        <w:rPr>
          <w:lang w:val="fr-FR"/>
        </w:rPr>
      </w:pPr>
      <w:r>
        <w:rPr>
          <w:lang w:val="fr-FR"/>
        </w:rPr>
        <w:t>P</w:t>
      </w:r>
      <w:r w:rsidRPr="0017720E">
        <w:rPr>
          <w:lang w:val="fr-FR"/>
        </w:rPr>
        <w:t>rojet de développement de l’agro-industrie (budget de 15</w:t>
      </w:r>
      <w:r>
        <w:rPr>
          <w:lang w:val="fr-FR"/>
        </w:rPr>
        <w:t> </w:t>
      </w:r>
      <w:r w:rsidRPr="0017720E">
        <w:rPr>
          <w:lang w:val="fr-FR"/>
        </w:rPr>
        <w:t>250</w:t>
      </w:r>
      <w:r>
        <w:rPr>
          <w:lang w:val="fr-FR"/>
        </w:rPr>
        <w:t> </w:t>
      </w:r>
      <w:r w:rsidRPr="0017720E">
        <w:rPr>
          <w:lang w:val="fr-FR"/>
        </w:rPr>
        <w:t>000</w:t>
      </w:r>
      <w:r>
        <w:rPr>
          <w:lang w:val="fr-FR"/>
        </w:rPr>
        <w:t> </w:t>
      </w:r>
      <w:r w:rsidRPr="0017720E">
        <w:rPr>
          <w:lang w:val="fr-FR"/>
        </w:rPr>
        <w:t xml:space="preserve">dollars </w:t>
      </w:r>
      <w:r>
        <w:rPr>
          <w:lang w:val="fr-FR"/>
        </w:rPr>
        <w:t>É.-U.</w:t>
      </w:r>
      <w:r w:rsidRPr="0017720E">
        <w:rPr>
          <w:lang w:val="fr-FR"/>
        </w:rPr>
        <w:t>)</w:t>
      </w:r>
      <w:r>
        <w:rPr>
          <w:lang w:val="fr-FR"/>
        </w:rPr>
        <w:t xml:space="preserve">. Ce projet </w:t>
      </w:r>
      <w:r w:rsidRPr="0017720E">
        <w:rPr>
          <w:lang w:val="fr-FR"/>
        </w:rPr>
        <w:t xml:space="preserve">prévoit l’octroi de subventions </w:t>
      </w:r>
      <w:r>
        <w:rPr>
          <w:lang w:val="fr-FR"/>
        </w:rPr>
        <w:t xml:space="preserve">sur la base d’un cofinancement, et après sélection des demandes, pour le </w:t>
      </w:r>
      <w:r w:rsidRPr="0017720E">
        <w:rPr>
          <w:lang w:val="fr-FR"/>
        </w:rPr>
        <w:t>développement de la production primaire</w:t>
      </w:r>
      <w:r>
        <w:rPr>
          <w:lang w:val="fr-FR"/>
        </w:rPr>
        <w:t xml:space="preserve">, de la </w:t>
      </w:r>
      <w:r w:rsidRPr="0017720E">
        <w:rPr>
          <w:lang w:val="fr-FR"/>
        </w:rPr>
        <w:t xml:space="preserve">création de centres de services aux exploitations agricoles, </w:t>
      </w:r>
      <w:r>
        <w:rPr>
          <w:lang w:val="fr-FR"/>
        </w:rPr>
        <w:t>d’</w:t>
      </w:r>
      <w:r w:rsidRPr="0017720E">
        <w:rPr>
          <w:lang w:val="fr-FR"/>
        </w:rPr>
        <w:t>entreprises à valeur ajoutée et de chaînes de valeur dans chaque région de Géorgie. Le projet contribue au développement de</w:t>
      </w:r>
      <w:r>
        <w:rPr>
          <w:lang w:val="fr-FR"/>
        </w:rPr>
        <w:t xml:space="preserve"> l’agro-</w:t>
      </w:r>
      <w:r w:rsidRPr="0017720E">
        <w:rPr>
          <w:lang w:val="fr-FR"/>
        </w:rPr>
        <w:t>industrie et à la création de nouveaux emplois</w:t>
      </w:r>
      <w:r>
        <w:rPr>
          <w:lang w:val="fr-FR"/>
        </w:rPr>
        <w:t xml:space="preserve">, dont bénéficient </w:t>
      </w:r>
      <w:r w:rsidRPr="0017720E">
        <w:rPr>
          <w:lang w:val="fr-FR"/>
        </w:rPr>
        <w:t>également les minorités ethniques.</w:t>
      </w:r>
    </w:p>
    <w:p w:rsidR="00625336" w:rsidRPr="0017720E" w:rsidRDefault="00625336" w:rsidP="00625336">
      <w:pPr>
        <w:pStyle w:val="H1G"/>
      </w:pPr>
      <w:r>
        <w:tab/>
      </w:r>
      <w:r w:rsidRPr="0017720E">
        <w:t>K.</w:t>
      </w:r>
      <w:r w:rsidRPr="0017720E">
        <w:tab/>
        <w:t xml:space="preserve">Réponses aux questions soulevées </w:t>
      </w:r>
      <w:r>
        <w:t>au</w:t>
      </w:r>
      <w:r w:rsidRPr="0017720E">
        <w:t xml:space="preserve"> paragraphe 20</w:t>
      </w:r>
    </w:p>
    <w:p w:rsidR="00625336" w:rsidRPr="0017720E" w:rsidRDefault="00625336" w:rsidP="00625336">
      <w:pPr>
        <w:pStyle w:val="H23G"/>
      </w:pPr>
      <w:r>
        <w:tab/>
      </w:r>
      <w:r>
        <w:tab/>
      </w:r>
      <w:r w:rsidRPr="0017720E">
        <w:t>Cadre législatif</w:t>
      </w:r>
    </w:p>
    <w:p w:rsidR="00625336" w:rsidRPr="0017720E" w:rsidRDefault="00625336" w:rsidP="00625336">
      <w:pPr>
        <w:pStyle w:val="SingleTxtG"/>
      </w:pPr>
      <w:r w:rsidRPr="0017720E">
        <w:t>54.</w:t>
      </w:r>
      <w:r w:rsidRPr="0017720E">
        <w:tab/>
        <w:t xml:space="preserve">En 2005, des modifications </w:t>
      </w:r>
      <w:r>
        <w:t xml:space="preserve">législatives </w:t>
      </w:r>
      <w:r w:rsidRPr="0017720E">
        <w:t xml:space="preserve">ont été apportées à l’article 144 du Code pénal </w:t>
      </w:r>
      <w:r>
        <w:t xml:space="preserve">géorgien </w:t>
      </w:r>
      <w:r w:rsidRPr="0017720E">
        <w:t>relatif à la torture, aux menaces de torture et aux traitements inhumains et dégradants. L’article 144 définit la torture comme</w:t>
      </w:r>
      <w:r>
        <w:t xml:space="preserve"> «u</w:t>
      </w:r>
      <w:r w:rsidRPr="0017720E">
        <w:t xml:space="preserve">n acte </w:t>
      </w:r>
      <w:r>
        <w:t xml:space="preserve">consistant à soumettre </w:t>
      </w:r>
      <w:r w:rsidRPr="0017720E">
        <w:t xml:space="preserve">une personne, les membres de sa famille ou </w:t>
      </w:r>
      <w:r>
        <w:t>une tierce</w:t>
      </w:r>
      <w:r w:rsidRPr="0017720E">
        <w:t xml:space="preserve"> personne </w:t>
      </w:r>
      <w:r>
        <w:t xml:space="preserve">placée sous sa dépendance </w:t>
      </w:r>
      <w:r w:rsidRPr="0017720E">
        <w:t>financière ou autre, à des conditions, traitements ou peines qui, par leur nature, intensité ou durée, provoquent de</w:t>
      </w:r>
      <w:r>
        <w:t>s</w:t>
      </w:r>
      <w:r w:rsidRPr="0017720E">
        <w:t xml:space="preserve"> douleurs ou </w:t>
      </w:r>
      <w:r>
        <w:t xml:space="preserve">des </w:t>
      </w:r>
      <w:r w:rsidRPr="0017720E">
        <w:t xml:space="preserve">souffrances </w:t>
      </w:r>
      <w:r>
        <w:t xml:space="preserve">aiguës </w:t>
      </w:r>
      <w:r w:rsidRPr="0017720E">
        <w:t xml:space="preserve">physiques ou mentales, infligées </w:t>
      </w:r>
      <w:r>
        <w:t xml:space="preserve">aux fins </w:t>
      </w:r>
      <w:r w:rsidRPr="0017720E">
        <w:t xml:space="preserve">d’obtenir des </w:t>
      </w:r>
      <w:r>
        <w:t>renseignements</w:t>
      </w:r>
      <w:r w:rsidRPr="0017720E">
        <w:t xml:space="preserve">, des preuves ou des aveux, d’intimider, contraindre ou punir une personne pour un acte qu’elle ou un tiers a commis ou est soupçonné d’avoir commis». Une peine </w:t>
      </w:r>
      <w:r>
        <w:t xml:space="preserve">plus lourde, d’une durée </w:t>
      </w:r>
      <w:r w:rsidRPr="0017720E">
        <w:t xml:space="preserve">de douze à dix-sept ans de privation de liberté (au lieu de sept à dix ans </w:t>
      </w:r>
      <w:r>
        <w:t>ordinairement</w:t>
      </w:r>
      <w:r w:rsidRPr="0017720E">
        <w:t>) est prévue si ce crime est commis par un agent de l’État ou par une personne ayant un statut équivalent (art. 144 2) a)) ou agissant dans le cadre de ses fonctions (art. 144 2) b)). L’article 144 interdit la menace de la torture</w:t>
      </w:r>
      <w:r>
        <w:t>,</w:t>
      </w:r>
      <w:r w:rsidRPr="0017720E">
        <w:t xml:space="preserve"> qui est sanctionnée par une amende ou une privation de liberté pouvant aller jusqu’à deux ans. L’article 144 interdit également les traitements ou </w:t>
      </w:r>
      <w:r>
        <w:t>peines</w:t>
      </w:r>
      <w:r w:rsidRPr="0017720E">
        <w:t xml:space="preserve"> inhumains ou dégradants et une peine plus </w:t>
      </w:r>
      <w:r>
        <w:t>lourde</w:t>
      </w:r>
      <w:r w:rsidRPr="0017720E">
        <w:t xml:space="preserve"> est prévue (de quatre à six ans de privation de liberté) si ce traitement est infligé par un agent de l’État ou une personne de statut équivalent ou agissant dans le cadre de ses fonctions.</w:t>
      </w:r>
    </w:p>
    <w:p w:rsidR="00625336" w:rsidRPr="0017720E" w:rsidRDefault="00625336" w:rsidP="00625336">
      <w:pPr>
        <w:pStyle w:val="H23G"/>
      </w:pPr>
      <w:r>
        <w:tab/>
      </w:r>
      <w:r>
        <w:tab/>
      </w:r>
      <w:r w:rsidRPr="0017720E">
        <w:t>Développement des institutions</w:t>
      </w:r>
    </w:p>
    <w:p w:rsidR="00625336" w:rsidRPr="0017720E" w:rsidRDefault="00625336" w:rsidP="00625336">
      <w:pPr>
        <w:pStyle w:val="SingleTxtG"/>
      </w:pPr>
      <w:r w:rsidRPr="0017720E">
        <w:t>55.</w:t>
      </w:r>
      <w:r w:rsidRPr="0017720E">
        <w:tab/>
        <w:t xml:space="preserve">Des unités de protection et de </w:t>
      </w:r>
      <w:r>
        <w:t>surveillance</w:t>
      </w:r>
      <w:r w:rsidRPr="0017720E">
        <w:t xml:space="preserve"> des droits de l’homme ont été créées auprès des institutions </w:t>
      </w:r>
      <w:r>
        <w:t>chargées de l’application des lois</w:t>
      </w:r>
      <w:r w:rsidRPr="0017720E">
        <w:t xml:space="preserve">: Ministère de l’intérieur, Bureau du Procureur général de Géorgie et Ministère des prisons et de l’assistance juridique. Une des principales tâches de ces unités est </w:t>
      </w:r>
      <w:r>
        <w:t xml:space="preserve">d’effectuer </w:t>
      </w:r>
      <w:r w:rsidRPr="0017720E">
        <w:t xml:space="preserve">une surveillance interne du système de protection des droits de l’homme et de </w:t>
      </w:r>
      <w:r>
        <w:t xml:space="preserve">vérifier </w:t>
      </w:r>
      <w:r w:rsidRPr="0017720E">
        <w:t xml:space="preserve">le respect des normes nationales et internationales des droits de l’homme. Elles constituent un outil efficace pour </w:t>
      </w:r>
      <w:r>
        <w:t xml:space="preserve">remédier </w:t>
      </w:r>
      <w:r w:rsidRPr="0017720E">
        <w:t>rapide</w:t>
      </w:r>
      <w:r>
        <w:t>ment</w:t>
      </w:r>
      <w:r w:rsidRPr="0017720E">
        <w:t xml:space="preserve"> et </w:t>
      </w:r>
      <w:r>
        <w:t xml:space="preserve">de manière </w:t>
      </w:r>
      <w:r w:rsidRPr="0017720E">
        <w:t xml:space="preserve">adaptée </w:t>
      </w:r>
      <w:r>
        <w:t>aux</w:t>
      </w:r>
      <w:r w:rsidRPr="0017720E">
        <w:t xml:space="preserve"> problèmes individuels et systémiques. </w:t>
      </w:r>
    </w:p>
    <w:p w:rsidR="00625336" w:rsidRPr="0017720E" w:rsidRDefault="00625336" w:rsidP="00625336">
      <w:pPr>
        <w:pStyle w:val="SingleTxtG"/>
      </w:pPr>
      <w:r w:rsidRPr="0017720E">
        <w:t>56.</w:t>
      </w:r>
      <w:r w:rsidRPr="0017720E">
        <w:tab/>
        <w:t xml:space="preserve">Outre les </w:t>
      </w:r>
      <w:r>
        <w:t>U</w:t>
      </w:r>
      <w:r w:rsidRPr="0017720E">
        <w:t xml:space="preserve">nités des droits de l’homme, le Conseil de coordination interinstitutions contre la torture </w:t>
      </w:r>
      <w:r>
        <w:t xml:space="preserve">et les peines ou traitements </w:t>
      </w:r>
      <w:r w:rsidRPr="0017720E">
        <w:t>cruels, inhumains ou dégradants a été créé par le décret présidentiel n</w:t>
      </w:r>
      <w:r w:rsidRPr="0017720E">
        <w:rPr>
          <w:vertAlign w:val="superscript"/>
        </w:rPr>
        <w:t>o</w:t>
      </w:r>
      <w:r w:rsidR="00D755F0">
        <w:t xml:space="preserve"> 369 du 20 </w:t>
      </w:r>
      <w:r w:rsidRPr="0017720E">
        <w:t xml:space="preserve">juin 2007. </w:t>
      </w:r>
      <w:r>
        <w:t xml:space="preserve">Il est composé de </w:t>
      </w:r>
      <w:r w:rsidRPr="0017720E">
        <w:t>hauts fonctionnaires, des représentants d’organisations internationales et non gouvernementales et d</w:t>
      </w:r>
      <w:r>
        <w:t>’</w:t>
      </w:r>
      <w:r w:rsidRPr="0017720E">
        <w:t xml:space="preserve">experts indépendants. Le Conseil est chargé de la surveillance et de la mise en œuvre des plans d’action annuels contre la torture, les </w:t>
      </w:r>
      <w:r>
        <w:t xml:space="preserve">peines ou traitements cruels, inhumains </w:t>
      </w:r>
      <w:r w:rsidRPr="0017720E">
        <w:t>ou dégradants.</w:t>
      </w:r>
    </w:p>
    <w:p w:rsidR="00625336" w:rsidRPr="0017720E" w:rsidRDefault="00625336" w:rsidP="00625336">
      <w:pPr>
        <w:pStyle w:val="H23G"/>
      </w:pPr>
      <w:r>
        <w:tab/>
      </w:r>
      <w:r>
        <w:tab/>
      </w:r>
      <w:r w:rsidRPr="0017720E">
        <w:t xml:space="preserve">Indemnisation </w:t>
      </w:r>
      <w:r>
        <w:t>d</w:t>
      </w:r>
      <w:r w:rsidRPr="0017720E">
        <w:t>es victimes de torture</w:t>
      </w:r>
    </w:p>
    <w:p w:rsidR="00625336" w:rsidRPr="0017720E" w:rsidRDefault="00625336" w:rsidP="00625336">
      <w:pPr>
        <w:pStyle w:val="SingleTxtG"/>
      </w:pPr>
      <w:r w:rsidRPr="0017720E">
        <w:t>57.</w:t>
      </w:r>
      <w:r w:rsidRPr="0017720E">
        <w:tab/>
        <w:t xml:space="preserve">Le Code civil </w:t>
      </w:r>
      <w:r>
        <w:t xml:space="preserve">géorgien </w:t>
      </w:r>
      <w:r w:rsidRPr="0017720E">
        <w:t xml:space="preserve">prévoit une procédure visant à l’indemnisation des victimes de torture. </w:t>
      </w:r>
      <w:r>
        <w:t xml:space="preserve">Dans ce cadre, en cas de lésions </w:t>
      </w:r>
      <w:r w:rsidRPr="0017720E">
        <w:t xml:space="preserve">corporelles ou d’atteintes à la santé d’une personne, la victime peut </w:t>
      </w:r>
      <w:r>
        <w:t xml:space="preserve">invoquer </w:t>
      </w:r>
      <w:r w:rsidRPr="0017720E">
        <w:t>le Code civil pour réclamer des dommages</w:t>
      </w:r>
      <w:r>
        <w:t xml:space="preserve"> et </w:t>
      </w:r>
      <w:r w:rsidRPr="0017720E">
        <w:t xml:space="preserve">intérêts. De plus, l’article 1005 du Code </w:t>
      </w:r>
      <w:r>
        <w:t xml:space="preserve">stipule </w:t>
      </w:r>
      <w:r w:rsidRPr="0017720E">
        <w:t>la responsabilité de l’État en cas de dommages provoqués intentionnellement ou du fait d’une négligence grossière</w:t>
      </w:r>
      <w:r>
        <w:t xml:space="preserve"> d’un fonctionnaire</w:t>
      </w:r>
      <w:r w:rsidRPr="0017720E">
        <w:t>. En 2009, une victime de torture a été indemnisée. En 2007, la Chambre pénale</w:t>
      </w:r>
      <w:r>
        <w:t xml:space="preserve"> de la cour d’appel </w:t>
      </w:r>
      <w:r w:rsidRPr="0017720E">
        <w:t xml:space="preserve">de Tbilissi a condamné deux anciens employés du Ministère </w:t>
      </w:r>
      <w:r>
        <w:t xml:space="preserve">de l’intérieur </w:t>
      </w:r>
      <w:r w:rsidRPr="0017720E">
        <w:t>à sept et huit ans de prison</w:t>
      </w:r>
      <w:r>
        <w:t>,</w:t>
      </w:r>
      <w:r w:rsidRPr="0017720E">
        <w:t xml:space="preserve"> respectivement</w:t>
      </w:r>
      <w:r>
        <w:t>,</w:t>
      </w:r>
      <w:r w:rsidRPr="0017720E">
        <w:t xml:space="preserve"> pour un crime de torture commis en 2003. En 2009, le Ministère et les coupables ont versé une somme de 9 000 lari à la victime à titre d’indemnisation en application de la décision </w:t>
      </w:r>
      <w:r>
        <w:t>de la cour</w:t>
      </w:r>
      <w:r w:rsidRPr="0017720E">
        <w:t>.</w:t>
      </w:r>
    </w:p>
    <w:p w:rsidR="00625336" w:rsidRPr="0017720E" w:rsidRDefault="00625336" w:rsidP="00625336">
      <w:pPr>
        <w:pStyle w:val="H23G"/>
      </w:pPr>
      <w:r>
        <w:tab/>
      </w:r>
      <w:r>
        <w:tab/>
      </w:r>
      <w:r w:rsidRPr="0017720E">
        <w:t xml:space="preserve">Renforcement des capacités des </w:t>
      </w:r>
      <w:r>
        <w:t>organes</w:t>
      </w:r>
      <w:r w:rsidRPr="0017720E">
        <w:t xml:space="preserve"> de maintien de l’ordre</w:t>
      </w:r>
    </w:p>
    <w:p w:rsidR="00625336" w:rsidRPr="0017720E" w:rsidRDefault="00625336" w:rsidP="00625336">
      <w:pPr>
        <w:pStyle w:val="SingleTxtG"/>
      </w:pPr>
      <w:r w:rsidRPr="0017720E">
        <w:t>58.</w:t>
      </w:r>
      <w:r w:rsidRPr="0017720E">
        <w:tab/>
        <w:t>Un manuel sur l’usage de la force</w:t>
      </w:r>
      <w:r>
        <w:t>,</w:t>
      </w:r>
      <w:r w:rsidRPr="0017720E">
        <w:t xml:space="preserve"> adopté par le Ministère de l’intérieur</w:t>
      </w:r>
      <w:r>
        <w:t>,</w:t>
      </w:r>
      <w:r w:rsidRPr="0017720E">
        <w:t xml:space="preserve"> constitue une garantie supplémentaire contre les mauvais traitements. L’École de police du Ministère de l’intérieur a élaboré un manuel sur l’usage de la force, en collaboration avec les </w:t>
      </w:r>
      <w:r w:rsidR="00D755F0">
        <w:t>États</w:t>
      </w:r>
      <w:r w:rsidR="00D755F0">
        <w:noBreakHyphen/>
      </w:r>
      <w:r>
        <w:t>Unis et la France</w:t>
      </w:r>
      <w:r w:rsidRPr="0017720E">
        <w:t>, ainsi qu’avec les organisations internationales. Le cours porte sur l’attitude à adopter face aux suspects agressifs, l’u</w:t>
      </w:r>
      <w:r>
        <w:t>sage</w:t>
      </w:r>
      <w:r w:rsidRPr="0017720E">
        <w:t xml:space="preserve"> de la force minimum nécessaire, l’escalade de la force en réaction à la violence et/ou à la résistance, les droits de l’homme relatifs à l’usage de la </w:t>
      </w:r>
      <w:r>
        <w:t>contrainte</w:t>
      </w:r>
      <w:r w:rsidRPr="0017720E">
        <w:t xml:space="preserve">, l’usage des armes à feu et les cas d’absolue nécessité. Un module de formation des étudiants inscrits à l’École de police a été élaboré en parallèle. Le manuel est utilisé dans le cadre </w:t>
      </w:r>
      <w:r>
        <w:t xml:space="preserve">d’un </w:t>
      </w:r>
      <w:r w:rsidRPr="0017720E">
        <w:t xml:space="preserve">cours de base obligatoire et constitue un complément important à </w:t>
      </w:r>
      <w:r>
        <w:t xml:space="preserve">l’enseignement </w:t>
      </w:r>
      <w:r w:rsidRPr="0017720E">
        <w:t xml:space="preserve">des droits de l’homme, qui </w:t>
      </w:r>
      <w:r>
        <w:t xml:space="preserve">constitue </w:t>
      </w:r>
      <w:r w:rsidRPr="0017720E">
        <w:t>15 % de l’ensemble du cours.</w:t>
      </w:r>
    </w:p>
    <w:p w:rsidR="00625336" w:rsidRPr="0017720E" w:rsidRDefault="00625336" w:rsidP="00625336">
      <w:pPr>
        <w:pStyle w:val="H1G"/>
      </w:pPr>
      <w:r>
        <w:tab/>
      </w:r>
      <w:r w:rsidRPr="0017720E">
        <w:t>L.</w:t>
      </w:r>
      <w:r w:rsidRPr="0017720E">
        <w:tab/>
        <w:t xml:space="preserve">Réponses aux questions soulevées </w:t>
      </w:r>
      <w:r>
        <w:t xml:space="preserve">au </w:t>
      </w:r>
      <w:r w:rsidRPr="0017720E">
        <w:t>paragraphe 21</w:t>
      </w:r>
    </w:p>
    <w:p w:rsidR="00625336" w:rsidRPr="0017720E" w:rsidRDefault="00625336" w:rsidP="00625336">
      <w:pPr>
        <w:pStyle w:val="SingleTxtG"/>
      </w:pPr>
      <w:r w:rsidRPr="0017720E">
        <w:t>59.</w:t>
      </w:r>
      <w:r w:rsidRPr="0017720E">
        <w:tab/>
        <w:t>Le Bureau du Défenseur du peuple de Géorgie a été créé par la loi organique n</w:t>
      </w:r>
      <w:r w:rsidRPr="0017720E">
        <w:rPr>
          <w:vertAlign w:val="superscript"/>
        </w:rPr>
        <w:t>o</w:t>
      </w:r>
      <w:r w:rsidRPr="0017720E">
        <w:t> 230 du 16 mai 1996</w:t>
      </w:r>
      <w:r>
        <w:t>,</w:t>
      </w:r>
      <w:r w:rsidRPr="0017720E">
        <w:t xml:space="preserve"> conformément aux Principes de Paris. Le Défenseur du peuple est indépendant dans l’exercice de ses fonctions</w:t>
      </w:r>
      <w:r>
        <w:t xml:space="preserve">; il </w:t>
      </w:r>
      <w:r w:rsidRPr="0017720E">
        <w:t xml:space="preserve">est élu pour cinq ans par le Parlement </w:t>
      </w:r>
      <w:r>
        <w:t xml:space="preserve">géorgien </w:t>
      </w:r>
      <w:r w:rsidRPr="0017720E">
        <w:t>devant lequel il est responsable</w:t>
      </w:r>
      <w:r w:rsidRPr="006F1236">
        <w:rPr>
          <w:rStyle w:val="FootnoteReference"/>
        </w:rPr>
        <w:footnoteReference w:id="23"/>
      </w:r>
      <w:r w:rsidRPr="0017720E">
        <w:t xml:space="preserve">. Son mandat est large et comprend une vaste liste de droits de l’homme et de libertés. L’accent est mis sur </w:t>
      </w:r>
      <w:r>
        <w:t>s</w:t>
      </w:r>
      <w:r w:rsidRPr="0017720E">
        <w:t xml:space="preserve">es fonctions de </w:t>
      </w:r>
      <w:r>
        <w:t xml:space="preserve">surveillance </w:t>
      </w:r>
      <w:r w:rsidRPr="0017720E">
        <w:t xml:space="preserve">des droits de l’homme et </w:t>
      </w:r>
      <w:r>
        <w:t>son pouvoir d’</w:t>
      </w:r>
      <w:r w:rsidRPr="0017720E">
        <w:t xml:space="preserve">enquêter sur des plaintes individuelles (sur la base de demandes et </w:t>
      </w:r>
      <w:r>
        <w:t xml:space="preserve">de recours </w:t>
      </w:r>
      <w:r w:rsidRPr="0017720E">
        <w:t>ou de sa propre initiative)</w:t>
      </w:r>
      <w:r w:rsidRPr="006F1236">
        <w:rPr>
          <w:rStyle w:val="FootnoteReference"/>
        </w:rPr>
        <w:footnoteReference w:id="24"/>
      </w:r>
      <w:r w:rsidRPr="0017720E">
        <w:t>. Il effectue notamment un contrôle régulier de tous les lieux de privation de liberté de Géorgie</w:t>
      </w:r>
      <w:r w:rsidRPr="006F1236">
        <w:rPr>
          <w:rStyle w:val="FootnoteReference"/>
        </w:rPr>
        <w:footnoteReference w:id="25"/>
      </w:r>
      <w:r w:rsidRPr="0017720E">
        <w:t xml:space="preserve">. Le Défenseur du peuple fait des recommandations aux organes ou institutions publiques </w:t>
      </w:r>
      <w:r>
        <w:t xml:space="preserve">concernés </w:t>
      </w:r>
      <w:r w:rsidRPr="0017720E">
        <w:t xml:space="preserve">ayant </w:t>
      </w:r>
      <w:r>
        <w:t xml:space="preserve">porté atteinte </w:t>
      </w:r>
      <w:r w:rsidRPr="0017720E">
        <w:t>aux droits de l’homme en vue du rétablissement des droits violés et présente tous les six mois un rapport au Parlement sur la situation des droits de l’homme dans le pays</w:t>
      </w:r>
      <w:r w:rsidRPr="006F1236">
        <w:rPr>
          <w:rStyle w:val="FootnoteReference"/>
        </w:rPr>
        <w:footnoteReference w:id="26"/>
      </w:r>
      <w:r w:rsidRPr="0017720E">
        <w:t>.</w:t>
      </w:r>
    </w:p>
    <w:p w:rsidR="00625336" w:rsidRPr="0017720E" w:rsidRDefault="00625336" w:rsidP="00625336">
      <w:pPr>
        <w:pStyle w:val="SingleTxtG"/>
      </w:pPr>
      <w:r w:rsidRPr="0017720E">
        <w:t>60.</w:t>
      </w:r>
      <w:r w:rsidRPr="0017720E">
        <w:tab/>
        <w:t xml:space="preserve">Récemment, </w:t>
      </w:r>
      <w:r>
        <w:t xml:space="preserve">à la suite </w:t>
      </w:r>
      <w:r w:rsidRPr="0017720E">
        <w:t>de modifications législatives</w:t>
      </w:r>
      <w:r w:rsidRPr="006F1236">
        <w:rPr>
          <w:rStyle w:val="FootnoteReference"/>
        </w:rPr>
        <w:footnoteReference w:id="27"/>
      </w:r>
      <w:r w:rsidRPr="0017720E">
        <w:t xml:space="preserve">, le Défenseur du peuple </w:t>
      </w:r>
      <w:r>
        <w:t xml:space="preserve">a été investi des fonctions de mécanisme </w:t>
      </w:r>
      <w:r w:rsidRPr="0017720E">
        <w:t>national de prévention au titre du Protocole facultatif se rapportant à la Convention contre la torture</w:t>
      </w:r>
      <w:r w:rsidRPr="006F1236">
        <w:rPr>
          <w:rStyle w:val="FootnoteReference"/>
        </w:rPr>
        <w:footnoteReference w:id="28"/>
      </w:r>
      <w:r w:rsidRPr="0017720E">
        <w:t>.</w:t>
      </w:r>
    </w:p>
    <w:p w:rsidR="00021B1E" w:rsidRDefault="00625336" w:rsidP="00625336">
      <w:pPr>
        <w:pStyle w:val="SingleTxtG"/>
      </w:pPr>
      <w:r w:rsidRPr="0017720E">
        <w:t>61.</w:t>
      </w:r>
      <w:r w:rsidRPr="0017720E">
        <w:tab/>
        <w:t>Il convient de noter qu’outre le Conseil des minorités nationales et le Conseil des religions, le Bureau du Défenseur du peuple a créé</w:t>
      </w:r>
      <w:r>
        <w:t>,</w:t>
      </w:r>
      <w:r w:rsidRPr="0017720E">
        <w:t xml:space="preserve"> en 2001</w:t>
      </w:r>
      <w:r>
        <w:t>,</w:t>
      </w:r>
      <w:r w:rsidRPr="0017720E">
        <w:t xml:space="preserve"> un </w:t>
      </w:r>
      <w:r>
        <w:t>C</w:t>
      </w:r>
      <w:r w:rsidRPr="0017720E">
        <w:t>entre pour les droits des enfants et</w:t>
      </w:r>
      <w:r>
        <w:t>,</w:t>
      </w:r>
      <w:r w:rsidRPr="0017720E">
        <w:t xml:space="preserve"> en 2008</w:t>
      </w:r>
      <w:r>
        <w:t>, un C</w:t>
      </w:r>
      <w:r w:rsidRPr="0017720E">
        <w:t>entre pour les droits des personnes handicapées.</w:t>
      </w:r>
    </w:p>
    <w:p w:rsidR="003350BE" w:rsidRDefault="003350BE" w:rsidP="003350BE">
      <w:pPr>
        <w:pStyle w:val="H1G"/>
      </w:pPr>
      <w:r>
        <w:tab/>
        <w:t>M.</w:t>
      </w:r>
      <w:r>
        <w:tab/>
        <w:t xml:space="preserve">Réponses aux questions soulevées au </w:t>
      </w:r>
      <w:r w:rsidRPr="008C7E6E">
        <w:t>paragraphe</w:t>
      </w:r>
      <w:r>
        <w:t xml:space="preserve"> 22</w:t>
      </w:r>
    </w:p>
    <w:p w:rsidR="003350BE" w:rsidRDefault="003350BE" w:rsidP="003350BE">
      <w:pPr>
        <w:pStyle w:val="H23G"/>
      </w:pPr>
      <w:r>
        <w:tab/>
      </w:r>
      <w:r>
        <w:tab/>
      </w:r>
      <w:r w:rsidRPr="008C7E6E">
        <w:t>Sensibilisation du public</w:t>
      </w:r>
    </w:p>
    <w:p w:rsidR="003350BE" w:rsidRDefault="003350BE" w:rsidP="003350BE">
      <w:pPr>
        <w:pStyle w:val="SingleTxtG"/>
      </w:pPr>
      <w:r>
        <w:t>62.</w:t>
      </w:r>
      <w:r>
        <w:tab/>
      </w:r>
      <w:r>
        <w:rPr>
          <w:rFonts w:eastAsia="MS Mincho"/>
        </w:rPr>
        <w:t>En ce qui concerne</w:t>
      </w:r>
      <w:r>
        <w:t xml:space="preserve"> la sensibilisation aux droits des victimes sur des points de droit relatifs aux minorités ethniques, le Centre pour la to</w:t>
      </w:r>
      <w:r w:rsidR="000029CA">
        <w:t>lérance, rattaché au Bureau du D</w:t>
      </w:r>
      <w:r>
        <w:t xml:space="preserve">éfenseur du peuple, a été chargé de prêter assistance à toute personne concernée ainsi que de faciliter les consultations et le dialogue entre les minorités nationales et le Gouvernement. En 2009, le Conseil des minorités nationales a publié des brochures contenant des </w:t>
      </w:r>
      <w:r>
        <w:rPr>
          <w:rFonts w:eastAsia="MS Mincho"/>
        </w:rPr>
        <w:t>information</w:t>
      </w:r>
      <w:r>
        <w:t>s sur les questions intéressant les minorités et sur ses activités. Pour le mandat du Conseil des minorités nationales, se reporter au paragraphe 9 ci-dessus.</w:t>
      </w:r>
    </w:p>
    <w:p w:rsidR="003350BE" w:rsidRDefault="003350BE" w:rsidP="003350BE">
      <w:pPr>
        <w:pStyle w:val="SingleTxtG"/>
      </w:pPr>
      <w:r>
        <w:t>63.</w:t>
      </w:r>
      <w:r>
        <w:tab/>
        <w:t>Parallèlement, le Service d’aide judiciaire de Géorgie prend dûment note des consultations que font les minorités nationales au sujet de leurs droits par l’intermédiaire de ses bureaux et centres de consultation. Récemment, le Service d’aide judiciaire a créé un bureau dans la région de Samtskhe-Javakheti et le centre de consultation devrait être ouvert à Akhalkalaki pour offrir ses services aux minorités ethniques résidant dans la région.</w:t>
      </w:r>
    </w:p>
    <w:p w:rsidR="003350BE" w:rsidRDefault="003350BE" w:rsidP="003350BE">
      <w:pPr>
        <w:pStyle w:val="SingleTxtG"/>
        <w:rPr>
          <w:rFonts w:eastAsia="MS Mincho"/>
        </w:rPr>
      </w:pPr>
      <w:r>
        <w:t>64.</w:t>
      </w:r>
      <w:r>
        <w:tab/>
        <w:t xml:space="preserve">Dans le même temps, le Gouvernement a conscience que les </w:t>
      </w:r>
      <w:r>
        <w:rPr>
          <w:rFonts w:eastAsia="MS Mincho"/>
        </w:rPr>
        <w:t>information</w:t>
      </w:r>
      <w:r>
        <w:t xml:space="preserve">s relatives aux nouvelles initiatives législatives devraient être communiquées aux minorités nationales. Ce fut le cas, et cela a </w:t>
      </w:r>
      <w:r>
        <w:rPr>
          <w:rFonts w:eastAsia="MS Mincho"/>
        </w:rPr>
        <w:t>représenté une nouveauté, pour le Code de procédure pénale de Géorgie nouvellement adopté, devant entrer en vigueur en octobre 2010. À cet égard, le Service d’aide juridique prévoit déjà de lancer une véritable campagne d’information publique et de publier des brochures d’information en langues azéri, arménienne et russe. Ces brochures aideront les minorités ethniques à s’informer des droits et obligations que leur confère la législation et à obtenir des renseignements sur les recours qui leur sont ouverts en droit pénal géorgien.</w:t>
      </w:r>
    </w:p>
    <w:p w:rsidR="003350BE" w:rsidRDefault="003350BE" w:rsidP="003350BE">
      <w:pPr>
        <w:pStyle w:val="H23G"/>
        <w:rPr>
          <w:rFonts w:eastAsia="MS Mincho"/>
        </w:rPr>
      </w:pPr>
      <w:r>
        <w:rPr>
          <w:rFonts w:eastAsia="MS Mincho"/>
        </w:rPr>
        <w:tab/>
      </w:r>
      <w:r>
        <w:rPr>
          <w:rFonts w:eastAsia="MS Mincho"/>
        </w:rPr>
        <w:tab/>
        <w:t>Formation des forces de l’ordre</w:t>
      </w:r>
    </w:p>
    <w:p w:rsidR="003350BE" w:rsidRPr="00340057" w:rsidRDefault="003350BE" w:rsidP="003350BE">
      <w:pPr>
        <w:pStyle w:val="SingleTxtG"/>
      </w:pPr>
      <w:r>
        <w:rPr>
          <w:rFonts w:eastAsia="MS Mincho"/>
        </w:rPr>
        <w:t>65.</w:t>
      </w:r>
      <w:r>
        <w:rPr>
          <w:rFonts w:eastAsia="MS Mincho"/>
        </w:rPr>
        <w:tab/>
        <w:t xml:space="preserve">Dans la lutte contre la discrimination, une attention particulière est accordée à la formation dans le domaine des droits de l’homme des fonctionnaires concernés. L’objet d’une telle formation n’est pas seulement de relever le niveau de qualification de ceux qui font appliquer la loi mais également de renforcer leur engagement à l’égard de droits de l’homme et leur souci de les respecter. C’est ainsi, </w:t>
      </w:r>
      <w:r w:rsidRPr="00340057">
        <w:rPr>
          <w:rFonts w:eastAsia="MS Mincho"/>
        </w:rPr>
        <w:t>par exemple</w:t>
      </w:r>
      <w:r>
        <w:rPr>
          <w:rFonts w:eastAsia="MS Mincho"/>
        </w:rPr>
        <w:t>, que la préparation de base de l’École de police consacre dix heures d’enseignement aux droits de l’homme et qu’une attention particulière est accordée à la qualification des infractions racistes, étant entendu que l’éventail des infractions à motivation raciste est également couvert par d’autres cours. Les étudiants de l’École de police suivent aussi des formations consacrées aux méthodes d’investigation des infractions motivées par la discrimination raciale. Il est en outre à noter que l’École de police propose des cours sur le Code de déontologie de la police et le respect du public, qui abordent les relations avec les minorités nationales, raciales et religieuses ainsi que les facteurs à prendre en compte dans les rapports avec les minorités nationales, raciales et religieuses, les moyens d’éviter les préjugés et les problèmes qui en découlent lors d’interventions pour des infractions commises dans des régions où des minorités nationales, raciales et religieuses sont implantées.</w:t>
      </w:r>
    </w:p>
    <w:p w:rsidR="003350BE" w:rsidRDefault="003350BE" w:rsidP="001B4CC7">
      <w:pPr>
        <w:pStyle w:val="SingleTxtG"/>
      </w:pPr>
      <w:r>
        <w:t>Depuis le lancement de ces cours, 2 743 fonctionnaires de police ont suivi les formations ci-après:</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7"/>
        <w:gridCol w:w="4999"/>
        <w:gridCol w:w="841"/>
        <w:gridCol w:w="964"/>
      </w:tblGrid>
      <w:tr w:rsidR="003350BE" w:rsidRPr="00554530" w:rsidTr="00BB552C">
        <w:trPr>
          <w:tblHeader/>
        </w:trPr>
        <w:tc>
          <w:tcPr>
            <w:tcW w:w="567" w:type="dxa"/>
            <w:tcBorders>
              <w:top w:val="single" w:sz="4" w:space="0" w:color="auto"/>
              <w:bottom w:val="single" w:sz="12" w:space="0" w:color="auto"/>
            </w:tcBorders>
            <w:shd w:val="clear" w:color="auto" w:fill="auto"/>
            <w:vAlign w:val="bottom"/>
          </w:tcPr>
          <w:p w:rsidR="003350BE" w:rsidRPr="00554530" w:rsidRDefault="003350BE" w:rsidP="00BB552C">
            <w:pPr>
              <w:keepNext/>
              <w:suppressAutoHyphens w:val="0"/>
              <w:spacing w:before="80" w:after="80" w:line="200" w:lineRule="exact"/>
              <w:rPr>
                <w:i/>
                <w:sz w:val="16"/>
              </w:rPr>
            </w:pPr>
            <w:r>
              <w:rPr>
                <w:rFonts w:eastAsia="MS Mincho"/>
                <w:i/>
                <w:sz w:val="16"/>
              </w:rPr>
              <w:t>N</w:t>
            </w:r>
            <w:r w:rsidRPr="005A3D91">
              <w:rPr>
                <w:rFonts w:eastAsia="MS Mincho"/>
                <w:i/>
                <w:sz w:val="16"/>
                <w:vertAlign w:val="superscript"/>
              </w:rPr>
              <w:t>o</w:t>
            </w:r>
          </w:p>
        </w:tc>
        <w:tc>
          <w:tcPr>
            <w:tcW w:w="4999" w:type="dxa"/>
            <w:tcBorders>
              <w:top w:val="single" w:sz="4" w:space="0" w:color="auto"/>
              <w:bottom w:val="single" w:sz="12" w:space="0" w:color="auto"/>
            </w:tcBorders>
            <w:shd w:val="clear" w:color="auto" w:fill="auto"/>
            <w:vAlign w:val="bottom"/>
          </w:tcPr>
          <w:p w:rsidR="003350BE" w:rsidRPr="00554530" w:rsidRDefault="003350BE" w:rsidP="00BB552C">
            <w:pPr>
              <w:suppressAutoHyphens w:val="0"/>
              <w:spacing w:before="80" w:after="80" w:line="200" w:lineRule="exact"/>
              <w:ind w:right="113"/>
              <w:rPr>
                <w:i/>
                <w:sz w:val="16"/>
              </w:rPr>
            </w:pPr>
            <w:r w:rsidRPr="00554530">
              <w:rPr>
                <w:i/>
                <w:sz w:val="16"/>
              </w:rPr>
              <w:t>Intitulé du cours</w:t>
            </w:r>
          </w:p>
        </w:tc>
        <w:tc>
          <w:tcPr>
            <w:tcW w:w="841" w:type="dxa"/>
            <w:tcBorders>
              <w:top w:val="single" w:sz="4" w:space="0" w:color="auto"/>
              <w:bottom w:val="single" w:sz="12" w:space="0" w:color="auto"/>
            </w:tcBorders>
            <w:shd w:val="clear" w:color="auto" w:fill="auto"/>
            <w:vAlign w:val="bottom"/>
          </w:tcPr>
          <w:p w:rsidR="003350BE" w:rsidRPr="00554530" w:rsidRDefault="003350BE" w:rsidP="00BB552C">
            <w:pPr>
              <w:suppressAutoHyphens w:val="0"/>
              <w:spacing w:before="80" w:after="80" w:line="200" w:lineRule="exact"/>
              <w:ind w:right="113"/>
              <w:rPr>
                <w:i/>
                <w:sz w:val="16"/>
              </w:rPr>
            </w:pPr>
            <w:r w:rsidRPr="00554530">
              <w:rPr>
                <w:i/>
                <w:sz w:val="16"/>
              </w:rPr>
              <w:t>Année</w:t>
            </w:r>
          </w:p>
        </w:tc>
        <w:tc>
          <w:tcPr>
            <w:tcW w:w="964" w:type="dxa"/>
            <w:tcBorders>
              <w:top w:val="single" w:sz="4" w:space="0" w:color="auto"/>
              <w:bottom w:val="single" w:sz="12" w:space="0" w:color="auto"/>
            </w:tcBorders>
            <w:shd w:val="clear" w:color="auto" w:fill="auto"/>
            <w:vAlign w:val="bottom"/>
          </w:tcPr>
          <w:p w:rsidR="003350BE" w:rsidRPr="00554530" w:rsidRDefault="003350BE" w:rsidP="00BB552C">
            <w:pPr>
              <w:suppressAutoHyphens w:val="0"/>
              <w:spacing w:before="80" w:after="80" w:line="200" w:lineRule="exact"/>
              <w:jc w:val="right"/>
              <w:rPr>
                <w:i/>
                <w:sz w:val="16"/>
              </w:rPr>
            </w:pPr>
            <w:r w:rsidRPr="00554530">
              <w:rPr>
                <w:i/>
                <w:sz w:val="16"/>
              </w:rPr>
              <w:t>Nombre de participants</w:t>
            </w:r>
          </w:p>
        </w:tc>
      </w:tr>
      <w:tr w:rsidR="003350BE" w:rsidRPr="00554530" w:rsidTr="00BB552C">
        <w:tc>
          <w:tcPr>
            <w:tcW w:w="567" w:type="dxa"/>
            <w:tcBorders>
              <w:top w:val="single" w:sz="12" w:space="0" w:color="auto"/>
            </w:tcBorders>
            <w:shd w:val="clear" w:color="auto" w:fill="auto"/>
          </w:tcPr>
          <w:p w:rsidR="003350BE" w:rsidRPr="00554530" w:rsidRDefault="003350BE" w:rsidP="00BB552C">
            <w:pPr>
              <w:suppressAutoHyphens w:val="0"/>
              <w:spacing w:before="40" w:after="40" w:line="220" w:lineRule="exact"/>
              <w:rPr>
                <w:szCs w:val="18"/>
              </w:rPr>
            </w:pPr>
            <w:r w:rsidRPr="00554530">
              <w:rPr>
                <w:szCs w:val="18"/>
              </w:rPr>
              <w:t>1</w:t>
            </w:r>
          </w:p>
        </w:tc>
        <w:tc>
          <w:tcPr>
            <w:tcW w:w="4999" w:type="dxa"/>
            <w:tcBorders>
              <w:top w:val="single" w:sz="12" w:space="0" w:color="auto"/>
            </w:tcBorders>
            <w:shd w:val="clear" w:color="auto" w:fill="auto"/>
          </w:tcPr>
          <w:p w:rsidR="003350BE" w:rsidRPr="00554530" w:rsidRDefault="003350BE" w:rsidP="00BB552C">
            <w:pPr>
              <w:suppressAutoHyphens w:val="0"/>
              <w:spacing w:before="40" w:after="40" w:line="220" w:lineRule="exact"/>
              <w:ind w:right="113"/>
              <w:rPr>
                <w:szCs w:val="18"/>
              </w:rPr>
            </w:pPr>
            <w:r w:rsidRPr="00554530">
              <w:rPr>
                <w:szCs w:val="18"/>
              </w:rPr>
              <w:t xml:space="preserve">Préparation </w:t>
            </w:r>
            <w:r>
              <w:rPr>
                <w:szCs w:val="18"/>
              </w:rPr>
              <w:t xml:space="preserve">initiale </w:t>
            </w:r>
            <w:r w:rsidRPr="00554530">
              <w:rPr>
                <w:szCs w:val="18"/>
              </w:rPr>
              <w:t xml:space="preserve">pour les inspecteurs de district </w:t>
            </w:r>
          </w:p>
        </w:tc>
        <w:tc>
          <w:tcPr>
            <w:tcW w:w="841" w:type="dxa"/>
            <w:tcBorders>
              <w:top w:val="single" w:sz="12" w:space="0" w:color="auto"/>
            </w:tcBorders>
            <w:shd w:val="clear" w:color="auto" w:fill="auto"/>
          </w:tcPr>
          <w:p w:rsidR="003350BE" w:rsidRPr="00554530" w:rsidRDefault="003350BE" w:rsidP="00BB552C">
            <w:pPr>
              <w:suppressAutoHyphens w:val="0"/>
              <w:spacing w:before="40" w:after="40" w:line="220" w:lineRule="exact"/>
              <w:ind w:right="113"/>
              <w:rPr>
                <w:szCs w:val="18"/>
              </w:rPr>
            </w:pPr>
            <w:r>
              <w:rPr>
                <w:szCs w:val="18"/>
              </w:rPr>
              <w:t>200</w:t>
            </w:r>
            <w:r w:rsidRPr="00554530">
              <w:rPr>
                <w:szCs w:val="18"/>
              </w:rPr>
              <w:t>8</w:t>
            </w:r>
          </w:p>
        </w:tc>
        <w:tc>
          <w:tcPr>
            <w:tcW w:w="964" w:type="dxa"/>
            <w:tcBorders>
              <w:top w:val="single" w:sz="12" w:space="0" w:color="auto"/>
            </w:tcBorders>
            <w:shd w:val="clear" w:color="auto" w:fill="auto"/>
          </w:tcPr>
          <w:p w:rsidR="003350BE" w:rsidRPr="00554530" w:rsidRDefault="003350BE" w:rsidP="00BB552C">
            <w:pPr>
              <w:suppressAutoHyphens w:val="0"/>
              <w:spacing w:before="40" w:after="40" w:line="220" w:lineRule="exact"/>
              <w:jc w:val="right"/>
              <w:rPr>
                <w:szCs w:val="18"/>
              </w:rPr>
            </w:pPr>
            <w:r w:rsidRPr="00554530">
              <w:rPr>
                <w:szCs w:val="18"/>
              </w:rPr>
              <w:t>952</w:t>
            </w:r>
          </w:p>
        </w:tc>
      </w:tr>
      <w:tr w:rsidR="003350BE" w:rsidRPr="00554530" w:rsidTr="00BB552C">
        <w:tc>
          <w:tcPr>
            <w:tcW w:w="567" w:type="dxa"/>
            <w:shd w:val="clear" w:color="auto" w:fill="auto"/>
          </w:tcPr>
          <w:p w:rsidR="003350BE" w:rsidRPr="00554530" w:rsidRDefault="003350BE" w:rsidP="00BB552C">
            <w:pPr>
              <w:suppressAutoHyphens w:val="0"/>
              <w:spacing w:before="40" w:after="40" w:line="220" w:lineRule="exact"/>
              <w:rPr>
                <w:szCs w:val="18"/>
              </w:rPr>
            </w:pPr>
            <w:r w:rsidRPr="00554530">
              <w:rPr>
                <w:szCs w:val="18"/>
              </w:rPr>
              <w:t>2</w:t>
            </w:r>
          </w:p>
        </w:tc>
        <w:tc>
          <w:tcPr>
            <w:tcW w:w="4999" w:type="dxa"/>
            <w:shd w:val="clear" w:color="auto" w:fill="auto"/>
          </w:tcPr>
          <w:p w:rsidR="003350BE" w:rsidRPr="00554530" w:rsidRDefault="003350BE" w:rsidP="00BB552C">
            <w:pPr>
              <w:suppressAutoHyphens w:val="0"/>
              <w:spacing w:before="40" w:after="40" w:line="220" w:lineRule="exact"/>
              <w:ind w:right="113"/>
              <w:rPr>
                <w:szCs w:val="18"/>
              </w:rPr>
            </w:pPr>
            <w:r w:rsidRPr="00554530">
              <w:rPr>
                <w:szCs w:val="18"/>
              </w:rPr>
              <w:t xml:space="preserve">Préparation </w:t>
            </w:r>
            <w:r>
              <w:rPr>
                <w:szCs w:val="18"/>
              </w:rPr>
              <w:t xml:space="preserve">initiale </w:t>
            </w:r>
            <w:r w:rsidRPr="00554530">
              <w:rPr>
                <w:szCs w:val="18"/>
              </w:rPr>
              <w:t>pour les agents de patrouille</w:t>
            </w:r>
          </w:p>
        </w:tc>
        <w:tc>
          <w:tcPr>
            <w:tcW w:w="841" w:type="dxa"/>
            <w:shd w:val="clear" w:color="auto" w:fill="auto"/>
          </w:tcPr>
          <w:p w:rsidR="003350BE" w:rsidRPr="00554530" w:rsidRDefault="003350BE" w:rsidP="00BB552C">
            <w:pPr>
              <w:suppressAutoHyphens w:val="0"/>
              <w:spacing w:before="40" w:after="40" w:line="220" w:lineRule="exact"/>
              <w:ind w:right="113"/>
              <w:rPr>
                <w:szCs w:val="18"/>
              </w:rPr>
            </w:pPr>
            <w:r w:rsidRPr="00554530">
              <w:rPr>
                <w:szCs w:val="18"/>
              </w:rPr>
              <w:t>2008</w:t>
            </w:r>
          </w:p>
        </w:tc>
        <w:tc>
          <w:tcPr>
            <w:tcW w:w="964" w:type="dxa"/>
            <w:shd w:val="clear" w:color="auto" w:fill="auto"/>
          </w:tcPr>
          <w:p w:rsidR="003350BE" w:rsidRPr="00554530" w:rsidRDefault="003350BE" w:rsidP="00BB552C">
            <w:pPr>
              <w:suppressAutoHyphens w:val="0"/>
              <w:spacing w:before="40" w:after="40" w:line="220" w:lineRule="exact"/>
              <w:jc w:val="right"/>
              <w:rPr>
                <w:szCs w:val="18"/>
              </w:rPr>
            </w:pPr>
            <w:r w:rsidRPr="00554530">
              <w:rPr>
                <w:szCs w:val="18"/>
              </w:rPr>
              <w:t>73</w:t>
            </w:r>
          </w:p>
        </w:tc>
      </w:tr>
      <w:tr w:rsidR="003350BE" w:rsidRPr="00554530" w:rsidTr="00BB552C">
        <w:tc>
          <w:tcPr>
            <w:tcW w:w="567" w:type="dxa"/>
            <w:shd w:val="clear" w:color="auto" w:fill="auto"/>
          </w:tcPr>
          <w:p w:rsidR="003350BE" w:rsidRPr="00554530" w:rsidRDefault="003350BE" w:rsidP="00BB552C">
            <w:pPr>
              <w:suppressAutoHyphens w:val="0"/>
              <w:spacing w:before="40" w:after="40" w:line="220" w:lineRule="exact"/>
              <w:rPr>
                <w:szCs w:val="18"/>
              </w:rPr>
            </w:pPr>
            <w:r w:rsidRPr="00554530">
              <w:rPr>
                <w:szCs w:val="18"/>
              </w:rPr>
              <w:t>3</w:t>
            </w:r>
          </w:p>
        </w:tc>
        <w:tc>
          <w:tcPr>
            <w:tcW w:w="4999" w:type="dxa"/>
            <w:shd w:val="clear" w:color="auto" w:fill="auto"/>
          </w:tcPr>
          <w:p w:rsidR="003350BE" w:rsidRPr="00554530" w:rsidRDefault="003350BE" w:rsidP="00BB552C">
            <w:pPr>
              <w:suppressAutoHyphens w:val="0"/>
              <w:spacing w:before="40" w:after="40" w:line="220" w:lineRule="exact"/>
              <w:ind w:right="113"/>
              <w:rPr>
                <w:szCs w:val="18"/>
              </w:rPr>
            </w:pPr>
            <w:r>
              <w:rPr>
                <w:szCs w:val="18"/>
              </w:rPr>
              <w:t>Formation continue des policiers</w:t>
            </w:r>
          </w:p>
        </w:tc>
        <w:tc>
          <w:tcPr>
            <w:tcW w:w="841" w:type="dxa"/>
            <w:shd w:val="clear" w:color="auto" w:fill="auto"/>
          </w:tcPr>
          <w:p w:rsidR="003350BE" w:rsidRPr="00554530" w:rsidRDefault="003350BE" w:rsidP="00BB552C">
            <w:pPr>
              <w:suppressAutoHyphens w:val="0"/>
              <w:spacing w:before="40" w:after="40" w:line="220" w:lineRule="exact"/>
              <w:ind w:right="113"/>
              <w:rPr>
                <w:szCs w:val="18"/>
              </w:rPr>
            </w:pPr>
            <w:r w:rsidRPr="00554530">
              <w:rPr>
                <w:szCs w:val="18"/>
              </w:rPr>
              <w:t>2008</w:t>
            </w:r>
          </w:p>
        </w:tc>
        <w:tc>
          <w:tcPr>
            <w:tcW w:w="964" w:type="dxa"/>
            <w:shd w:val="clear" w:color="auto" w:fill="auto"/>
          </w:tcPr>
          <w:p w:rsidR="003350BE" w:rsidRPr="00554530" w:rsidRDefault="003350BE" w:rsidP="00BB552C">
            <w:pPr>
              <w:suppressAutoHyphens w:val="0"/>
              <w:spacing w:before="40" w:after="40" w:line="220" w:lineRule="exact"/>
              <w:jc w:val="right"/>
              <w:rPr>
                <w:szCs w:val="18"/>
              </w:rPr>
            </w:pPr>
            <w:r w:rsidRPr="00554530">
              <w:rPr>
                <w:szCs w:val="18"/>
              </w:rPr>
              <w:t>74</w:t>
            </w:r>
          </w:p>
        </w:tc>
      </w:tr>
      <w:tr w:rsidR="003350BE" w:rsidRPr="00554530" w:rsidTr="00BB552C">
        <w:tc>
          <w:tcPr>
            <w:tcW w:w="567" w:type="dxa"/>
            <w:shd w:val="clear" w:color="auto" w:fill="auto"/>
          </w:tcPr>
          <w:p w:rsidR="003350BE" w:rsidRPr="00554530" w:rsidRDefault="003350BE" w:rsidP="00BB552C">
            <w:pPr>
              <w:suppressAutoHyphens w:val="0"/>
              <w:spacing w:before="40" w:after="40" w:line="220" w:lineRule="exact"/>
              <w:rPr>
                <w:szCs w:val="18"/>
              </w:rPr>
            </w:pPr>
            <w:r w:rsidRPr="00554530">
              <w:rPr>
                <w:szCs w:val="18"/>
              </w:rPr>
              <w:t>4</w:t>
            </w:r>
          </w:p>
        </w:tc>
        <w:tc>
          <w:tcPr>
            <w:tcW w:w="4999" w:type="dxa"/>
            <w:shd w:val="clear" w:color="auto" w:fill="auto"/>
          </w:tcPr>
          <w:p w:rsidR="003350BE" w:rsidRPr="00554530" w:rsidRDefault="003350BE" w:rsidP="00BB552C">
            <w:pPr>
              <w:suppressAutoHyphens w:val="0"/>
              <w:spacing w:before="40" w:after="40" w:line="220" w:lineRule="exact"/>
              <w:ind w:right="113"/>
              <w:rPr>
                <w:szCs w:val="18"/>
              </w:rPr>
            </w:pPr>
            <w:r w:rsidRPr="00554530">
              <w:rPr>
                <w:szCs w:val="18"/>
              </w:rPr>
              <w:t xml:space="preserve">Préparation </w:t>
            </w:r>
            <w:r>
              <w:rPr>
                <w:szCs w:val="18"/>
              </w:rPr>
              <w:t xml:space="preserve">initiale </w:t>
            </w:r>
            <w:r w:rsidRPr="00554530">
              <w:rPr>
                <w:szCs w:val="18"/>
              </w:rPr>
              <w:t>pour les inspecteurs de district</w:t>
            </w:r>
          </w:p>
        </w:tc>
        <w:tc>
          <w:tcPr>
            <w:tcW w:w="841" w:type="dxa"/>
            <w:shd w:val="clear" w:color="auto" w:fill="auto"/>
          </w:tcPr>
          <w:p w:rsidR="003350BE" w:rsidRPr="00554530" w:rsidRDefault="003350BE" w:rsidP="00BB552C">
            <w:pPr>
              <w:suppressAutoHyphens w:val="0"/>
              <w:spacing w:before="40" w:after="40" w:line="220" w:lineRule="exact"/>
              <w:ind w:right="113"/>
              <w:rPr>
                <w:szCs w:val="18"/>
              </w:rPr>
            </w:pPr>
            <w:r w:rsidRPr="00554530">
              <w:rPr>
                <w:szCs w:val="18"/>
              </w:rPr>
              <w:t>2007</w:t>
            </w:r>
          </w:p>
        </w:tc>
        <w:tc>
          <w:tcPr>
            <w:tcW w:w="964" w:type="dxa"/>
            <w:shd w:val="clear" w:color="auto" w:fill="auto"/>
          </w:tcPr>
          <w:p w:rsidR="003350BE" w:rsidRPr="00554530" w:rsidRDefault="003350BE" w:rsidP="00BB552C">
            <w:pPr>
              <w:suppressAutoHyphens w:val="0"/>
              <w:spacing w:before="40" w:after="40" w:line="220" w:lineRule="exact"/>
              <w:jc w:val="right"/>
              <w:rPr>
                <w:szCs w:val="18"/>
              </w:rPr>
            </w:pPr>
            <w:r w:rsidRPr="00554530">
              <w:rPr>
                <w:szCs w:val="18"/>
              </w:rPr>
              <w:t>986</w:t>
            </w:r>
          </w:p>
        </w:tc>
      </w:tr>
      <w:tr w:rsidR="003350BE" w:rsidRPr="00554530" w:rsidTr="00BB552C">
        <w:tc>
          <w:tcPr>
            <w:tcW w:w="567" w:type="dxa"/>
            <w:shd w:val="clear" w:color="auto" w:fill="auto"/>
          </w:tcPr>
          <w:p w:rsidR="003350BE" w:rsidRPr="00554530" w:rsidRDefault="003350BE" w:rsidP="00BB552C">
            <w:pPr>
              <w:suppressAutoHyphens w:val="0"/>
              <w:spacing w:before="40" w:after="40" w:line="220" w:lineRule="exact"/>
              <w:rPr>
                <w:szCs w:val="18"/>
              </w:rPr>
            </w:pPr>
            <w:r w:rsidRPr="00554530">
              <w:rPr>
                <w:szCs w:val="18"/>
              </w:rPr>
              <w:t>5</w:t>
            </w:r>
          </w:p>
        </w:tc>
        <w:tc>
          <w:tcPr>
            <w:tcW w:w="4999" w:type="dxa"/>
            <w:shd w:val="clear" w:color="auto" w:fill="auto"/>
          </w:tcPr>
          <w:p w:rsidR="003350BE" w:rsidRPr="00554530" w:rsidRDefault="003350BE" w:rsidP="00BB552C">
            <w:pPr>
              <w:suppressAutoHyphens w:val="0"/>
              <w:spacing w:before="40" w:after="40" w:line="220" w:lineRule="exact"/>
              <w:ind w:right="113"/>
              <w:rPr>
                <w:szCs w:val="18"/>
              </w:rPr>
            </w:pPr>
            <w:r w:rsidRPr="00554530">
              <w:rPr>
                <w:szCs w:val="18"/>
              </w:rPr>
              <w:t xml:space="preserve">Préparation </w:t>
            </w:r>
            <w:r>
              <w:rPr>
                <w:szCs w:val="18"/>
              </w:rPr>
              <w:t xml:space="preserve">initiale </w:t>
            </w:r>
            <w:r w:rsidRPr="00554530">
              <w:rPr>
                <w:szCs w:val="18"/>
              </w:rPr>
              <w:t>pour les</w:t>
            </w:r>
            <w:r>
              <w:rPr>
                <w:szCs w:val="18"/>
              </w:rPr>
              <w:t xml:space="preserve"> agents de patrouille</w:t>
            </w:r>
          </w:p>
        </w:tc>
        <w:tc>
          <w:tcPr>
            <w:tcW w:w="841" w:type="dxa"/>
            <w:shd w:val="clear" w:color="auto" w:fill="auto"/>
          </w:tcPr>
          <w:p w:rsidR="003350BE" w:rsidRPr="00554530" w:rsidRDefault="003350BE" w:rsidP="00BB552C">
            <w:pPr>
              <w:suppressAutoHyphens w:val="0"/>
              <w:spacing w:before="40" w:after="40" w:line="220" w:lineRule="exact"/>
              <w:ind w:right="113"/>
              <w:rPr>
                <w:szCs w:val="18"/>
              </w:rPr>
            </w:pPr>
            <w:r w:rsidRPr="00554530">
              <w:rPr>
                <w:szCs w:val="18"/>
              </w:rPr>
              <w:t>2007</w:t>
            </w:r>
          </w:p>
        </w:tc>
        <w:tc>
          <w:tcPr>
            <w:tcW w:w="964" w:type="dxa"/>
            <w:shd w:val="clear" w:color="auto" w:fill="auto"/>
          </w:tcPr>
          <w:p w:rsidR="003350BE" w:rsidRPr="00554530" w:rsidRDefault="003350BE" w:rsidP="00BB552C">
            <w:pPr>
              <w:suppressAutoHyphens w:val="0"/>
              <w:spacing w:before="40" w:after="40" w:line="220" w:lineRule="exact"/>
              <w:jc w:val="right"/>
              <w:rPr>
                <w:szCs w:val="18"/>
              </w:rPr>
            </w:pPr>
            <w:r w:rsidRPr="00554530">
              <w:rPr>
                <w:szCs w:val="18"/>
              </w:rPr>
              <w:t>173</w:t>
            </w:r>
          </w:p>
        </w:tc>
      </w:tr>
      <w:tr w:rsidR="003350BE" w:rsidRPr="00554530" w:rsidTr="00BB552C">
        <w:tc>
          <w:tcPr>
            <w:tcW w:w="567" w:type="dxa"/>
            <w:shd w:val="clear" w:color="auto" w:fill="auto"/>
          </w:tcPr>
          <w:p w:rsidR="003350BE" w:rsidRPr="00554530" w:rsidRDefault="003350BE" w:rsidP="00BB552C">
            <w:pPr>
              <w:suppressAutoHyphens w:val="0"/>
              <w:spacing w:before="40" w:after="40" w:line="220" w:lineRule="exact"/>
              <w:rPr>
                <w:szCs w:val="18"/>
              </w:rPr>
            </w:pPr>
            <w:r w:rsidRPr="00554530">
              <w:rPr>
                <w:szCs w:val="18"/>
              </w:rPr>
              <w:t>6</w:t>
            </w:r>
          </w:p>
        </w:tc>
        <w:tc>
          <w:tcPr>
            <w:tcW w:w="4999" w:type="dxa"/>
            <w:shd w:val="clear" w:color="auto" w:fill="auto"/>
          </w:tcPr>
          <w:p w:rsidR="003350BE" w:rsidRPr="00554530" w:rsidRDefault="003350BE" w:rsidP="00BB552C">
            <w:pPr>
              <w:suppressAutoHyphens w:val="0"/>
              <w:spacing w:before="40" w:after="40" w:line="220" w:lineRule="exact"/>
              <w:ind w:right="113"/>
              <w:rPr>
                <w:szCs w:val="18"/>
              </w:rPr>
            </w:pPr>
            <w:r>
              <w:rPr>
                <w:szCs w:val="18"/>
              </w:rPr>
              <w:t>Formation continue des policiers</w:t>
            </w:r>
          </w:p>
        </w:tc>
        <w:tc>
          <w:tcPr>
            <w:tcW w:w="841" w:type="dxa"/>
            <w:shd w:val="clear" w:color="auto" w:fill="auto"/>
          </w:tcPr>
          <w:p w:rsidR="003350BE" w:rsidRPr="00554530" w:rsidRDefault="003350BE" w:rsidP="00BB552C">
            <w:pPr>
              <w:suppressAutoHyphens w:val="0"/>
              <w:spacing w:before="40" w:after="40" w:line="220" w:lineRule="exact"/>
              <w:ind w:right="113"/>
              <w:rPr>
                <w:szCs w:val="18"/>
              </w:rPr>
            </w:pPr>
            <w:r w:rsidRPr="00554530">
              <w:rPr>
                <w:szCs w:val="18"/>
              </w:rPr>
              <w:t>2007</w:t>
            </w:r>
          </w:p>
        </w:tc>
        <w:tc>
          <w:tcPr>
            <w:tcW w:w="964" w:type="dxa"/>
            <w:shd w:val="clear" w:color="auto" w:fill="auto"/>
          </w:tcPr>
          <w:p w:rsidR="003350BE" w:rsidRPr="00554530" w:rsidRDefault="003350BE" w:rsidP="00BB552C">
            <w:pPr>
              <w:suppressAutoHyphens w:val="0"/>
              <w:spacing w:before="40" w:after="40" w:line="220" w:lineRule="exact"/>
              <w:jc w:val="right"/>
              <w:rPr>
                <w:szCs w:val="18"/>
              </w:rPr>
            </w:pPr>
            <w:r w:rsidRPr="00554530">
              <w:rPr>
                <w:szCs w:val="18"/>
              </w:rPr>
              <w:t>97</w:t>
            </w:r>
          </w:p>
        </w:tc>
      </w:tr>
      <w:tr w:rsidR="003350BE" w:rsidRPr="00554530" w:rsidTr="00BB552C">
        <w:tc>
          <w:tcPr>
            <w:tcW w:w="567" w:type="dxa"/>
            <w:shd w:val="clear" w:color="auto" w:fill="auto"/>
          </w:tcPr>
          <w:p w:rsidR="003350BE" w:rsidRPr="00554530" w:rsidRDefault="003350BE" w:rsidP="00BB552C">
            <w:pPr>
              <w:suppressAutoHyphens w:val="0"/>
              <w:spacing w:before="40" w:after="40" w:line="220" w:lineRule="exact"/>
              <w:rPr>
                <w:szCs w:val="18"/>
              </w:rPr>
            </w:pPr>
            <w:r w:rsidRPr="00554530">
              <w:rPr>
                <w:szCs w:val="18"/>
              </w:rPr>
              <w:t>7</w:t>
            </w:r>
          </w:p>
        </w:tc>
        <w:tc>
          <w:tcPr>
            <w:tcW w:w="4999" w:type="dxa"/>
            <w:shd w:val="clear" w:color="auto" w:fill="auto"/>
          </w:tcPr>
          <w:p w:rsidR="003350BE" w:rsidRPr="00554530" w:rsidRDefault="003350BE" w:rsidP="00BB552C">
            <w:pPr>
              <w:suppressAutoHyphens w:val="0"/>
              <w:spacing w:before="40" w:after="40" w:line="220" w:lineRule="exact"/>
              <w:ind w:right="113"/>
              <w:rPr>
                <w:szCs w:val="18"/>
              </w:rPr>
            </w:pPr>
            <w:r w:rsidRPr="00554530">
              <w:rPr>
                <w:szCs w:val="18"/>
              </w:rPr>
              <w:t xml:space="preserve">Préparation </w:t>
            </w:r>
            <w:r>
              <w:rPr>
                <w:szCs w:val="18"/>
              </w:rPr>
              <w:t xml:space="preserve">initiale </w:t>
            </w:r>
            <w:r w:rsidRPr="00554530">
              <w:rPr>
                <w:szCs w:val="18"/>
              </w:rPr>
              <w:t>pour les inspecteurs de district</w:t>
            </w:r>
          </w:p>
        </w:tc>
        <w:tc>
          <w:tcPr>
            <w:tcW w:w="841" w:type="dxa"/>
            <w:shd w:val="clear" w:color="auto" w:fill="auto"/>
          </w:tcPr>
          <w:p w:rsidR="003350BE" w:rsidRPr="00554530" w:rsidRDefault="003350BE" w:rsidP="00BB552C">
            <w:pPr>
              <w:suppressAutoHyphens w:val="0"/>
              <w:spacing w:before="40" w:after="40" w:line="220" w:lineRule="exact"/>
              <w:ind w:right="113"/>
              <w:rPr>
                <w:szCs w:val="18"/>
              </w:rPr>
            </w:pPr>
            <w:r w:rsidRPr="00554530">
              <w:rPr>
                <w:szCs w:val="18"/>
              </w:rPr>
              <w:t>2006</w:t>
            </w:r>
          </w:p>
        </w:tc>
        <w:tc>
          <w:tcPr>
            <w:tcW w:w="964" w:type="dxa"/>
            <w:shd w:val="clear" w:color="auto" w:fill="auto"/>
          </w:tcPr>
          <w:p w:rsidR="003350BE" w:rsidRPr="00554530" w:rsidRDefault="003350BE" w:rsidP="00BB552C">
            <w:pPr>
              <w:suppressAutoHyphens w:val="0"/>
              <w:spacing w:before="40" w:after="40" w:line="220" w:lineRule="exact"/>
              <w:jc w:val="right"/>
              <w:rPr>
                <w:szCs w:val="18"/>
              </w:rPr>
            </w:pPr>
            <w:r w:rsidRPr="00554530">
              <w:rPr>
                <w:szCs w:val="18"/>
              </w:rPr>
              <w:t>163</w:t>
            </w:r>
          </w:p>
        </w:tc>
      </w:tr>
      <w:tr w:rsidR="003350BE" w:rsidRPr="00554530" w:rsidTr="00BB552C">
        <w:tc>
          <w:tcPr>
            <w:tcW w:w="567" w:type="dxa"/>
            <w:tcBorders>
              <w:bottom w:val="single" w:sz="4" w:space="0" w:color="auto"/>
            </w:tcBorders>
            <w:shd w:val="clear" w:color="auto" w:fill="auto"/>
          </w:tcPr>
          <w:p w:rsidR="003350BE" w:rsidRPr="00554530" w:rsidRDefault="003350BE" w:rsidP="00BB552C">
            <w:pPr>
              <w:suppressAutoHyphens w:val="0"/>
              <w:spacing w:before="40" w:after="40" w:line="220" w:lineRule="exact"/>
              <w:rPr>
                <w:szCs w:val="18"/>
              </w:rPr>
            </w:pPr>
            <w:r w:rsidRPr="00554530">
              <w:rPr>
                <w:szCs w:val="18"/>
              </w:rPr>
              <w:t>8</w:t>
            </w:r>
          </w:p>
        </w:tc>
        <w:tc>
          <w:tcPr>
            <w:tcW w:w="4999" w:type="dxa"/>
            <w:tcBorders>
              <w:bottom w:val="single" w:sz="4" w:space="0" w:color="auto"/>
            </w:tcBorders>
            <w:shd w:val="clear" w:color="auto" w:fill="auto"/>
          </w:tcPr>
          <w:p w:rsidR="003350BE" w:rsidRPr="00554530" w:rsidRDefault="003350BE" w:rsidP="00BB552C">
            <w:pPr>
              <w:suppressAutoHyphens w:val="0"/>
              <w:spacing w:before="40" w:after="40" w:line="220" w:lineRule="exact"/>
              <w:ind w:right="113"/>
              <w:rPr>
                <w:szCs w:val="18"/>
              </w:rPr>
            </w:pPr>
            <w:r w:rsidRPr="00554530">
              <w:rPr>
                <w:szCs w:val="18"/>
              </w:rPr>
              <w:t xml:space="preserve">Préparation </w:t>
            </w:r>
            <w:r>
              <w:rPr>
                <w:szCs w:val="18"/>
              </w:rPr>
              <w:t xml:space="preserve">initiale </w:t>
            </w:r>
            <w:r w:rsidRPr="00554530">
              <w:rPr>
                <w:szCs w:val="18"/>
              </w:rPr>
              <w:t>pour les agents de patrouille</w:t>
            </w:r>
          </w:p>
        </w:tc>
        <w:tc>
          <w:tcPr>
            <w:tcW w:w="841" w:type="dxa"/>
            <w:tcBorders>
              <w:bottom w:val="single" w:sz="4" w:space="0" w:color="auto"/>
            </w:tcBorders>
            <w:shd w:val="clear" w:color="auto" w:fill="auto"/>
          </w:tcPr>
          <w:p w:rsidR="003350BE" w:rsidRPr="00554530" w:rsidRDefault="003350BE" w:rsidP="00BB552C">
            <w:pPr>
              <w:suppressAutoHyphens w:val="0"/>
              <w:spacing w:before="40" w:after="40" w:line="220" w:lineRule="exact"/>
              <w:ind w:right="113"/>
              <w:rPr>
                <w:szCs w:val="18"/>
              </w:rPr>
            </w:pPr>
            <w:r w:rsidRPr="00554530">
              <w:rPr>
                <w:szCs w:val="18"/>
              </w:rPr>
              <w:t>2006</w:t>
            </w:r>
          </w:p>
        </w:tc>
        <w:tc>
          <w:tcPr>
            <w:tcW w:w="964" w:type="dxa"/>
            <w:tcBorders>
              <w:bottom w:val="single" w:sz="4" w:space="0" w:color="auto"/>
            </w:tcBorders>
            <w:shd w:val="clear" w:color="auto" w:fill="auto"/>
          </w:tcPr>
          <w:p w:rsidR="003350BE" w:rsidRPr="00554530" w:rsidRDefault="003350BE" w:rsidP="00BB552C">
            <w:pPr>
              <w:suppressAutoHyphens w:val="0"/>
              <w:spacing w:before="40" w:after="40" w:line="220" w:lineRule="exact"/>
              <w:jc w:val="right"/>
              <w:rPr>
                <w:szCs w:val="18"/>
              </w:rPr>
            </w:pPr>
            <w:r w:rsidRPr="00554530">
              <w:rPr>
                <w:szCs w:val="18"/>
              </w:rPr>
              <w:t>225</w:t>
            </w:r>
          </w:p>
        </w:tc>
      </w:tr>
      <w:tr w:rsidR="003350BE" w:rsidRPr="00562B46" w:rsidTr="00BB552C">
        <w:tc>
          <w:tcPr>
            <w:tcW w:w="5566" w:type="dxa"/>
            <w:gridSpan w:val="2"/>
            <w:tcBorders>
              <w:top w:val="single" w:sz="4" w:space="0" w:color="auto"/>
              <w:bottom w:val="single" w:sz="12" w:space="0" w:color="auto"/>
            </w:tcBorders>
            <w:shd w:val="clear" w:color="auto" w:fill="auto"/>
          </w:tcPr>
          <w:p w:rsidR="003350BE" w:rsidRPr="000C58DF" w:rsidRDefault="003350BE" w:rsidP="00300741">
            <w:pPr>
              <w:tabs>
                <w:tab w:val="left" w:pos="284"/>
              </w:tabs>
              <w:suppressAutoHyphens w:val="0"/>
              <w:spacing w:before="80" w:after="80" w:line="220" w:lineRule="exact"/>
              <w:ind w:left="284"/>
              <w:rPr>
                <w:b/>
                <w:sz w:val="18"/>
                <w:lang w:val="en-GB"/>
              </w:rPr>
            </w:pPr>
            <w:r w:rsidRPr="000C58DF">
              <w:rPr>
                <w:b/>
                <w:sz w:val="18"/>
                <w:lang w:val="en-GB"/>
              </w:rPr>
              <w:t>Total</w:t>
            </w:r>
          </w:p>
        </w:tc>
        <w:tc>
          <w:tcPr>
            <w:tcW w:w="841" w:type="dxa"/>
            <w:tcBorders>
              <w:top w:val="single" w:sz="4" w:space="0" w:color="auto"/>
              <w:bottom w:val="single" w:sz="12" w:space="0" w:color="auto"/>
            </w:tcBorders>
            <w:shd w:val="clear" w:color="auto" w:fill="auto"/>
          </w:tcPr>
          <w:p w:rsidR="003350BE" w:rsidRPr="00562B46" w:rsidRDefault="003350BE" w:rsidP="00BB552C">
            <w:pPr>
              <w:suppressAutoHyphens w:val="0"/>
              <w:spacing w:before="80" w:after="80" w:line="220" w:lineRule="exact"/>
              <w:ind w:right="113"/>
              <w:rPr>
                <w:b/>
                <w:szCs w:val="18"/>
              </w:rPr>
            </w:pPr>
          </w:p>
        </w:tc>
        <w:tc>
          <w:tcPr>
            <w:tcW w:w="964" w:type="dxa"/>
            <w:tcBorders>
              <w:top w:val="single" w:sz="4" w:space="0" w:color="auto"/>
              <w:bottom w:val="single" w:sz="12" w:space="0" w:color="auto"/>
            </w:tcBorders>
            <w:shd w:val="clear" w:color="auto" w:fill="auto"/>
          </w:tcPr>
          <w:p w:rsidR="003350BE" w:rsidRPr="00562B46" w:rsidRDefault="003350BE" w:rsidP="00BB552C">
            <w:pPr>
              <w:suppressAutoHyphens w:val="0"/>
              <w:spacing w:before="80" w:after="80" w:line="220" w:lineRule="exact"/>
              <w:jc w:val="right"/>
              <w:rPr>
                <w:b/>
                <w:szCs w:val="18"/>
              </w:rPr>
            </w:pPr>
            <w:r w:rsidRPr="00562B46">
              <w:rPr>
                <w:b/>
                <w:szCs w:val="18"/>
              </w:rPr>
              <w:t>2</w:t>
            </w:r>
            <w:r>
              <w:rPr>
                <w:b/>
                <w:szCs w:val="18"/>
              </w:rPr>
              <w:t xml:space="preserve"> </w:t>
            </w:r>
            <w:r w:rsidRPr="00562B46">
              <w:rPr>
                <w:b/>
                <w:szCs w:val="18"/>
              </w:rPr>
              <w:t>743</w:t>
            </w:r>
          </w:p>
        </w:tc>
      </w:tr>
    </w:tbl>
    <w:p w:rsidR="003350BE" w:rsidRDefault="003350BE" w:rsidP="003350BE">
      <w:pPr>
        <w:pStyle w:val="SingleTxtG"/>
        <w:spacing w:before="240"/>
      </w:pPr>
      <w:r>
        <w:t>66.</w:t>
      </w:r>
      <w:r>
        <w:tab/>
        <w:t>Le Centre de formation du Ministère de la justice organise des stages de formation avancée à l’intention des procureurs. Le programme de ces formations couvre un large éventail de thèmes et comprend une formation aux droits de l’homme, droits des minorités compris. Du 25 au 27 avril 2009 ont été organisés des séminaires consacrés à l’interdiction de la discrimination fondée sur différents motifs, notamment l’interdiction de la discrimination raciale et ethnique et l’interdiction de la discrimination religieuse. Au total, 75 procureurs et agents d’instruction ont pris part au séminaire conduit par des experts du Conseil de l’Europe.</w:t>
      </w:r>
    </w:p>
    <w:p w:rsidR="003350BE" w:rsidRDefault="003350BE" w:rsidP="003350BE">
      <w:pPr>
        <w:pStyle w:val="H23G"/>
      </w:pPr>
      <w:r>
        <w:tab/>
      </w:r>
      <w:r>
        <w:tab/>
        <w:t>Code de déontologie</w:t>
      </w:r>
    </w:p>
    <w:p w:rsidR="003350BE" w:rsidRDefault="003350BE" w:rsidP="003350BE">
      <w:pPr>
        <w:pStyle w:val="SingleTxtG"/>
      </w:pPr>
      <w:r>
        <w:t>67.</w:t>
      </w:r>
      <w:r>
        <w:tab/>
        <w:t>Des codes de déontologie ont été adoptés au Bureau du Procureur général et au Ministère de l’intérieur, qui définissent des normes de bonne conduite d’intérêt public. L’objet de ces codes est d’établir des normes de conduite plus exigeantes pour soutenir le processus de responsabilisation accrue des fonctionnaires et l’établissement du principe d’équité, de garantir que les professionnels assument leurs fonctions dans les meilleures conditions de justice, d’efficacité, d’impartialité et de professionnalisme, d’améliorer l’administration inconditionnelle et efficace de la justice, de garantir le strict respect de la loi par les fonctionnaires, et de protéger les droits de l’homme conformément aux normes universellement reconnues. Les codes de déontologie font une place particulière à l’interdiction de la discrimination. Des dispositions spécifiques prévoient ainsi que les fonctionnaires doivent faciliter toute mesure propre à éliminer toutes les formes de discrimination.</w:t>
      </w:r>
    </w:p>
    <w:p w:rsidR="003350BE" w:rsidRDefault="003350BE" w:rsidP="003350BE">
      <w:pPr>
        <w:pStyle w:val="HChG"/>
      </w:pPr>
      <w:r>
        <w:tab/>
        <w:t>III.</w:t>
      </w:r>
      <w:r>
        <w:tab/>
        <w:t>Renseignements concernant l’application de la Convention</w:t>
      </w:r>
    </w:p>
    <w:p w:rsidR="003350BE" w:rsidRDefault="003350BE" w:rsidP="003350BE">
      <w:pPr>
        <w:pStyle w:val="H1G"/>
      </w:pPr>
      <w:r>
        <w:tab/>
        <w:t>A.</w:t>
      </w:r>
      <w:r>
        <w:tab/>
        <w:t>Article 2</w:t>
      </w:r>
    </w:p>
    <w:p w:rsidR="003350BE" w:rsidRPr="00B00019" w:rsidRDefault="003350BE" w:rsidP="003350BE">
      <w:pPr>
        <w:pStyle w:val="SingleTxtG"/>
      </w:pPr>
      <w:r>
        <w:t>68.</w:t>
      </w:r>
      <w:r>
        <w:tab/>
        <w:t xml:space="preserve">Aucune disposition de la législation nationale ni aucun règlement d’institution ne cautionne la discrimination raciale en Géorgie car ce serait contraire au principe fondamental de respect des droits de l’homme et à l’article 14 de la Constitution géorgienne ainsi qu’à tous les autres textes applicables en la matière. La section précédente a dressé un aperçu des différentes mesures positives prises par la Géorgie pour lutter contre la discrimination, notamment mais pas seulement le Concept national et Plan d’action pour la tolérance et l’intégration civile. On signalera en outre ici que ni la Géorgie en tant qu’État ni son </w:t>
      </w:r>
      <w:r w:rsidR="0031515A">
        <w:t xml:space="preserve">Gouvernement </w:t>
      </w:r>
      <w:r>
        <w:t>n’ont jamais appuyé ni inspiré une quelconque mesure constitutive de discrimination raciale. La Géorgie a réaffirmé dans plusieurs circonstances sa position sans équivoque à l’égard des actes de discrimination raciale, de xénophobie et de l’intolérance qui y est associée</w:t>
      </w:r>
      <w:r>
        <w:rPr>
          <w:rStyle w:val="FootnoteReference"/>
        </w:rPr>
        <w:footnoteReference w:id="29"/>
      </w:r>
      <w:r>
        <w:t>.</w:t>
      </w:r>
    </w:p>
    <w:p w:rsidR="003350BE" w:rsidRDefault="003350BE" w:rsidP="003350BE">
      <w:pPr>
        <w:pStyle w:val="H1G"/>
      </w:pPr>
      <w:r>
        <w:tab/>
        <w:t>B.</w:t>
      </w:r>
      <w:r>
        <w:tab/>
        <w:t>Article 3</w:t>
      </w:r>
    </w:p>
    <w:p w:rsidR="003350BE" w:rsidRDefault="003350BE" w:rsidP="003350BE">
      <w:pPr>
        <w:pStyle w:val="SingleTxtG"/>
      </w:pPr>
      <w:r>
        <w:t>69.</w:t>
      </w:r>
      <w:r>
        <w:tab/>
        <w:t>La Géorgie indique que ni la ségrégation raciale ni l’apartheid n’ont jamais été pratiqués sur son territoire. Il n’y existe pas de communauté fondée sur l’ascendance. De plus, la Géorgie a adhéré, en date du 11 mars 2005, à la Convention internationale sur l’élimination et la répression du crime d’apartheid. En vertu de l’article IV dudit instrument, les États parties s’engagent à prendre toutes les mesures, législatives ou autres, nécessaires pour empêcher que le crime d’apartheid et autres politiques ségrégationnistes semblables ou leurs manifestations ne soient encouragés de quelque manière que ce soit ainsi que pour éliminer tout encouragement de cette nature et pour punir les personnes coupables de ce crime. C’est pourquoi de nouvelles définitions des crimes contre l’humanité ont été introduites dans le Code pénal</w:t>
      </w:r>
      <w:r>
        <w:rPr>
          <w:rStyle w:val="FootnoteReference"/>
        </w:rPr>
        <w:footnoteReference w:id="30"/>
      </w:r>
      <w:r>
        <w:t>. Il importe notamment de souligner que l’article 411 (violation des normes du droit international humanitaire)</w:t>
      </w:r>
      <w:r>
        <w:rPr>
          <w:rStyle w:val="FootnoteReference"/>
        </w:rPr>
        <w:footnoteReference w:id="31"/>
      </w:r>
      <w:r>
        <w:t xml:space="preserve"> du Code pénal prévoit désormais aussi le crime d’apartheid.</w:t>
      </w:r>
    </w:p>
    <w:p w:rsidR="003350BE" w:rsidRDefault="003350BE" w:rsidP="003350BE">
      <w:pPr>
        <w:pStyle w:val="H1G"/>
      </w:pPr>
      <w:r>
        <w:tab/>
        <w:t>C.</w:t>
      </w:r>
      <w:r>
        <w:tab/>
        <w:t>Article 4</w:t>
      </w:r>
    </w:p>
    <w:p w:rsidR="003350BE" w:rsidRDefault="003350BE" w:rsidP="003350BE">
      <w:pPr>
        <w:pStyle w:val="SingleTxtG"/>
      </w:pPr>
      <w:r>
        <w:t>70.</w:t>
      </w:r>
      <w:r>
        <w:tab/>
        <w:t>On se reportera aux paragraphes 15 à 17 ci-dessus pour la liste des infractions pour lesquelles la discrimination raciale est une circonstance aggravante.</w:t>
      </w:r>
    </w:p>
    <w:p w:rsidR="003350BE" w:rsidRDefault="003350BE" w:rsidP="003350BE">
      <w:pPr>
        <w:pStyle w:val="SingleTxtG"/>
      </w:pPr>
      <w:r>
        <w:t>71.</w:t>
      </w:r>
      <w:r>
        <w:tab/>
        <w:t>Le 1</w:t>
      </w:r>
      <w:r w:rsidRPr="00BF191A">
        <w:rPr>
          <w:vertAlign w:val="superscript"/>
        </w:rPr>
        <w:t>er</w:t>
      </w:r>
      <w:r>
        <w:t xml:space="preserve"> avril 2008, la Géorgie a signé la Convention du Conseil de l’Europe sur la cybercriminalité. Cet instrument apporte des garanties supplémentaires tout en incriminant les actes de nature raciste ou xénophobe commis par le biais de systèmes informatiques. Les autorités de l’État travaillent actuellement au cadre juridique national pertinent pour la mise en application de cette Convention.</w:t>
      </w:r>
    </w:p>
    <w:p w:rsidR="003350BE" w:rsidRDefault="003350BE" w:rsidP="003350BE">
      <w:pPr>
        <w:pStyle w:val="H1G"/>
      </w:pPr>
      <w:r>
        <w:tab/>
        <w:t>D.</w:t>
      </w:r>
      <w:r>
        <w:tab/>
        <w:t>Article 5</w:t>
      </w:r>
    </w:p>
    <w:p w:rsidR="003350BE" w:rsidRDefault="003350BE" w:rsidP="003350BE">
      <w:pPr>
        <w:pStyle w:val="SingleTxtG"/>
      </w:pPr>
      <w:r>
        <w:t>72.</w:t>
      </w:r>
      <w:r>
        <w:tab/>
        <w:t xml:space="preserve">Les dispositions </w:t>
      </w:r>
      <w:r w:rsidRPr="000C58DF">
        <w:rPr>
          <w:b/>
        </w:rPr>
        <w:t xml:space="preserve">antidiscriminatoires </w:t>
      </w:r>
      <w:r>
        <w:t>existantes dans la législation géorgienne sont notamment les suivantes:</w:t>
      </w:r>
    </w:p>
    <w:p w:rsidR="003350BE" w:rsidRDefault="003350BE" w:rsidP="003350BE">
      <w:pPr>
        <w:pStyle w:val="SingleTxtG"/>
        <w:ind w:firstLine="567"/>
      </w:pPr>
      <w:r>
        <w:t>a)</w:t>
      </w:r>
      <w:r>
        <w:tab/>
        <w:t>Loi sur les associations politiques de citoyens, article 3: «La création et le fonctionnement des associations de caractère politique sont fondés sur le principe de l’égalité des associations politiques devant la loi»;</w:t>
      </w:r>
    </w:p>
    <w:p w:rsidR="003350BE" w:rsidRDefault="003350BE" w:rsidP="003350BE">
      <w:pPr>
        <w:pStyle w:val="SingleTxtG"/>
        <w:ind w:firstLine="567"/>
      </w:pPr>
      <w:r>
        <w:t>b)</w:t>
      </w:r>
      <w:r>
        <w:tab/>
        <w:t>Code administratif général, article 4 1): «Tous les individus sont égaux devant la loi et l’administration»;</w:t>
      </w:r>
    </w:p>
    <w:p w:rsidR="003350BE" w:rsidRDefault="003350BE" w:rsidP="003350BE">
      <w:pPr>
        <w:pStyle w:val="SingleTxtG"/>
        <w:ind w:firstLine="567"/>
      </w:pPr>
      <w:r>
        <w:t>c)</w:t>
      </w:r>
      <w:r>
        <w:tab/>
        <w:t>Code civil géorgien, article premier: «Les relations privées, familiales et patrimoniales sont fondées sur le principe de l’égalité des individus»;</w:t>
      </w:r>
    </w:p>
    <w:p w:rsidR="003350BE" w:rsidRDefault="003350BE" w:rsidP="003350BE">
      <w:pPr>
        <w:pStyle w:val="SingleTxtG"/>
        <w:ind w:firstLine="567"/>
      </w:pPr>
      <w:r>
        <w:t>d)</w:t>
      </w:r>
      <w:r>
        <w:tab/>
        <w:t>Code du travail, article 2 3): «Toute discrimination quelle qu’elle soit, fondée sur la race, la couleur de peau, la langue, l’appartenance ethnique ou sociale, la nationalité, l’origine, la fortune et la situation, le lieu de résidence, l’âge, le sexe, l’orientation sexuelle, le handicap, l’appartenance à un groupe religieux ou autre, la situation de famille, l’opinion politique ou autre, est interdite dans les relations du travail»;</w:t>
      </w:r>
    </w:p>
    <w:p w:rsidR="003350BE" w:rsidRPr="00BF191A" w:rsidRDefault="003350BE" w:rsidP="003350BE">
      <w:pPr>
        <w:pStyle w:val="SingleTxtG"/>
        <w:ind w:firstLine="567"/>
      </w:pPr>
      <w:r>
        <w:t>e)</w:t>
      </w:r>
      <w:r>
        <w:tab/>
        <w:t>Loi sur la radiodiffusion et la télévision, article 16: «Les médias audiovisuels de service public diffuseront une proportion suffisante de programmes élaborés par des groupes minoritaires, dans la langue de ceux-ci. De plus, les diffuseurs publics feront en sorte que la diversité ethnique, culturelle, linguistique, religieuse, ainsi que celle des âges et des sexes se retrouve dans leurs programmes». Cette même loi oblige les titulaires communautaires d’une licence de radio ou télédiffusion à s’assurer de la participation de membres de la communauté qu’ils servent et à veiller à ce que les opinions des minorités soient diffusées. Aux termes de l’article 331 de la loi, «au moins 25 % du budget alloué aux médias audiovisuels publics devront être consacrés à des programmes télévisés dans les langues des minorités ethniques»;</w:t>
      </w:r>
    </w:p>
    <w:p w:rsidR="003350BE" w:rsidRDefault="003350BE" w:rsidP="003350BE">
      <w:pPr>
        <w:pStyle w:val="SingleTxtG"/>
        <w:ind w:firstLine="567"/>
      </w:pPr>
      <w:r>
        <w:t>f)</w:t>
      </w:r>
      <w:r>
        <w:tab/>
        <w:t>Loi sur l’enseignement général, article 13 2) et 3): «Toute forme de discrimination est interdite lors de l’entrée à l’école» et «aucun détournement de l’apprentissage dans un établissement d’enseignement public aux fins de l’endoctrinement religieux, du prosélytisme ou de l’assimilation forcée ne sera toléré»;</w:t>
      </w:r>
    </w:p>
    <w:p w:rsidR="003350BE" w:rsidRDefault="003350BE" w:rsidP="003350BE">
      <w:pPr>
        <w:pStyle w:val="SingleTxtG"/>
        <w:ind w:firstLine="567"/>
      </w:pPr>
      <w:r>
        <w:t>g)</w:t>
      </w:r>
      <w:r>
        <w:tab/>
        <w:t>Loi sur l’enseignement supérieur, article 3 1): «Interdiction de toute forme de discrimination, y compris fondée sur l’établissement d’enseignement ou l’appartenance religieuse ou ethnique»;</w:t>
      </w:r>
    </w:p>
    <w:p w:rsidR="003350BE" w:rsidRDefault="003350BE" w:rsidP="003350BE">
      <w:pPr>
        <w:pStyle w:val="SingleTxtG"/>
        <w:ind w:firstLine="567"/>
      </w:pPr>
      <w:r>
        <w:t>h)</w:t>
      </w:r>
      <w:r>
        <w:tab/>
        <w:t>Loi sur les droits des patients, article 6 1): «Est interdite toute discrimination de quelque forme que ce soit fondée sur la race, la couleur de peau, la langue, l’appartenance ethnique ou sociale, le patrimoine génétique, la nationalité, l’origine, la fortune et la situation, le lieu de résidence, l’âge, le sexe, l’orientation sexuelle, le handicap, l’appartenance à un groupe religieux ou autre, la situation matrimoniale, l’opinion politique ou autre»;</w:t>
      </w:r>
    </w:p>
    <w:p w:rsidR="003350BE" w:rsidRDefault="003350BE" w:rsidP="003350BE">
      <w:pPr>
        <w:pStyle w:val="SingleTxtG"/>
        <w:ind w:firstLine="567"/>
        <w:rPr>
          <w:lang w:val="fr-FR"/>
        </w:rPr>
      </w:pPr>
      <w:r w:rsidRPr="001A1E0D">
        <w:rPr>
          <w:lang w:val="fr-FR"/>
        </w:rPr>
        <w:t>i)</w:t>
      </w:r>
      <w:r w:rsidRPr="001A1E0D">
        <w:rPr>
          <w:lang w:val="fr-FR"/>
        </w:rPr>
        <w:tab/>
        <w:t>Loi sur la protection de la santé, article 6</w:t>
      </w:r>
      <w:r>
        <w:rPr>
          <w:lang w:val="fr-FR"/>
        </w:rPr>
        <w:t>:</w:t>
      </w:r>
      <w:r w:rsidRPr="001A1E0D">
        <w:rPr>
          <w:lang w:val="fr-FR"/>
        </w:rPr>
        <w:t xml:space="preserve"> «</w:t>
      </w:r>
      <w:r>
        <w:rPr>
          <w:lang w:val="fr-FR"/>
        </w:rPr>
        <w:t>E</w:t>
      </w:r>
      <w:r>
        <w:t>st interdite toute discrimination de quelque forme que ce soit fondée sur la race, la couleur de peau, la langue, l’appartenance ethnique ou sociale, le patrimoine génétique, la nationalité, l’origine, la fortune et la situation, le lieu de résidence, l’âge, le sexe, l’orientation sexuelle, le handicap, l’appartenance à un groupe religieux ou autre, la situation matrimoniale, l’opinion politique ou autre</w:t>
      </w:r>
      <w:r w:rsidRPr="001A1E0D">
        <w:rPr>
          <w:lang w:val="fr-FR"/>
        </w:rPr>
        <w:t>»</w:t>
      </w:r>
      <w:r>
        <w:rPr>
          <w:lang w:val="fr-FR"/>
        </w:rPr>
        <w:t>;</w:t>
      </w:r>
    </w:p>
    <w:p w:rsidR="003350BE" w:rsidRDefault="003350BE" w:rsidP="003350BE">
      <w:pPr>
        <w:pStyle w:val="SingleTxtG"/>
        <w:ind w:firstLine="567"/>
        <w:rPr>
          <w:lang w:val="fr-FR"/>
        </w:rPr>
      </w:pPr>
      <w:r>
        <w:rPr>
          <w:lang w:val="fr-FR"/>
        </w:rPr>
        <w:t>j)</w:t>
      </w:r>
      <w:r>
        <w:rPr>
          <w:lang w:val="fr-FR"/>
        </w:rPr>
        <w:tab/>
        <w:t>Loi sur la culture, article 6: «Les citoyens géorgiens sont égaux dans la vie culturelle, sans distinction d’appartenance nationale, ethnique, religieuse ou linguistique»;</w:t>
      </w:r>
    </w:p>
    <w:p w:rsidR="003350BE" w:rsidRDefault="003350BE" w:rsidP="003350BE">
      <w:pPr>
        <w:pStyle w:val="SingleTxtG"/>
        <w:ind w:firstLine="567"/>
        <w:rPr>
          <w:lang w:val="fr-FR"/>
        </w:rPr>
      </w:pPr>
      <w:r>
        <w:rPr>
          <w:lang w:val="fr-FR"/>
        </w:rPr>
        <w:t>k)</w:t>
      </w:r>
      <w:r>
        <w:rPr>
          <w:lang w:val="fr-FR"/>
        </w:rPr>
        <w:tab/>
        <w:t>Loi sur l’exécution des peines non privatives de liberté et la probation, article 6 2): «Les employés de l’Agence nationale de probation sont tenus de protéger les droits de l’homme et les libertés sans distinction de nationalité, de patrimoine, de race, d’appartenance sociale ou ethnique, de sexe, d’âge, de niveau d’instruction, de langue ou de religion, d’opinion politique ou autre»;</w:t>
      </w:r>
    </w:p>
    <w:p w:rsidR="003350BE" w:rsidRDefault="003350BE" w:rsidP="003350BE">
      <w:pPr>
        <w:pStyle w:val="SingleTxtG"/>
        <w:ind w:firstLine="567"/>
        <w:rPr>
          <w:lang w:val="fr-FR"/>
        </w:rPr>
      </w:pPr>
      <w:r>
        <w:rPr>
          <w:lang w:val="fr-FR"/>
        </w:rPr>
        <w:t>l)</w:t>
      </w:r>
      <w:r>
        <w:rPr>
          <w:lang w:val="fr-FR"/>
        </w:rPr>
        <w:tab/>
        <w:t>Loi sur la lutte contre le trafic, article 5 2): «L’action de l’État dans le domaine de la prévention des trafics prend notamment la forme de programmes à court et long terme visant à réduire la pauvreté et à éliminer toutes les formes de discrimination»;</w:t>
      </w:r>
    </w:p>
    <w:p w:rsidR="003350BE" w:rsidRDefault="003350BE" w:rsidP="003350BE">
      <w:pPr>
        <w:pStyle w:val="SingleTxtG"/>
        <w:ind w:firstLine="567"/>
        <w:rPr>
          <w:lang w:val="fr-FR"/>
        </w:rPr>
      </w:pPr>
      <w:r>
        <w:rPr>
          <w:lang w:val="fr-FR"/>
        </w:rPr>
        <w:t>m)</w:t>
      </w:r>
      <w:r>
        <w:rPr>
          <w:lang w:val="fr-FR"/>
        </w:rPr>
        <w:tab/>
        <w:t>Loi sur les communications électroniques, article 32: établit des mesures non discriminatoires pour la conduite d’activités dans le domaine des moyens de communication électroniques;</w:t>
      </w:r>
    </w:p>
    <w:p w:rsidR="003350BE" w:rsidRDefault="003350BE" w:rsidP="003350BE">
      <w:pPr>
        <w:pStyle w:val="SingleTxtG"/>
        <w:ind w:firstLine="567"/>
        <w:rPr>
          <w:lang w:val="fr-FR"/>
        </w:rPr>
      </w:pPr>
      <w:r>
        <w:rPr>
          <w:lang w:val="fr-FR"/>
        </w:rPr>
        <w:t>n)</w:t>
      </w:r>
      <w:r>
        <w:rPr>
          <w:lang w:val="fr-FR"/>
        </w:rPr>
        <w:tab/>
        <w:t>Loi sur le libre-échange et la concurrence, article 3: l’objet de la loi est d’«éliminer les obstacles discriminatoires pour les entités publiques et privées»;</w:t>
      </w:r>
    </w:p>
    <w:p w:rsidR="003350BE" w:rsidRDefault="003350BE" w:rsidP="003350BE">
      <w:pPr>
        <w:pStyle w:val="SingleTxtG"/>
        <w:ind w:firstLine="567"/>
        <w:rPr>
          <w:lang w:val="fr-FR"/>
        </w:rPr>
      </w:pPr>
      <w:r>
        <w:rPr>
          <w:lang w:val="fr-FR"/>
        </w:rPr>
        <w:t>o)</w:t>
      </w:r>
      <w:r>
        <w:rPr>
          <w:lang w:val="fr-FR"/>
        </w:rPr>
        <w:tab/>
        <w:t>Loi sur les avocats, article 3: établit l’égalité des avocats et interdit toutes les formes de discrimination à leur égard;</w:t>
      </w:r>
    </w:p>
    <w:p w:rsidR="003350BE" w:rsidRDefault="003350BE" w:rsidP="003350BE">
      <w:pPr>
        <w:pStyle w:val="SingleTxtG"/>
        <w:ind w:firstLine="567"/>
        <w:rPr>
          <w:lang w:val="fr-FR"/>
        </w:rPr>
      </w:pPr>
      <w:r>
        <w:rPr>
          <w:lang w:val="fr-FR"/>
        </w:rPr>
        <w:t>p)</w:t>
      </w:r>
      <w:r>
        <w:rPr>
          <w:lang w:val="fr-FR"/>
        </w:rPr>
        <w:tab/>
        <w:t>Loi sur le droit international privé, article 38: «Le texte de loi applicable choisi est nul s’il contrevient aux normes impératives relatives à la protection des employés contre la discrimination»;</w:t>
      </w:r>
    </w:p>
    <w:p w:rsidR="003350BE" w:rsidRDefault="003350BE" w:rsidP="003350BE">
      <w:pPr>
        <w:pStyle w:val="SingleTxtG"/>
        <w:ind w:firstLine="567"/>
        <w:rPr>
          <w:lang w:val="fr-FR"/>
        </w:rPr>
      </w:pPr>
      <w:r>
        <w:rPr>
          <w:lang w:val="fr-FR"/>
        </w:rPr>
        <w:t>q)</w:t>
      </w:r>
      <w:r>
        <w:rPr>
          <w:lang w:val="fr-FR"/>
        </w:rPr>
        <w:tab/>
        <w:t>Loi sur la protection sociale des personnes handicapées, article 1 2): «La discrimination à l’égard des personnes handicapées est interdite et constitue une infraction»</w:t>
      </w:r>
      <w:r>
        <w:rPr>
          <w:rStyle w:val="FootnoteReference"/>
        </w:rPr>
        <w:footnoteReference w:id="32"/>
      </w:r>
      <w:r>
        <w:rPr>
          <w:lang w:val="fr-FR"/>
        </w:rPr>
        <w:t>;</w:t>
      </w:r>
    </w:p>
    <w:p w:rsidR="003350BE" w:rsidRPr="001A1E0D" w:rsidRDefault="003350BE" w:rsidP="003350BE">
      <w:pPr>
        <w:pStyle w:val="SingleTxtG"/>
        <w:ind w:firstLine="567"/>
        <w:rPr>
          <w:lang w:val="fr-FR"/>
        </w:rPr>
      </w:pPr>
      <w:r>
        <w:rPr>
          <w:lang w:val="fr-FR"/>
        </w:rPr>
        <w:t>r)</w:t>
      </w:r>
      <w:r>
        <w:rPr>
          <w:lang w:val="fr-FR"/>
        </w:rPr>
        <w:tab/>
        <w:t>Loi sur la police, article 4 2): «La police protège les droits de l’homme et les libertés, indépendamment de toute considération de nationalité, de fortune, de race, d’appartenance sociale ou ethnique, de sexe, d’âge, d’instruction, de langue ou de religion, d’opinions politiques ou autres»;</w:t>
      </w:r>
    </w:p>
    <w:p w:rsidR="003350BE" w:rsidRDefault="003350BE" w:rsidP="003350BE">
      <w:pPr>
        <w:pStyle w:val="SingleTxtG"/>
        <w:ind w:firstLine="567"/>
      </w:pPr>
      <w:r>
        <w:t>s)</w:t>
      </w:r>
      <w:r>
        <w:tab/>
        <w:t>Loi sur l’enseignement professionnel, article 7: «Chacun a le droit de suivre un enseignement professionnel en vue d’acquérir les connaissances et les compétences essentielles pour exercer une activité professionnelle».</w:t>
      </w:r>
    </w:p>
    <w:p w:rsidR="003350BE" w:rsidRDefault="003350BE" w:rsidP="003350BE">
      <w:pPr>
        <w:pStyle w:val="H23G"/>
      </w:pPr>
      <w:r>
        <w:tab/>
      </w:r>
      <w:r>
        <w:tab/>
        <w:t>Apatrides</w:t>
      </w:r>
    </w:p>
    <w:p w:rsidR="003350BE" w:rsidRDefault="003350BE" w:rsidP="003350BE">
      <w:pPr>
        <w:pStyle w:val="SingleTxtG"/>
      </w:pPr>
      <w:r>
        <w:t>73.</w:t>
      </w:r>
      <w:r>
        <w:tab/>
        <w:t>Conformément à la loi relative à l’assistance sociale, qui s’applique aux apatrides ayant leur résidence permanente en Géorgie, le Gouvernement géorgien a mis au point en 2006 le Programme sur l’assistance sociale, adopté par décret. Ce programme accorde des aides sociales sans distinction de race, de sexe ou d’appartenance nationale ou ethnique.</w:t>
      </w:r>
    </w:p>
    <w:p w:rsidR="003350BE" w:rsidRDefault="003350BE" w:rsidP="003350BE">
      <w:pPr>
        <w:pStyle w:val="H23G"/>
      </w:pPr>
      <w:r>
        <w:tab/>
      </w:r>
      <w:r>
        <w:tab/>
        <w:t>Politique migratoire</w:t>
      </w:r>
    </w:p>
    <w:p w:rsidR="003350BE" w:rsidRDefault="003350BE" w:rsidP="003350BE">
      <w:pPr>
        <w:pStyle w:val="SingleTxtG"/>
      </w:pPr>
      <w:r>
        <w:t>74.</w:t>
      </w:r>
      <w:r>
        <w:tab/>
        <w:t>En collaboration avec des organisations internationales (Organisation internationale pour les migrations, Centre de recherches pour le développement, Centre international pour le développement des politiques migratoires) ainsi qu’avec des organisations locales, le Ministère des réfugiés et de l’hébergement a récemment commencé des travaux sur la politique de gestion des migrations. En 2007, le Ministère des réfugiés et de l’hébergement et le Centre de recherches pour le développement ont signé un mémorandum d’accord par lequel ils sont convenus de gérer conjointement le projet européen AENEAS, qui vise «à établir des mécanismes durables pour la réinsertion (des rapatriés) en Géorgie».</w:t>
      </w:r>
    </w:p>
    <w:p w:rsidR="003350BE" w:rsidRDefault="003350BE" w:rsidP="003350BE">
      <w:pPr>
        <w:pStyle w:val="SingleTxtG"/>
      </w:pPr>
      <w:r>
        <w:t>75.</w:t>
      </w:r>
      <w:r>
        <w:tab/>
        <w:t>Les consultations entre le Ministère des réfugiés et de l’hébergement et l’Organisation internationale pour les migrations (OIM) sont achevées et les centres d’information et de consultation mis sur pied par l’OIM ont été rattachés au Ministère. À l’heure actuelle, des centres de consultation sont opérationnels à Tbilissi, Kutaisi, Gori et Zugdidi. Ceux-ci ont pour objectifs de mieux faire connaître les questions migratoires à la population et de favoriser l’intégration des migrants de retour dans leur pays d’origine, mais aussi de consulter les migrants potentiels sur leur pays de destination avant leur départ, afin de leur éviter de devenir victimes de trafic.</w:t>
      </w:r>
    </w:p>
    <w:p w:rsidR="005E35F4" w:rsidRPr="00EC0EF6" w:rsidRDefault="005E35F4" w:rsidP="005E35F4">
      <w:pPr>
        <w:pStyle w:val="SingleTxtG"/>
      </w:pPr>
      <w:r w:rsidRPr="00EC0EF6">
        <w:t>76.</w:t>
      </w:r>
      <w:r w:rsidRPr="00EC0EF6">
        <w:tab/>
        <w:t>La nouvelle initiative de l</w:t>
      </w:r>
      <w:r>
        <w:t>’</w:t>
      </w:r>
      <w:r w:rsidRPr="00EC0EF6">
        <w:t xml:space="preserve">Union européenne dite «Partenariat pour la mobilité» </w:t>
      </w:r>
      <w:r>
        <w:t>devrait contribuer grandement à favoriser les</w:t>
      </w:r>
      <w:r w:rsidRPr="00EC0EF6">
        <w:t xml:space="preserve"> migrations légales et </w:t>
      </w:r>
      <w:r>
        <w:t>à prévenir l</w:t>
      </w:r>
      <w:r w:rsidRPr="00EC0EF6">
        <w:t xml:space="preserve">es migrations clandestines. Ce </w:t>
      </w:r>
      <w:r>
        <w:t>P</w:t>
      </w:r>
      <w:r w:rsidRPr="00EC0EF6">
        <w:t>artenariat vise</w:t>
      </w:r>
      <w:r>
        <w:t xml:space="preserve"> à instaurer</w:t>
      </w:r>
      <w:r w:rsidRPr="00EC0EF6">
        <w:t xml:space="preserve"> une coopération large, structurée et </w:t>
      </w:r>
      <w:r>
        <w:t>plus forte</w:t>
      </w:r>
      <w:r w:rsidRPr="00EC0EF6">
        <w:t xml:space="preserve"> entre l</w:t>
      </w:r>
      <w:r>
        <w:t>’</w:t>
      </w:r>
      <w:r w:rsidRPr="00EC0EF6">
        <w:t xml:space="preserve">Union européenne et la Géorgie dans le domaine des migrations. </w:t>
      </w:r>
      <w:r>
        <w:t>Il</w:t>
      </w:r>
      <w:r w:rsidRPr="00EC0EF6">
        <w:t xml:space="preserve"> fait appel à un grand nombre de projets de coopération visant à renforcer la capacité de la Géorgie dans le domaine des migrations, </w:t>
      </w:r>
      <w:r>
        <w:t>en collaboration</w:t>
      </w:r>
      <w:r w:rsidRPr="00EC0EF6">
        <w:t xml:space="preserve"> avec les États membres de l</w:t>
      </w:r>
      <w:r>
        <w:t>’</w:t>
      </w:r>
      <w:r w:rsidRPr="00EC0EF6">
        <w:t>Union européenne.</w:t>
      </w:r>
    </w:p>
    <w:p w:rsidR="005E35F4" w:rsidRPr="00EC0EF6" w:rsidRDefault="005E35F4" w:rsidP="005E35F4">
      <w:pPr>
        <w:pStyle w:val="H23G"/>
      </w:pPr>
      <w:r>
        <w:tab/>
      </w:r>
      <w:r>
        <w:tab/>
      </w:r>
      <w:r w:rsidRPr="00EC0EF6">
        <w:t>Naturalisation</w:t>
      </w:r>
    </w:p>
    <w:p w:rsidR="005E35F4" w:rsidRPr="00EC0EF6" w:rsidRDefault="005E35F4" w:rsidP="005E35F4">
      <w:pPr>
        <w:pStyle w:val="SingleTxtG"/>
      </w:pPr>
      <w:r w:rsidRPr="00EC0EF6">
        <w:t>77.</w:t>
      </w:r>
      <w:r w:rsidRPr="00EC0EF6">
        <w:tab/>
        <w:t xml:space="preserve">En 2008, des amendements à la loi organique relative à la citoyenneté géorgienne sont venus simplifier de manière significative la procédure de naturalisation. </w:t>
      </w:r>
      <w:r>
        <w:t>En effet,</w:t>
      </w:r>
      <w:r w:rsidRPr="00EC0EF6">
        <w:t xml:space="preserve"> </w:t>
      </w:r>
      <w:r>
        <w:t xml:space="preserve">la version antérieure imposait notamment, en son </w:t>
      </w:r>
      <w:r w:rsidRPr="00EC0EF6">
        <w:t>article 26</w:t>
      </w:r>
      <w:r>
        <w:t xml:space="preserve">, </w:t>
      </w:r>
      <w:r w:rsidRPr="00EC0EF6">
        <w:t xml:space="preserve">à toute personne de résider sur le territoire géorgien pendant dix ans pour pouvoir obtenir la nationalité géorgienne. Avec les </w:t>
      </w:r>
      <w:r>
        <w:t>amendements apporté</w:t>
      </w:r>
      <w:r w:rsidRPr="00EC0EF6">
        <w:t>s, les procédures applicables aux étrangers mariés à un citoyen géorgien</w:t>
      </w:r>
      <w:r>
        <w:t xml:space="preserve"> ont également été modifiées.</w:t>
      </w:r>
    </w:p>
    <w:p w:rsidR="005E35F4" w:rsidRPr="00EC0EF6" w:rsidRDefault="005E35F4" w:rsidP="005E35F4">
      <w:pPr>
        <w:pStyle w:val="SingleTxtG"/>
      </w:pPr>
      <w:r w:rsidRPr="00EC0EF6">
        <w:t>78.</w:t>
      </w:r>
      <w:r w:rsidRPr="00EC0EF6">
        <w:tab/>
        <w:t xml:space="preserve">Le Gouvernement géorgien tient à signaler que, depuis janvier 2009, les questions liées à la citoyenneté ont été déléguées à la compétence </w:t>
      </w:r>
      <w:r>
        <w:t>des services de</w:t>
      </w:r>
      <w:r w:rsidRPr="00EC0EF6">
        <w:t xml:space="preserve"> l</w:t>
      </w:r>
      <w:r>
        <w:t>’</w:t>
      </w:r>
      <w:r w:rsidRPr="00EC0EF6">
        <w:t>état civil</w:t>
      </w:r>
      <w:r>
        <w:rPr>
          <w:rStyle w:val="FootnoteReference"/>
        </w:rPr>
        <w:footnoteReference w:id="33"/>
      </w:r>
      <w:r w:rsidRPr="00EC0EF6">
        <w:t xml:space="preserve">. Le délai entre le dépôt de la demande et le rendu de la décision a récemment été </w:t>
      </w:r>
      <w:r>
        <w:t>ramen</w:t>
      </w:r>
      <w:r w:rsidRPr="00EC0EF6">
        <w:t>é de six à trois mois.</w:t>
      </w:r>
    </w:p>
    <w:p w:rsidR="005E35F4" w:rsidRDefault="005E35F4" w:rsidP="005E35F4">
      <w:pPr>
        <w:pStyle w:val="SingleTxtG"/>
      </w:pPr>
      <w:r w:rsidRPr="00EC0EF6">
        <w:t>79.</w:t>
      </w:r>
      <w:r w:rsidRPr="00EC0EF6">
        <w:tab/>
        <w:t>Sur décision du Président, la (double) nationalité géorgienne peut aussi être octroyée aux ressortissants d</w:t>
      </w:r>
      <w:r>
        <w:t>’</w:t>
      </w:r>
      <w:r w:rsidRPr="00EC0EF6">
        <w:t xml:space="preserve">un autre pays qui </w:t>
      </w:r>
      <w:r>
        <w:t>ont</w:t>
      </w:r>
      <w:r w:rsidRPr="00EC0EF6">
        <w:t xml:space="preserve"> apporté une contribution significative à la Géorgie et au monde par </w:t>
      </w:r>
      <w:r>
        <w:t>leur</w:t>
      </w:r>
      <w:r w:rsidRPr="00EC0EF6">
        <w:t xml:space="preserve">s activités scientifiques ou sociales, ou </w:t>
      </w:r>
      <w:r>
        <w:t>dont la</w:t>
      </w:r>
      <w:r w:rsidRPr="00EC0EF6">
        <w:t xml:space="preserve"> profession ou </w:t>
      </w:r>
      <w:r>
        <w:t>l</w:t>
      </w:r>
      <w:r w:rsidRPr="00EC0EF6">
        <w:t>es qualifications</w:t>
      </w:r>
      <w:r>
        <w:t>,</w:t>
      </w:r>
      <w:r w:rsidRPr="00EC0EF6">
        <w:t xml:space="preserve"> importantes pour la Géorgie</w:t>
      </w:r>
      <w:r>
        <w:t>,</w:t>
      </w:r>
      <w:r w:rsidRPr="00EC0EF6">
        <w:t xml:space="preserve"> présent</w:t>
      </w:r>
      <w:r>
        <w:t>e</w:t>
      </w:r>
      <w:r w:rsidRPr="00EC0EF6">
        <w:t>nt un intérêt pour le pays</w:t>
      </w:r>
      <w:r w:rsidRPr="00EC0EF6">
        <w:rPr>
          <w:rStyle w:val="FootnoteReference"/>
        </w:rPr>
        <w:footnoteReference w:id="34"/>
      </w:r>
      <w:r>
        <w:t>.</w:t>
      </w:r>
    </w:p>
    <w:p w:rsidR="005E35F4" w:rsidRPr="005E35F4" w:rsidRDefault="005E35F4" w:rsidP="005E35F4">
      <w:pPr>
        <w:pStyle w:val="Heading1"/>
        <w:spacing w:after="120"/>
        <w:rPr>
          <w:rFonts w:eastAsia="MS Mincho"/>
          <w:b/>
          <w:lang w:val="fr-FR"/>
        </w:rPr>
      </w:pPr>
      <w:r w:rsidRPr="005E35F4">
        <w:rPr>
          <w:rFonts w:eastAsia="MS Mincho"/>
          <w:b/>
          <w:lang w:val="fr-FR"/>
        </w:rPr>
        <w:t>Acquisition de la nationalité géorgienne par naturalisation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5E35F4" w:rsidRPr="004F0580" w:rsidTr="00BB552C">
        <w:tc>
          <w:tcPr>
            <w:tcW w:w="3685" w:type="dxa"/>
            <w:tcBorders>
              <w:top w:val="single" w:sz="4" w:space="0" w:color="auto"/>
              <w:bottom w:val="nil"/>
            </w:tcBorders>
            <w:shd w:val="clear" w:color="auto" w:fill="auto"/>
          </w:tcPr>
          <w:p w:rsidR="005E35F4" w:rsidRPr="004F0580" w:rsidRDefault="005E35F4" w:rsidP="00BB552C">
            <w:pPr>
              <w:suppressAutoHyphens w:val="0"/>
              <w:spacing w:before="40" w:after="40" w:line="220" w:lineRule="exact"/>
              <w:rPr>
                <w:rFonts w:eastAsia="MS Mincho"/>
                <w:sz w:val="18"/>
                <w:lang w:val="fr-FR"/>
              </w:rPr>
            </w:pPr>
            <w:r w:rsidRPr="004F0580">
              <w:rPr>
                <w:rFonts w:eastAsia="MS Mincho"/>
                <w:sz w:val="18"/>
                <w:lang w:val="fr-FR"/>
              </w:rPr>
              <w:t>2007</w:t>
            </w:r>
          </w:p>
        </w:tc>
        <w:tc>
          <w:tcPr>
            <w:tcW w:w="3685" w:type="dxa"/>
            <w:tcBorders>
              <w:top w:val="single" w:sz="4" w:space="0" w:color="auto"/>
              <w:bottom w:val="nil"/>
            </w:tcBorders>
            <w:shd w:val="clear" w:color="auto" w:fill="auto"/>
            <w:vAlign w:val="bottom"/>
          </w:tcPr>
          <w:p w:rsidR="005E35F4" w:rsidRPr="004F0580" w:rsidRDefault="005E35F4" w:rsidP="00BB552C">
            <w:pPr>
              <w:suppressAutoHyphens w:val="0"/>
              <w:spacing w:before="40" w:after="40" w:line="220" w:lineRule="exact"/>
              <w:jc w:val="right"/>
              <w:rPr>
                <w:rFonts w:eastAsia="MS Mincho"/>
                <w:sz w:val="18"/>
                <w:lang w:val="fr-FR"/>
              </w:rPr>
            </w:pPr>
            <w:r w:rsidRPr="004F0580">
              <w:rPr>
                <w:rFonts w:eastAsia="MS Mincho"/>
                <w:sz w:val="18"/>
                <w:lang w:val="fr-FR"/>
              </w:rPr>
              <w:t>96</w:t>
            </w:r>
          </w:p>
        </w:tc>
      </w:tr>
      <w:tr w:rsidR="005E35F4" w:rsidRPr="004F0580" w:rsidTr="00BB552C">
        <w:tc>
          <w:tcPr>
            <w:tcW w:w="3685" w:type="dxa"/>
            <w:tcBorders>
              <w:top w:val="nil"/>
            </w:tcBorders>
            <w:shd w:val="clear" w:color="auto" w:fill="auto"/>
          </w:tcPr>
          <w:p w:rsidR="005E35F4" w:rsidRPr="004F0580" w:rsidRDefault="005E35F4" w:rsidP="00BB552C">
            <w:pPr>
              <w:suppressAutoHyphens w:val="0"/>
              <w:spacing w:before="40" w:after="40" w:line="220" w:lineRule="exact"/>
              <w:rPr>
                <w:rFonts w:eastAsia="MS Mincho"/>
                <w:sz w:val="18"/>
                <w:lang w:val="fr-FR"/>
              </w:rPr>
            </w:pPr>
            <w:r w:rsidRPr="004F0580">
              <w:rPr>
                <w:rFonts w:eastAsia="MS Mincho"/>
                <w:sz w:val="18"/>
                <w:lang w:val="fr-FR"/>
              </w:rPr>
              <w:t>2008</w:t>
            </w:r>
          </w:p>
        </w:tc>
        <w:tc>
          <w:tcPr>
            <w:tcW w:w="3685" w:type="dxa"/>
            <w:tcBorders>
              <w:top w:val="nil"/>
            </w:tcBorders>
            <w:shd w:val="clear" w:color="auto" w:fill="auto"/>
            <w:vAlign w:val="bottom"/>
          </w:tcPr>
          <w:p w:rsidR="005E35F4" w:rsidRPr="004F0580" w:rsidRDefault="005E35F4" w:rsidP="00BB552C">
            <w:pPr>
              <w:suppressAutoHyphens w:val="0"/>
              <w:spacing w:before="40" w:after="40" w:line="220" w:lineRule="exact"/>
              <w:jc w:val="right"/>
              <w:rPr>
                <w:rFonts w:eastAsia="MS Mincho"/>
                <w:sz w:val="18"/>
                <w:lang w:val="fr-FR"/>
              </w:rPr>
            </w:pPr>
            <w:r w:rsidRPr="004F0580">
              <w:rPr>
                <w:rFonts w:eastAsia="MS Mincho"/>
                <w:sz w:val="18"/>
                <w:lang w:val="fr-FR"/>
              </w:rPr>
              <w:t>141</w:t>
            </w:r>
          </w:p>
        </w:tc>
      </w:tr>
      <w:tr w:rsidR="005E35F4" w:rsidRPr="004F0580" w:rsidTr="00BB552C">
        <w:tc>
          <w:tcPr>
            <w:tcW w:w="3685" w:type="dxa"/>
            <w:tcBorders>
              <w:bottom w:val="single" w:sz="4" w:space="0" w:color="auto"/>
            </w:tcBorders>
            <w:shd w:val="clear" w:color="auto" w:fill="auto"/>
          </w:tcPr>
          <w:p w:rsidR="005E35F4" w:rsidRPr="004F0580" w:rsidRDefault="005E35F4" w:rsidP="00BB552C">
            <w:pPr>
              <w:suppressAutoHyphens w:val="0"/>
              <w:spacing w:before="40" w:after="40" w:line="220" w:lineRule="exact"/>
              <w:rPr>
                <w:rFonts w:eastAsia="MS Mincho"/>
                <w:sz w:val="18"/>
                <w:lang w:val="fr-FR"/>
              </w:rPr>
            </w:pPr>
            <w:r w:rsidRPr="004F0580">
              <w:rPr>
                <w:rFonts w:eastAsia="MS Mincho"/>
                <w:sz w:val="18"/>
                <w:lang w:val="fr-FR"/>
              </w:rPr>
              <w:t>2009</w:t>
            </w:r>
          </w:p>
        </w:tc>
        <w:tc>
          <w:tcPr>
            <w:tcW w:w="3685" w:type="dxa"/>
            <w:tcBorders>
              <w:bottom w:val="single" w:sz="4" w:space="0" w:color="auto"/>
            </w:tcBorders>
            <w:shd w:val="clear" w:color="auto" w:fill="auto"/>
            <w:vAlign w:val="bottom"/>
          </w:tcPr>
          <w:p w:rsidR="005E35F4" w:rsidRPr="004F0580" w:rsidRDefault="005E35F4" w:rsidP="00BB552C">
            <w:pPr>
              <w:suppressAutoHyphens w:val="0"/>
              <w:spacing w:before="40" w:after="40" w:line="220" w:lineRule="exact"/>
              <w:jc w:val="right"/>
              <w:rPr>
                <w:rFonts w:eastAsia="MS Mincho"/>
                <w:sz w:val="18"/>
                <w:lang w:val="fr-FR"/>
              </w:rPr>
            </w:pPr>
            <w:r w:rsidRPr="004F0580">
              <w:rPr>
                <w:rFonts w:eastAsia="MS Mincho"/>
                <w:sz w:val="18"/>
                <w:lang w:val="fr-FR"/>
              </w:rPr>
              <w:t>93</w:t>
            </w:r>
          </w:p>
        </w:tc>
      </w:tr>
      <w:tr w:rsidR="005E35F4" w:rsidRPr="004F0580" w:rsidTr="00BB552C">
        <w:tc>
          <w:tcPr>
            <w:tcW w:w="3685" w:type="dxa"/>
            <w:tcBorders>
              <w:top w:val="single" w:sz="4" w:space="0" w:color="auto"/>
              <w:bottom w:val="single" w:sz="12" w:space="0" w:color="auto"/>
            </w:tcBorders>
            <w:shd w:val="clear" w:color="auto" w:fill="auto"/>
          </w:tcPr>
          <w:p w:rsidR="005E35F4" w:rsidRPr="004F0580" w:rsidRDefault="005E35F4" w:rsidP="00BB552C">
            <w:pPr>
              <w:suppressAutoHyphens w:val="0"/>
              <w:spacing w:before="80" w:after="80" w:line="220" w:lineRule="exact"/>
              <w:ind w:firstLine="284"/>
              <w:rPr>
                <w:rFonts w:eastAsia="MS Mincho"/>
                <w:b/>
                <w:sz w:val="18"/>
                <w:lang w:val="fr-FR"/>
              </w:rPr>
            </w:pPr>
            <w:r w:rsidRPr="004F0580">
              <w:rPr>
                <w:rFonts w:eastAsia="MS Mincho"/>
                <w:b/>
                <w:sz w:val="18"/>
                <w:lang w:val="fr-FR"/>
              </w:rPr>
              <w:t>Total</w:t>
            </w:r>
          </w:p>
        </w:tc>
        <w:tc>
          <w:tcPr>
            <w:tcW w:w="3685" w:type="dxa"/>
            <w:tcBorders>
              <w:top w:val="single" w:sz="4" w:space="0" w:color="auto"/>
              <w:bottom w:val="single" w:sz="12" w:space="0" w:color="auto"/>
            </w:tcBorders>
            <w:shd w:val="clear" w:color="auto" w:fill="auto"/>
            <w:vAlign w:val="bottom"/>
          </w:tcPr>
          <w:p w:rsidR="005E35F4" w:rsidRPr="004F0580" w:rsidRDefault="005E35F4" w:rsidP="00BB552C">
            <w:pPr>
              <w:suppressAutoHyphens w:val="0"/>
              <w:spacing w:before="80" w:after="80" w:line="220" w:lineRule="exact"/>
              <w:jc w:val="right"/>
              <w:rPr>
                <w:rFonts w:eastAsia="MS Mincho"/>
                <w:b/>
                <w:sz w:val="18"/>
                <w:lang w:val="fr-FR"/>
              </w:rPr>
            </w:pPr>
            <w:r w:rsidRPr="004F0580">
              <w:rPr>
                <w:rFonts w:eastAsia="MS Mincho"/>
                <w:b/>
                <w:sz w:val="18"/>
                <w:lang w:val="fr-FR"/>
              </w:rPr>
              <w:t>330</w:t>
            </w:r>
          </w:p>
        </w:tc>
      </w:tr>
    </w:tbl>
    <w:p w:rsidR="005E35F4" w:rsidRPr="005E35F4" w:rsidRDefault="005E35F4" w:rsidP="005E35F4">
      <w:pPr>
        <w:pStyle w:val="Heading1"/>
        <w:spacing w:before="240" w:after="120"/>
        <w:rPr>
          <w:rFonts w:eastAsia="MS Mincho"/>
          <w:b/>
          <w:lang w:val="fr-FR"/>
        </w:rPr>
      </w:pPr>
      <w:r w:rsidRPr="005E35F4">
        <w:rPr>
          <w:rFonts w:eastAsia="MS Mincho"/>
          <w:b/>
          <w:lang w:val="fr-FR"/>
        </w:rPr>
        <w:t>Octroi de la nationalité géorgienne par le Président géorgien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5E35F4" w:rsidRPr="001F0EDA" w:rsidTr="00BB552C">
        <w:tc>
          <w:tcPr>
            <w:tcW w:w="3685" w:type="dxa"/>
            <w:tcBorders>
              <w:top w:val="single" w:sz="4" w:space="0" w:color="auto"/>
            </w:tcBorders>
            <w:shd w:val="clear" w:color="auto" w:fill="auto"/>
            <w:vAlign w:val="bottom"/>
          </w:tcPr>
          <w:p w:rsidR="005E35F4" w:rsidRPr="00ED409D" w:rsidRDefault="005E35F4" w:rsidP="00BB552C">
            <w:pPr>
              <w:spacing w:before="40" w:after="40" w:line="220" w:lineRule="exact"/>
              <w:rPr>
                <w:rFonts w:eastAsia="MS Mincho"/>
                <w:sz w:val="18"/>
                <w:lang w:val="fr-FR"/>
              </w:rPr>
            </w:pPr>
            <w:r w:rsidRPr="00ED409D">
              <w:rPr>
                <w:rFonts w:eastAsia="MS Mincho"/>
                <w:sz w:val="18"/>
                <w:lang w:val="fr-FR"/>
              </w:rPr>
              <w:t>2007</w:t>
            </w:r>
          </w:p>
        </w:tc>
        <w:tc>
          <w:tcPr>
            <w:tcW w:w="3685" w:type="dxa"/>
            <w:tcBorders>
              <w:top w:val="single" w:sz="4" w:space="0" w:color="auto"/>
            </w:tcBorders>
            <w:shd w:val="clear" w:color="auto" w:fill="auto"/>
            <w:vAlign w:val="bottom"/>
          </w:tcPr>
          <w:p w:rsidR="005E35F4" w:rsidRPr="00ED409D" w:rsidRDefault="005E35F4" w:rsidP="00BB552C">
            <w:pPr>
              <w:spacing w:before="40" w:after="40" w:line="220" w:lineRule="exact"/>
              <w:jc w:val="right"/>
              <w:rPr>
                <w:rFonts w:eastAsia="MS Mincho"/>
                <w:sz w:val="18"/>
                <w:lang w:val="fr-FR"/>
              </w:rPr>
            </w:pPr>
            <w:r w:rsidRPr="00ED409D">
              <w:rPr>
                <w:rFonts w:eastAsia="MS Mincho"/>
                <w:sz w:val="18"/>
                <w:lang w:val="fr-FR"/>
              </w:rPr>
              <w:t>5</w:t>
            </w:r>
            <w:r>
              <w:rPr>
                <w:rFonts w:eastAsia="MS Mincho"/>
                <w:sz w:val="18"/>
                <w:lang w:val="fr-FR"/>
              </w:rPr>
              <w:t xml:space="preserve"> </w:t>
            </w:r>
            <w:r w:rsidRPr="00ED409D">
              <w:rPr>
                <w:rFonts w:eastAsia="MS Mincho"/>
                <w:sz w:val="18"/>
                <w:lang w:val="fr-FR"/>
              </w:rPr>
              <w:t>563</w:t>
            </w:r>
          </w:p>
        </w:tc>
      </w:tr>
      <w:tr w:rsidR="005E35F4" w:rsidRPr="001F0EDA" w:rsidTr="00BB552C">
        <w:tc>
          <w:tcPr>
            <w:tcW w:w="3685" w:type="dxa"/>
            <w:shd w:val="clear" w:color="auto" w:fill="auto"/>
            <w:vAlign w:val="bottom"/>
          </w:tcPr>
          <w:p w:rsidR="005E35F4" w:rsidRPr="00ED409D" w:rsidRDefault="005E35F4" w:rsidP="00BB552C">
            <w:pPr>
              <w:spacing w:before="40" w:after="40" w:line="220" w:lineRule="exact"/>
              <w:rPr>
                <w:rFonts w:eastAsia="MS Mincho"/>
                <w:sz w:val="18"/>
                <w:lang w:val="fr-FR"/>
              </w:rPr>
            </w:pPr>
            <w:r w:rsidRPr="00ED409D">
              <w:rPr>
                <w:rFonts w:eastAsia="MS Mincho"/>
                <w:sz w:val="18"/>
                <w:lang w:val="fr-FR"/>
              </w:rPr>
              <w:t>2008</w:t>
            </w:r>
          </w:p>
        </w:tc>
        <w:tc>
          <w:tcPr>
            <w:tcW w:w="3685" w:type="dxa"/>
            <w:shd w:val="clear" w:color="auto" w:fill="auto"/>
            <w:vAlign w:val="bottom"/>
          </w:tcPr>
          <w:p w:rsidR="005E35F4" w:rsidRPr="00ED409D" w:rsidRDefault="005E35F4" w:rsidP="00BB552C">
            <w:pPr>
              <w:spacing w:before="40" w:after="40" w:line="220" w:lineRule="exact"/>
              <w:jc w:val="right"/>
              <w:rPr>
                <w:rFonts w:eastAsia="MS Mincho"/>
                <w:sz w:val="18"/>
                <w:lang w:val="fr-FR"/>
              </w:rPr>
            </w:pPr>
            <w:r w:rsidRPr="00ED409D">
              <w:rPr>
                <w:rFonts w:eastAsia="MS Mincho"/>
                <w:sz w:val="18"/>
                <w:lang w:val="fr-FR"/>
              </w:rPr>
              <w:t>6</w:t>
            </w:r>
            <w:r>
              <w:rPr>
                <w:rFonts w:eastAsia="MS Mincho"/>
                <w:sz w:val="18"/>
                <w:lang w:val="fr-FR"/>
              </w:rPr>
              <w:t xml:space="preserve"> </w:t>
            </w:r>
            <w:r w:rsidRPr="00ED409D">
              <w:rPr>
                <w:rFonts w:eastAsia="MS Mincho"/>
                <w:sz w:val="18"/>
                <w:lang w:val="fr-FR"/>
              </w:rPr>
              <w:t>291</w:t>
            </w:r>
          </w:p>
        </w:tc>
      </w:tr>
      <w:tr w:rsidR="005E35F4" w:rsidRPr="001F0EDA" w:rsidTr="00BB552C">
        <w:tc>
          <w:tcPr>
            <w:tcW w:w="3685" w:type="dxa"/>
            <w:tcBorders>
              <w:bottom w:val="single" w:sz="4" w:space="0" w:color="auto"/>
            </w:tcBorders>
            <w:shd w:val="clear" w:color="auto" w:fill="auto"/>
            <w:vAlign w:val="bottom"/>
          </w:tcPr>
          <w:p w:rsidR="005E35F4" w:rsidRPr="00ED409D" w:rsidRDefault="005E35F4" w:rsidP="00BB552C">
            <w:pPr>
              <w:spacing w:before="40" w:after="40" w:line="220" w:lineRule="exact"/>
              <w:rPr>
                <w:rFonts w:eastAsia="MS Mincho"/>
                <w:sz w:val="18"/>
                <w:lang w:val="fr-FR"/>
              </w:rPr>
            </w:pPr>
            <w:r w:rsidRPr="00ED409D">
              <w:rPr>
                <w:rFonts w:eastAsia="MS Mincho"/>
                <w:sz w:val="18"/>
                <w:lang w:val="fr-FR"/>
              </w:rPr>
              <w:t>2009</w:t>
            </w:r>
          </w:p>
        </w:tc>
        <w:tc>
          <w:tcPr>
            <w:tcW w:w="3685" w:type="dxa"/>
            <w:tcBorders>
              <w:bottom w:val="single" w:sz="4" w:space="0" w:color="auto"/>
            </w:tcBorders>
            <w:shd w:val="clear" w:color="auto" w:fill="auto"/>
            <w:vAlign w:val="bottom"/>
          </w:tcPr>
          <w:p w:rsidR="005E35F4" w:rsidRPr="00ED409D" w:rsidRDefault="005E35F4" w:rsidP="00BB552C">
            <w:pPr>
              <w:spacing w:before="40" w:after="40" w:line="220" w:lineRule="exact"/>
              <w:jc w:val="right"/>
              <w:rPr>
                <w:rFonts w:eastAsia="MS Mincho"/>
                <w:sz w:val="18"/>
                <w:lang w:val="fr-FR"/>
              </w:rPr>
            </w:pPr>
            <w:r w:rsidRPr="00ED409D">
              <w:rPr>
                <w:rFonts w:eastAsia="MS Mincho"/>
                <w:sz w:val="18"/>
                <w:lang w:val="fr-FR"/>
              </w:rPr>
              <w:t>3</w:t>
            </w:r>
            <w:r>
              <w:rPr>
                <w:rFonts w:eastAsia="MS Mincho"/>
                <w:sz w:val="18"/>
                <w:lang w:val="fr-FR"/>
              </w:rPr>
              <w:t xml:space="preserve"> </w:t>
            </w:r>
            <w:r w:rsidRPr="00ED409D">
              <w:rPr>
                <w:rFonts w:eastAsia="MS Mincho"/>
                <w:sz w:val="18"/>
                <w:lang w:val="fr-FR"/>
              </w:rPr>
              <w:t>756</w:t>
            </w:r>
          </w:p>
        </w:tc>
      </w:tr>
      <w:tr w:rsidR="005E35F4" w:rsidRPr="001F0EDA" w:rsidTr="00BB552C">
        <w:tc>
          <w:tcPr>
            <w:tcW w:w="3685" w:type="dxa"/>
            <w:tcBorders>
              <w:top w:val="single" w:sz="4" w:space="0" w:color="auto"/>
              <w:bottom w:val="single" w:sz="12" w:space="0" w:color="auto"/>
            </w:tcBorders>
            <w:shd w:val="clear" w:color="auto" w:fill="auto"/>
            <w:vAlign w:val="bottom"/>
          </w:tcPr>
          <w:p w:rsidR="005E35F4" w:rsidRPr="00ED409D" w:rsidRDefault="005E35F4" w:rsidP="00BB552C">
            <w:pPr>
              <w:suppressAutoHyphens w:val="0"/>
              <w:spacing w:before="80" w:after="80" w:line="220" w:lineRule="exact"/>
              <w:ind w:firstLine="284"/>
              <w:rPr>
                <w:rFonts w:eastAsia="MS Mincho"/>
                <w:b/>
                <w:sz w:val="18"/>
                <w:lang w:val="fr-FR"/>
              </w:rPr>
            </w:pPr>
            <w:r w:rsidRPr="00ED409D">
              <w:rPr>
                <w:rFonts w:eastAsia="MS Mincho"/>
                <w:b/>
                <w:sz w:val="18"/>
                <w:lang w:val="fr-FR"/>
              </w:rPr>
              <w:t>Total</w:t>
            </w:r>
          </w:p>
        </w:tc>
        <w:tc>
          <w:tcPr>
            <w:tcW w:w="3685" w:type="dxa"/>
            <w:tcBorders>
              <w:top w:val="single" w:sz="4" w:space="0" w:color="auto"/>
              <w:bottom w:val="single" w:sz="12" w:space="0" w:color="auto"/>
            </w:tcBorders>
            <w:shd w:val="clear" w:color="auto" w:fill="auto"/>
            <w:vAlign w:val="bottom"/>
          </w:tcPr>
          <w:p w:rsidR="005E35F4" w:rsidRPr="00ED409D" w:rsidRDefault="005E35F4" w:rsidP="00BB552C">
            <w:pPr>
              <w:suppressAutoHyphens w:val="0"/>
              <w:spacing w:before="80" w:after="80" w:line="220" w:lineRule="exact"/>
              <w:jc w:val="right"/>
              <w:rPr>
                <w:rFonts w:eastAsia="MS Mincho"/>
                <w:b/>
                <w:sz w:val="18"/>
                <w:lang w:val="fr-FR"/>
              </w:rPr>
            </w:pPr>
            <w:r w:rsidRPr="00ED409D">
              <w:rPr>
                <w:rFonts w:eastAsia="MS Mincho"/>
                <w:b/>
                <w:sz w:val="18"/>
                <w:lang w:val="fr-FR"/>
              </w:rPr>
              <w:t>15</w:t>
            </w:r>
            <w:r>
              <w:rPr>
                <w:rFonts w:eastAsia="MS Mincho"/>
                <w:b/>
                <w:sz w:val="18"/>
                <w:lang w:val="fr-FR"/>
              </w:rPr>
              <w:t xml:space="preserve"> </w:t>
            </w:r>
            <w:r w:rsidRPr="00ED409D">
              <w:rPr>
                <w:rFonts w:eastAsia="MS Mincho"/>
                <w:b/>
                <w:sz w:val="18"/>
                <w:lang w:val="fr-FR"/>
              </w:rPr>
              <w:t>610</w:t>
            </w:r>
          </w:p>
        </w:tc>
      </w:tr>
    </w:tbl>
    <w:p w:rsidR="005E35F4" w:rsidRDefault="005E35F4" w:rsidP="005E35F4">
      <w:pPr>
        <w:pStyle w:val="H1G"/>
        <w:rPr>
          <w:rFonts w:eastAsia="MS Mincho"/>
          <w:lang w:val="fr-FR"/>
        </w:rPr>
      </w:pPr>
      <w:r>
        <w:rPr>
          <w:rFonts w:eastAsia="MS Mincho"/>
          <w:lang w:val="fr-FR"/>
        </w:rPr>
        <w:tab/>
        <w:t>E.</w:t>
      </w:r>
      <w:r>
        <w:rPr>
          <w:rFonts w:eastAsia="MS Mincho"/>
          <w:lang w:val="fr-FR"/>
        </w:rPr>
        <w:tab/>
        <w:t>Article 6</w:t>
      </w:r>
    </w:p>
    <w:p w:rsidR="005E35F4" w:rsidRPr="004F0580" w:rsidRDefault="005E35F4" w:rsidP="005E35F4">
      <w:pPr>
        <w:pStyle w:val="SingleTxtG"/>
        <w:rPr>
          <w:lang w:val="fr-FR"/>
        </w:rPr>
      </w:pPr>
      <w:r w:rsidRPr="004F0580">
        <w:rPr>
          <w:lang w:val="fr-FR"/>
        </w:rPr>
        <w:t>80.</w:t>
      </w:r>
      <w:r w:rsidRPr="004F0580">
        <w:rPr>
          <w:lang w:val="fr-FR"/>
        </w:rPr>
        <w:tab/>
        <w:t>Combattre les violations des droits de l</w:t>
      </w:r>
      <w:r>
        <w:rPr>
          <w:lang w:val="fr-FR"/>
        </w:rPr>
        <w:t>’</w:t>
      </w:r>
      <w:r w:rsidRPr="004F0580">
        <w:rPr>
          <w:lang w:val="fr-FR"/>
        </w:rPr>
        <w:t xml:space="preserve">homme motivées par des considérations raciales, religieuses ou autres est la priorité des services de répression géorgiens. Des statistiques sont </w:t>
      </w:r>
      <w:r>
        <w:rPr>
          <w:lang w:val="fr-FR"/>
        </w:rPr>
        <w:t>tenu</w:t>
      </w:r>
      <w:r w:rsidRPr="004F0580">
        <w:rPr>
          <w:lang w:val="fr-FR"/>
        </w:rPr>
        <w:t xml:space="preserve">es sur </w:t>
      </w:r>
      <w:r>
        <w:rPr>
          <w:lang w:val="fr-FR"/>
        </w:rPr>
        <w:t>tous les</w:t>
      </w:r>
      <w:r w:rsidRPr="004F0580">
        <w:rPr>
          <w:lang w:val="fr-FR"/>
        </w:rPr>
        <w:t xml:space="preserve"> crime</w:t>
      </w:r>
      <w:r>
        <w:rPr>
          <w:lang w:val="fr-FR"/>
        </w:rPr>
        <w:t>s</w:t>
      </w:r>
      <w:r w:rsidRPr="004F0580">
        <w:rPr>
          <w:lang w:val="fr-FR"/>
        </w:rPr>
        <w:t xml:space="preserve"> </w:t>
      </w:r>
      <w:r>
        <w:rPr>
          <w:lang w:val="fr-FR"/>
        </w:rPr>
        <w:t>et</w:t>
      </w:r>
      <w:r w:rsidRPr="004F0580">
        <w:rPr>
          <w:lang w:val="fr-FR"/>
        </w:rPr>
        <w:t xml:space="preserve"> délit</w:t>
      </w:r>
      <w:r>
        <w:rPr>
          <w:lang w:val="fr-FR"/>
        </w:rPr>
        <w:t>s</w:t>
      </w:r>
      <w:r w:rsidRPr="004F0580">
        <w:rPr>
          <w:lang w:val="fr-FR"/>
        </w:rPr>
        <w:t xml:space="preserve"> commis sur le territoire géorgien par les </w:t>
      </w:r>
      <w:r>
        <w:rPr>
          <w:lang w:val="fr-FR"/>
        </w:rPr>
        <w:t>D</w:t>
      </w:r>
      <w:r w:rsidRPr="004F0580">
        <w:rPr>
          <w:lang w:val="fr-FR"/>
        </w:rPr>
        <w:t>épartements de l</w:t>
      </w:r>
      <w:r>
        <w:rPr>
          <w:lang w:val="fr-FR"/>
        </w:rPr>
        <w:t>’</w:t>
      </w:r>
      <w:r w:rsidRPr="004F0580">
        <w:rPr>
          <w:lang w:val="fr-FR"/>
        </w:rPr>
        <w:t>information et de l</w:t>
      </w:r>
      <w:r>
        <w:rPr>
          <w:lang w:val="fr-FR"/>
        </w:rPr>
        <w:t>’</w:t>
      </w:r>
      <w:r w:rsidRPr="004F0580">
        <w:rPr>
          <w:lang w:val="fr-FR"/>
        </w:rPr>
        <w:t>analyse statistique du Ministère de l</w:t>
      </w:r>
      <w:r>
        <w:rPr>
          <w:lang w:val="fr-FR"/>
        </w:rPr>
        <w:t>’</w:t>
      </w:r>
      <w:r w:rsidRPr="004F0580">
        <w:rPr>
          <w:lang w:val="fr-FR"/>
        </w:rPr>
        <w:t>intérieur et du Ministère de la justice. De plus, l</w:t>
      </w:r>
      <w:r>
        <w:rPr>
          <w:lang w:val="fr-FR"/>
        </w:rPr>
        <w:t>’U</w:t>
      </w:r>
      <w:r w:rsidRPr="004F0580">
        <w:rPr>
          <w:lang w:val="fr-FR"/>
        </w:rPr>
        <w:t>nité des droits de l</w:t>
      </w:r>
      <w:r>
        <w:rPr>
          <w:lang w:val="fr-FR"/>
        </w:rPr>
        <w:t>’</w:t>
      </w:r>
      <w:r w:rsidRPr="004F0580">
        <w:rPr>
          <w:lang w:val="fr-FR"/>
        </w:rPr>
        <w:t xml:space="preserve">homme du </w:t>
      </w:r>
      <w:r>
        <w:rPr>
          <w:lang w:val="fr-FR"/>
        </w:rPr>
        <w:t>B</w:t>
      </w:r>
      <w:r w:rsidRPr="004F0580">
        <w:rPr>
          <w:lang w:val="fr-FR"/>
        </w:rPr>
        <w:t xml:space="preserve">ureau du Procureur général </w:t>
      </w:r>
      <w:r>
        <w:rPr>
          <w:lang w:val="fr-FR"/>
        </w:rPr>
        <w:t>surveille</w:t>
      </w:r>
      <w:r w:rsidRPr="004F0580">
        <w:rPr>
          <w:lang w:val="fr-FR"/>
        </w:rPr>
        <w:t xml:space="preserve"> les cas de </w:t>
      </w:r>
      <w:r>
        <w:rPr>
          <w:lang w:val="fr-FR"/>
        </w:rPr>
        <w:t>violation</w:t>
      </w:r>
      <w:r w:rsidRPr="004F0580">
        <w:rPr>
          <w:lang w:val="fr-FR"/>
        </w:rPr>
        <w:t xml:space="preserve"> du principe d</w:t>
      </w:r>
      <w:r>
        <w:rPr>
          <w:lang w:val="fr-FR"/>
        </w:rPr>
        <w:t>’</w:t>
      </w:r>
      <w:r w:rsidRPr="004F0580">
        <w:rPr>
          <w:lang w:val="fr-FR"/>
        </w:rPr>
        <w:t>égalité, de discrimination</w:t>
      </w:r>
      <w:r>
        <w:rPr>
          <w:lang w:val="fr-FR"/>
        </w:rPr>
        <w:t xml:space="preserve"> raciale, d’atteinte</w:t>
      </w:r>
      <w:r w:rsidRPr="004F0580">
        <w:rPr>
          <w:lang w:val="fr-FR"/>
        </w:rPr>
        <w:t xml:space="preserve"> aux liber</w:t>
      </w:r>
      <w:r>
        <w:rPr>
          <w:lang w:val="fr-FR"/>
        </w:rPr>
        <w:t>tés religieuses, de persécution</w:t>
      </w:r>
      <w:r w:rsidRPr="004F0580">
        <w:rPr>
          <w:lang w:val="fr-FR"/>
        </w:rPr>
        <w:t xml:space="preserve"> et d</w:t>
      </w:r>
      <w:r>
        <w:rPr>
          <w:lang w:val="fr-FR"/>
        </w:rPr>
        <w:t>’</w:t>
      </w:r>
      <w:r w:rsidRPr="004F0580">
        <w:rPr>
          <w:lang w:val="fr-FR"/>
        </w:rPr>
        <w:t xml:space="preserve">immixtion. Entre 2007 et </w:t>
      </w:r>
      <w:r w:rsidR="008E6042">
        <w:rPr>
          <w:lang w:val="fr-FR"/>
        </w:rPr>
        <w:t>2009, 40 </w:t>
      </w:r>
      <w:r w:rsidRPr="004F0580">
        <w:rPr>
          <w:lang w:val="fr-FR"/>
        </w:rPr>
        <w:t>infractions présumé</w:t>
      </w:r>
      <w:r>
        <w:rPr>
          <w:lang w:val="fr-FR"/>
        </w:rPr>
        <w:t>es</w:t>
      </w:r>
      <w:r w:rsidRPr="004F0580">
        <w:rPr>
          <w:lang w:val="fr-FR"/>
        </w:rPr>
        <w:t xml:space="preserve"> </w:t>
      </w:r>
      <w:r>
        <w:rPr>
          <w:lang w:val="fr-FR"/>
        </w:rPr>
        <w:t xml:space="preserve">avoir été </w:t>
      </w:r>
      <w:r w:rsidRPr="004F0580">
        <w:rPr>
          <w:lang w:val="fr-FR"/>
        </w:rPr>
        <w:t>commises pour des motifs religieux ont été signalé</w:t>
      </w:r>
      <w:r>
        <w:rPr>
          <w:lang w:val="fr-FR"/>
        </w:rPr>
        <w:t>e</w:t>
      </w:r>
      <w:r w:rsidRPr="004F0580">
        <w:rPr>
          <w:lang w:val="fr-FR"/>
        </w:rPr>
        <w:t>s aux services géorgiens.</w:t>
      </w:r>
    </w:p>
    <w:p w:rsidR="005E35F4" w:rsidRPr="004F0580" w:rsidRDefault="005E35F4" w:rsidP="005E35F4">
      <w:pPr>
        <w:pStyle w:val="SingleTxtG"/>
        <w:rPr>
          <w:lang w:val="fr-FR"/>
        </w:rPr>
      </w:pPr>
      <w:r w:rsidRPr="004F0580">
        <w:rPr>
          <w:lang w:val="fr-FR"/>
        </w:rPr>
        <w:t>81.</w:t>
      </w:r>
      <w:r w:rsidRPr="004F0580">
        <w:rPr>
          <w:lang w:val="fr-FR"/>
        </w:rPr>
        <w:tab/>
        <w:t>Conformément au Code de procédure pénale, les enquêtes sur les crimes visés aux articles</w:t>
      </w:r>
      <w:r>
        <w:rPr>
          <w:lang w:val="fr-FR"/>
        </w:rPr>
        <w:t xml:space="preserve"> </w:t>
      </w:r>
      <w:r w:rsidRPr="004F0580">
        <w:rPr>
          <w:lang w:val="fr-FR"/>
        </w:rPr>
        <w:t>142 (violation du principe d</w:t>
      </w:r>
      <w:r>
        <w:rPr>
          <w:lang w:val="fr-FR"/>
        </w:rPr>
        <w:t>’</w:t>
      </w:r>
      <w:r w:rsidRPr="004F0580">
        <w:rPr>
          <w:lang w:val="fr-FR"/>
        </w:rPr>
        <w:t>égalité entre les individus) et 142</w:t>
      </w:r>
      <w:r w:rsidR="00A24398">
        <w:rPr>
          <w:lang w:val="fr-FR"/>
        </w:rPr>
        <w:t xml:space="preserve"> 1)</w:t>
      </w:r>
      <w:r w:rsidRPr="004F0580">
        <w:rPr>
          <w:lang w:val="fr-FR"/>
        </w:rPr>
        <w:t xml:space="preserve"> (discrimination raciale) sont menées par le Ministère de l</w:t>
      </w:r>
      <w:r>
        <w:rPr>
          <w:lang w:val="fr-FR"/>
        </w:rPr>
        <w:t>’</w:t>
      </w:r>
      <w:r w:rsidRPr="004F0580">
        <w:rPr>
          <w:lang w:val="fr-FR"/>
        </w:rPr>
        <w:t xml:space="preserve">intérieur, alors que le contrôle des procédures relève du </w:t>
      </w:r>
      <w:r>
        <w:rPr>
          <w:lang w:val="fr-FR"/>
        </w:rPr>
        <w:t>B</w:t>
      </w:r>
      <w:r w:rsidRPr="004F0580">
        <w:rPr>
          <w:lang w:val="fr-FR"/>
        </w:rPr>
        <w:t>ureau du Procureur général.</w:t>
      </w:r>
    </w:p>
    <w:p w:rsidR="005E35F4" w:rsidRPr="004F0580" w:rsidRDefault="005E35F4" w:rsidP="005E35F4">
      <w:pPr>
        <w:pStyle w:val="SingleTxtG"/>
        <w:rPr>
          <w:lang w:val="fr-FR"/>
        </w:rPr>
      </w:pPr>
      <w:r w:rsidRPr="004F0580">
        <w:rPr>
          <w:lang w:val="fr-FR"/>
        </w:rPr>
        <w:t>82.</w:t>
      </w:r>
      <w:r w:rsidRPr="004F0580">
        <w:rPr>
          <w:lang w:val="fr-FR"/>
        </w:rPr>
        <w:tab/>
        <w:t>Les autorités géorgiennes facilitent la réalisation d</w:t>
      </w:r>
      <w:r>
        <w:rPr>
          <w:lang w:val="fr-FR"/>
        </w:rPr>
        <w:t>’</w:t>
      </w:r>
      <w:r w:rsidRPr="004F0580">
        <w:rPr>
          <w:lang w:val="fr-FR"/>
        </w:rPr>
        <w:t>enquêtes rapides et efficaces sur les infractions commises et ont introduit des amendements au Code de procédure pénale à cet effet. Ainsi, selon l</w:t>
      </w:r>
      <w:r>
        <w:rPr>
          <w:lang w:val="fr-FR"/>
        </w:rPr>
        <w:t>’</w:t>
      </w:r>
      <w:r w:rsidRPr="004F0580">
        <w:rPr>
          <w:lang w:val="fr-FR"/>
        </w:rPr>
        <w:t>article 261 du Code de procédure pénale</w:t>
      </w:r>
      <w:r>
        <w:rPr>
          <w:lang w:val="fr-FR"/>
        </w:rPr>
        <w:t>,</w:t>
      </w:r>
      <w:r w:rsidRPr="004F0580">
        <w:rPr>
          <w:lang w:val="fr-FR"/>
        </w:rPr>
        <w:t xml:space="preserve"> dès l</w:t>
      </w:r>
      <w:r>
        <w:rPr>
          <w:lang w:val="fr-FR"/>
        </w:rPr>
        <w:t>’</w:t>
      </w:r>
      <w:r w:rsidRPr="004F0580">
        <w:rPr>
          <w:lang w:val="fr-FR"/>
        </w:rPr>
        <w:t>obtention de renseignements sur une infraction, l</w:t>
      </w:r>
      <w:r>
        <w:rPr>
          <w:lang w:val="fr-FR"/>
        </w:rPr>
        <w:t>’</w:t>
      </w:r>
      <w:r w:rsidRPr="004F0580">
        <w:rPr>
          <w:lang w:val="fr-FR"/>
        </w:rPr>
        <w:t xml:space="preserve">agent </w:t>
      </w:r>
      <w:r>
        <w:rPr>
          <w:lang w:val="fr-FR"/>
        </w:rPr>
        <w:t>d’</w:t>
      </w:r>
      <w:r w:rsidRPr="004F0580">
        <w:rPr>
          <w:lang w:val="fr-FR"/>
        </w:rPr>
        <w:t>instruct</w:t>
      </w:r>
      <w:r>
        <w:rPr>
          <w:lang w:val="fr-FR"/>
        </w:rPr>
        <w:t>ion</w:t>
      </w:r>
      <w:r w:rsidRPr="004F0580">
        <w:rPr>
          <w:lang w:val="fr-FR"/>
        </w:rPr>
        <w:t xml:space="preserve"> lancera une enquête préliminaire, dans les limites de ses fonctions. Tout renseignement sur une infraction communiqué par une personne physique ou morale, un organisme </w:t>
      </w:r>
      <w:r>
        <w:rPr>
          <w:lang w:val="fr-FR"/>
        </w:rPr>
        <w:t>administratif central</w:t>
      </w:r>
      <w:r w:rsidRPr="004F0580">
        <w:rPr>
          <w:lang w:val="fr-FR"/>
        </w:rPr>
        <w:t xml:space="preserve"> ou une collectivité territoriale, un agent de la fonction publique, un détective, l</w:t>
      </w:r>
      <w:r>
        <w:rPr>
          <w:lang w:val="fr-FR"/>
        </w:rPr>
        <w:t>’</w:t>
      </w:r>
      <w:r w:rsidRPr="004F0580">
        <w:rPr>
          <w:lang w:val="fr-FR"/>
        </w:rPr>
        <w:t>auteur lui-même</w:t>
      </w:r>
      <w:r>
        <w:rPr>
          <w:lang w:val="fr-FR"/>
        </w:rPr>
        <w:t xml:space="preserve"> ou</w:t>
      </w:r>
      <w:r w:rsidRPr="004F0580">
        <w:rPr>
          <w:lang w:val="fr-FR"/>
        </w:rPr>
        <w:t xml:space="preserve"> les médias ou tout élément découvert au cours d</w:t>
      </w:r>
      <w:r>
        <w:rPr>
          <w:lang w:val="fr-FR"/>
        </w:rPr>
        <w:t>’</w:t>
      </w:r>
      <w:r w:rsidRPr="004F0580">
        <w:rPr>
          <w:lang w:val="fr-FR"/>
        </w:rPr>
        <w:t>une enquête peut servir de base pour l</w:t>
      </w:r>
      <w:r>
        <w:rPr>
          <w:lang w:val="fr-FR"/>
        </w:rPr>
        <w:t>’</w:t>
      </w:r>
      <w:r w:rsidRPr="004F0580">
        <w:rPr>
          <w:lang w:val="fr-FR"/>
        </w:rPr>
        <w:t>ouverture d</w:t>
      </w:r>
      <w:r>
        <w:rPr>
          <w:lang w:val="fr-FR"/>
        </w:rPr>
        <w:t>’</w:t>
      </w:r>
      <w:r w:rsidRPr="004F0580">
        <w:rPr>
          <w:lang w:val="fr-FR"/>
        </w:rPr>
        <w:t xml:space="preserve">une enquête préliminaire. Les amendements législatifs et </w:t>
      </w:r>
      <w:r>
        <w:rPr>
          <w:lang w:val="fr-FR"/>
        </w:rPr>
        <w:t xml:space="preserve">mesures </w:t>
      </w:r>
      <w:r w:rsidRPr="004F0580">
        <w:rPr>
          <w:lang w:val="fr-FR"/>
        </w:rPr>
        <w:t>administrati</w:t>
      </w:r>
      <w:r>
        <w:rPr>
          <w:lang w:val="fr-FR"/>
        </w:rPr>
        <w:t>ve</w:t>
      </w:r>
      <w:r w:rsidRPr="004F0580">
        <w:rPr>
          <w:lang w:val="fr-FR"/>
        </w:rPr>
        <w:t xml:space="preserve">s adoptés par le Gouvernement géorgien contribuent donc significativement à la lutte contre les infractions </w:t>
      </w:r>
      <w:r>
        <w:rPr>
          <w:lang w:val="fr-FR"/>
        </w:rPr>
        <w:t>à motivation raciale</w:t>
      </w:r>
      <w:r w:rsidRPr="004F0580">
        <w:rPr>
          <w:lang w:val="fr-FR"/>
        </w:rPr>
        <w:t>.</w:t>
      </w:r>
    </w:p>
    <w:p w:rsidR="005E35F4" w:rsidRPr="004F0580" w:rsidRDefault="005E35F4" w:rsidP="005E35F4">
      <w:pPr>
        <w:pStyle w:val="H1G"/>
        <w:rPr>
          <w:lang w:val="fr-FR"/>
        </w:rPr>
      </w:pPr>
      <w:r>
        <w:rPr>
          <w:lang w:val="fr-FR"/>
        </w:rPr>
        <w:tab/>
      </w:r>
      <w:r w:rsidRPr="004F0580">
        <w:rPr>
          <w:lang w:val="fr-FR"/>
        </w:rPr>
        <w:t>F.</w:t>
      </w:r>
      <w:r w:rsidRPr="004F0580">
        <w:rPr>
          <w:lang w:val="fr-FR"/>
        </w:rPr>
        <w:tab/>
        <w:t>Article 7</w:t>
      </w:r>
    </w:p>
    <w:p w:rsidR="005E35F4" w:rsidRPr="004F0580" w:rsidRDefault="005E35F4" w:rsidP="005E35F4">
      <w:pPr>
        <w:pStyle w:val="H23G"/>
        <w:rPr>
          <w:lang w:val="fr-FR"/>
        </w:rPr>
      </w:pPr>
      <w:r>
        <w:rPr>
          <w:lang w:val="fr-FR"/>
        </w:rPr>
        <w:tab/>
      </w:r>
      <w:r>
        <w:rPr>
          <w:lang w:val="fr-FR"/>
        </w:rPr>
        <w:tab/>
      </w:r>
      <w:r w:rsidRPr="004F0580">
        <w:rPr>
          <w:lang w:val="fr-FR"/>
        </w:rPr>
        <w:t>Politique éducative</w:t>
      </w:r>
    </w:p>
    <w:p w:rsidR="005E35F4" w:rsidRDefault="005E35F4" w:rsidP="005E35F4">
      <w:pPr>
        <w:pStyle w:val="SingleTxtG"/>
        <w:rPr>
          <w:lang w:val="fr-FR"/>
        </w:rPr>
      </w:pPr>
      <w:r w:rsidRPr="004F0580">
        <w:rPr>
          <w:lang w:val="fr-FR"/>
        </w:rPr>
        <w:t>83.</w:t>
      </w:r>
      <w:r w:rsidRPr="004F0580">
        <w:rPr>
          <w:lang w:val="fr-FR"/>
        </w:rPr>
        <w:tab/>
        <w:t>Le Gouvernement géorgien est conscient du fait que l</w:t>
      </w:r>
      <w:r>
        <w:rPr>
          <w:lang w:val="fr-FR"/>
        </w:rPr>
        <w:t>’</w:t>
      </w:r>
      <w:r w:rsidRPr="004F0580">
        <w:rPr>
          <w:lang w:val="fr-FR"/>
        </w:rPr>
        <w:t>intégration civile des minorités nationales ne pourra pas devenir réalité sans la mise en œuvre d</w:t>
      </w:r>
      <w:r>
        <w:rPr>
          <w:lang w:val="fr-FR"/>
        </w:rPr>
        <w:t>’</w:t>
      </w:r>
      <w:r w:rsidRPr="004F0580">
        <w:rPr>
          <w:lang w:val="fr-FR"/>
        </w:rPr>
        <w:t>une politique d</w:t>
      </w:r>
      <w:r>
        <w:rPr>
          <w:lang w:val="fr-FR"/>
        </w:rPr>
        <w:t>’</w:t>
      </w:r>
      <w:r w:rsidRPr="004F0580">
        <w:rPr>
          <w:lang w:val="fr-FR"/>
        </w:rPr>
        <w:t>éducation globale non discriminatoire à l</w:t>
      </w:r>
      <w:r>
        <w:rPr>
          <w:lang w:val="fr-FR"/>
        </w:rPr>
        <w:t>’</w:t>
      </w:r>
      <w:r w:rsidRPr="004F0580">
        <w:rPr>
          <w:lang w:val="fr-FR"/>
        </w:rPr>
        <w:t>égard des minorités nationales. Outre les programmes d</w:t>
      </w:r>
      <w:r>
        <w:rPr>
          <w:lang w:val="fr-FR"/>
        </w:rPr>
        <w:t>’enseignement</w:t>
      </w:r>
      <w:r w:rsidRPr="004F0580">
        <w:rPr>
          <w:lang w:val="fr-FR"/>
        </w:rPr>
        <w:t xml:space="preserve"> généra</w:t>
      </w:r>
      <w:r>
        <w:rPr>
          <w:lang w:val="fr-FR"/>
        </w:rPr>
        <w:t>l</w:t>
      </w:r>
      <w:r w:rsidRPr="004F0580">
        <w:rPr>
          <w:lang w:val="fr-FR"/>
        </w:rPr>
        <w:t xml:space="preserve"> mentionnés plus haut, le Ministère de l</w:t>
      </w:r>
      <w:r>
        <w:rPr>
          <w:lang w:val="fr-FR"/>
        </w:rPr>
        <w:t>’</w:t>
      </w:r>
      <w:r w:rsidRPr="004F0580">
        <w:rPr>
          <w:lang w:val="fr-FR"/>
        </w:rPr>
        <w:t>éducation et des sciences a lancé les projets ci-après avec ses partenaires:</w:t>
      </w:r>
    </w:p>
    <w:p w:rsidR="005E35F4" w:rsidRPr="00BB752B" w:rsidRDefault="005E35F4" w:rsidP="005E35F4">
      <w:pPr>
        <w:pStyle w:val="SingleTxtG"/>
        <w:ind w:firstLine="567"/>
      </w:pPr>
      <w:r w:rsidRPr="00BB752B">
        <w:t>a)</w:t>
      </w:r>
      <w:r w:rsidRPr="00BB752B">
        <w:tab/>
        <w:t>Le programme visant à enseigner la tolérance aux enfants</w:t>
      </w:r>
      <w:r w:rsidRPr="00BB752B">
        <w:rPr>
          <w:rStyle w:val="FootnoteReference"/>
        </w:rPr>
        <w:footnoteReference w:id="35"/>
      </w:r>
      <w:r w:rsidRPr="00BB752B">
        <w:t xml:space="preserve"> mis en œuvre par Save the Children et le Centre national pour les programmes scolaires et l</w:t>
      </w:r>
      <w:r>
        <w:t>’</w:t>
      </w:r>
      <w:r w:rsidRPr="00BB752B">
        <w:t>évaluation. Ce programme vise à développer la tolérance, l</w:t>
      </w:r>
      <w:r>
        <w:t>’</w:t>
      </w:r>
      <w:r w:rsidRPr="00BB752B">
        <w:t>esprit de coopération et les compétences en résolution de conflits, ainsi qu</w:t>
      </w:r>
      <w:r>
        <w:t>’</w:t>
      </w:r>
      <w:r w:rsidRPr="00BB752B">
        <w:t>à inculquer les valeurs humaines aux enfants. Il est conçu pour être mis en œuvre dans le cadre d</w:t>
      </w:r>
      <w:r>
        <w:t>’</w:t>
      </w:r>
      <w:r w:rsidRPr="00BB752B">
        <w:t xml:space="preserve">innovations académiques et dans divers environnements éducatifs, et </w:t>
      </w:r>
      <w:r>
        <w:t>s’adresse aux</w:t>
      </w:r>
      <w:r w:rsidRPr="00BB752B">
        <w:t xml:space="preserve"> enfants âgés de 9 à 1</w:t>
      </w:r>
      <w:r>
        <w:t>1</w:t>
      </w:r>
      <w:r w:rsidRPr="00BB752B">
        <w:t xml:space="preserve"> ans (soit les classes IV et V), </w:t>
      </w:r>
      <w:r>
        <w:t xml:space="preserve">à </w:t>
      </w:r>
      <w:r w:rsidRPr="00BB752B">
        <w:t>leurs enseignants et leurs parents et tuteurs;</w:t>
      </w:r>
    </w:p>
    <w:p w:rsidR="005E35F4" w:rsidRPr="00BB752B" w:rsidRDefault="005E35F4" w:rsidP="005E35F4">
      <w:pPr>
        <w:pStyle w:val="SingleTxtG"/>
        <w:ind w:firstLine="567"/>
      </w:pPr>
      <w:r w:rsidRPr="00BB752B">
        <w:t>b)</w:t>
      </w:r>
      <w:r w:rsidRPr="00BB752B">
        <w:tab/>
        <w:t>Le programme Partenariat scolaire</w:t>
      </w:r>
      <w:r w:rsidRPr="00BB752B">
        <w:rPr>
          <w:rStyle w:val="FootnoteReference"/>
        </w:rPr>
        <w:footnoteReference w:id="36"/>
      </w:r>
      <w:r w:rsidRPr="00BB752B">
        <w:t>, destiné à intégrer les élèves et les enseignants dans la société civile, ainsi qu</w:t>
      </w:r>
      <w:r>
        <w:t>’</w:t>
      </w:r>
      <w:r w:rsidRPr="00BB752B">
        <w:t>à établir des partenariats entre des écoles géorgiennes et des écoles étrangères;</w:t>
      </w:r>
    </w:p>
    <w:p w:rsidR="005E35F4" w:rsidRPr="00BB752B" w:rsidRDefault="005E35F4" w:rsidP="005E35F4">
      <w:pPr>
        <w:pStyle w:val="SingleTxtG"/>
        <w:ind w:firstLine="567"/>
      </w:pPr>
      <w:r w:rsidRPr="00BB752B">
        <w:t>c)</w:t>
      </w:r>
      <w:r w:rsidRPr="00BB752B">
        <w:tab/>
        <w:t xml:space="preserve">Le programme «Vivons ensemble», soutenu </w:t>
      </w:r>
      <w:r>
        <w:t>par le British Council, avec l’assistance</w:t>
      </w:r>
      <w:r w:rsidRPr="00BB752B">
        <w:t xml:space="preserve"> du Conseil de l</w:t>
      </w:r>
      <w:r>
        <w:t>’</w:t>
      </w:r>
      <w:r w:rsidRPr="00BB752B">
        <w:t xml:space="preserve">Europe. </w:t>
      </w:r>
      <w:r>
        <w:t>Cette initiative</w:t>
      </w:r>
      <w:r w:rsidRPr="00BB752B">
        <w:t xml:space="preserve"> vise à promouvoir la tolérance et le dialogue interculturel en Europe. Tout au long de sa mise en œuvre, des jeunes (y compris issus des minorités ethniques de Géorgie) ont pris part à des ateliers, à des discussions et à des manifestations ludiques et sportives, et ont mis en commun leurs expériences </w:t>
      </w:r>
      <w:r>
        <w:t>de jeunes</w:t>
      </w:r>
      <w:r w:rsidRPr="00BB752B">
        <w:t xml:space="preserve"> qui </w:t>
      </w:r>
      <w:r>
        <w:t xml:space="preserve">ont dû grandir et </w:t>
      </w:r>
      <w:r w:rsidRPr="00BB752B">
        <w:t xml:space="preserve">vivre </w:t>
      </w:r>
      <w:r>
        <w:t>pendant un</w:t>
      </w:r>
      <w:r w:rsidRPr="00BB752B">
        <w:t xml:space="preserve"> conflit et avec l</w:t>
      </w:r>
      <w:r>
        <w:t>’</w:t>
      </w:r>
      <w:r w:rsidRPr="00BB752B">
        <w:t>héritage d</w:t>
      </w:r>
      <w:r>
        <w:t>’</w:t>
      </w:r>
      <w:r w:rsidRPr="00BB752B">
        <w:t xml:space="preserve">un conflit. Ils ont également </w:t>
      </w:r>
      <w:r>
        <w:t>développé leurs</w:t>
      </w:r>
      <w:r w:rsidRPr="00BB752B">
        <w:t xml:space="preserve"> capacités de négociation et de médiation;</w:t>
      </w:r>
    </w:p>
    <w:p w:rsidR="005E35F4" w:rsidRPr="00BB752B" w:rsidRDefault="005E35F4" w:rsidP="005E35F4">
      <w:pPr>
        <w:pStyle w:val="SingleTxtG"/>
        <w:ind w:firstLine="567"/>
      </w:pPr>
      <w:r w:rsidRPr="00BB752B">
        <w:t>d)</w:t>
      </w:r>
      <w:r w:rsidRPr="00BB752B">
        <w:tab/>
        <w:t>L</w:t>
      </w:r>
      <w:r>
        <w:t>’</w:t>
      </w:r>
      <w:r w:rsidRPr="00BB752B">
        <w:t>initiative conjointe du Conseil de l</w:t>
      </w:r>
      <w:r>
        <w:t>’</w:t>
      </w:r>
      <w:r w:rsidRPr="00BB752B">
        <w:t>Europe et du Ministère de l</w:t>
      </w:r>
      <w:r>
        <w:t>’</w:t>
      </w:r>
      <w:r w:rsidRPr="00BB752B">
        <w:t>éducation et des sciences «Dialogue interculturel par l</w:t>
      </w:r>
      <w:r>
        <w:t>’</w:t>
      </w:r>
      <w:r w:rsidRPr="00BB752B">
        <w:t xml:space="preserve">éducation», destinée à promouvoir le respect par la diversité culturelle et le partage des meilleures pratiques en matière de dialogue interculturel entre institutions éducatives. En 2009, la Géorgie a accueilli le troisième Séminaire international sur le thème «Culture et religion: développer une vision critique et </w:t>
      </w:r>
      <w:r>
        <w:t>d</w:t>
      </w:r>
      <w:r w:rsidRPr="00BB752B">
        <w:t>es aptitudes à la communication par le biais des programmes scolaires».</w:t>
      </w:r>
    </w:p>
    <w:p w:rsidR="005E35F4" w:rsidRPr="00BB752B" w:rsidRDefault="005E35F4" w:rsidP="005E35F4">
      <w:pPr>
        <w:pStyle w:val="H23G"/>
      </w:pPr>
      <w:r>
        <w:tab/>
      </w:r>
      <w:r>
        <w:tab/>
      </w:r>
      <w:r w:rsidRPr="00BB752B">
        <w:t xml:space="preserve">Amélioration </w:t>
      </w:r>
      <w:r>
        <w:t>des conditions</w:t>
      </w:r>
      <w:r w:rsidRPr="00BB752B">
        <w:t xml:space="preserve"> d</w:t>
      </w:r>
      <w:r>
        <w:t>’</w:t>
      </w:r>
      <w:r w:rsidRPr="00BB752B">
        <w:t>apprentissage</w:t>
      </w:r>
    </w:p>
    <w:p w:rsidR="005E35F4" w:rsidRPr="00BB752B" w:rsidRDefault="005E35F4" w:rsidP="005E35F4">
      <w:pPr>
        <w:pStyle w:val="SingleTxtG"/>
      </w:pPr>
      <w:r w:rsidRPr="00BB752B">
        <w:t>84.</w:t>
      </w:r>
      <w:r w:rsidRPr="00BB752B">
        <w:tab/>
        <w:t xml:space="preserve">Depuis 2006, </w:t>
      </w:r>
      <w:r>
        <w:t xml:space="preserve">on porte </w:t>
      </w:r>
      <w:r w:rsidRPr="00BB752B">
        <w:t xml:space="preserve">une attention toute particulière à </w:t>
      </w:r>
      <w:r>
        <w:t>l’</w:t>
      </w:r>
      <w:r w:rsidRPr="00BB752B">
        <w:t>amélior</w:t>
      </w:r>
      <w:r>
        <w:t>ation du cadre d’</w:t>
      </w:r>
      <w:r w:rsidRPr="00BB752B">
        <w:t>apprentissage grâce à l</w:t>
      </w:r>
      <w:r>
        <w:t>’</w:t>
      </w:r>
      <w:r w:rsidRPr="00BB752B">
        <w:t>effo</w:t>
      </w:r>
      <w:r>
        <w:t xml:space="preserve">rt de rénovation des </w:t>
      </w:r>
      <w:r w:rsidRPr="00BB752B">
        <w:t>écoles entrepris dans le cadre de l</w:t>
      </w:r>
      <w:r>
        <w:t>’</w:t>
      </w:r>
      <w:r w:rsidRPr="00BB752B">
        <w:t>ambitieux pro</w:t>
      </w:r>
      <w:r>
        <w:t>gramme «Iakob Gogebashvili». F</w:t>
      </w:r>
      <w:r w:rsidRPr="00BB752B">
        <w:t>in 2009, 60 écoles de la région d</w:t>
      </w:r>
      <w:r>
        <w:t>e</w:t>
      </w:r>
      <w:r w:rsidRPr="00BB752B">
        <w:t xml:space="preserve"> Samtskhe-Javakheti et 39 écoles de la région de Kvemo Kartli avaient été réhabilitées. Dans le cadre d</w:t>
      </w:r>
      <w:r>
        <w:t>’</w:t>
      </w:r>
      <w:r w:rsidRPr="00BB752B">
        <w:t>un autre programme d</w:t>
      </w:r>
      <w:r>
        <w:t>’</w:t>
      </w:r>
      <w:r w:rsidRPr="00BB752B">
        <w:t>État</w:t>
      </w:r>
      <w:r>
        <w:t>,</w:t>
      </w:r>
      <w:r w:rsidRPr="00BB752B">
        <w:t xml:space="preserve"> «Irmis Nakhtomi», 120 établissements azéris et 140 établissements arméniens respectivement </w:t>
      </w:r>
      <w:r>
        <w:t>ont été</w:t>
      </w:r>
      <w:r w:rsidRPr="00BB752B">
        <w:t xml:space="preserve"> dotés de 1 </w:t>
      </w:r>
      <w:r>
        <w:t>2</w:t>
      </w:r>
      <w:r w:rsidRPr="00BB752B">
        <w:t>99 et 1 015 ordinateurs.</w:t>
      </w:r>
    </w:p>
    <w:p w:rsidR="005E35F4" w:rsidRPr="00BB752B" w:rsidRDefault="005E35F4" w:rsidP="005E35F4">
      <w:pPr>
        <w:pStyle w:val="H23G"/>
      </w:pPr>
      <w:r>
        <w:tab/>
      </w:r>
      <w:r>
        <w:tab/>
      </w:r>
      <w:r w:rsidRPr="00BB752B">
        <w:t>Culture</w:t>
      </w:r>
    </w:p>
    <w:p w:rsidR="005E35F4" w:rsidRPr="00BB752B" w:rsidRDefault="005E35F4" w:rsidP="005E35F4">
      <w:pPr>
        <w:pStyle w:val="SingleTxtG"/>
      </w:pPr>
      <w:r w:rsidRPr="00BB752B">
        <w:t>85.</w:t>
      </w:r>
      <w:r w:rsidRPr="00BB752B">
        <w:tab/>
        <w:t>Depuis 2004, le Ministère de la culture, de la protection des monuments et des sports administre le programme «Soutien au Centre culturel pour les minorités ethniques», qui vise à protéger, développer et promouvoir la culture des minorités ethniques de Géorgie et à soutenir ainsi leur intégration dans l</w:t>
      </w:r>
      <w:r>
        <w:t>’</w:t>
      </w:r>
      <w:r w:rsidRPr="00BB752B">
        <w:t>espace culturel géorgien.</w:t>
      </w:r>
    </w:p>
    <w:p w:rsidR="005E35F4" w:rsidRPr="00BB752B" w:rsidRDefault="005E35F4" w:rsidP="005E35F4">
      <w:pPr>
        <w:pStyle w:val="SingleTxtG"/>
      </w:pPr>
      <w:r w:rsidRPr="00BB752B">
        <w:t>86.</w:t>
      </w:r>
      <w:r w:rsidRPr="00BB752B">
        <w:tab/>
        <w:t xml:space="preserve">Ce projet est mené à bien par le Musée juif géorgien </w:t>
      </w:r>
      <w:r>
        <w:t>d’</w:t>
      </w:r>
      <w:r w:rsidRPr="00BB752B">
        <w:t>histo</w:t>
      </w:r>
      <w:r>
        <w:t>ire et d’ethnographie</w:t>
      </w:r>
      <w:r w:rsidRPr="00BB752B">
        <w:t xml:space="preserve"> Davit Baazov, le Centre des relations culturelles de Géorgie − «Maison du Caucase», le Centre culturel azéri Mirza-Fatali Akhundov, le Théâtre </w:t>
      </w:r>
      <w:r>
        <w:t xml:space="preserve">national </w:t>
      </w:r>
      <w:r w:rsidRPr="00BB752B">
        <w:t xml:space="preserve">arménien Petros Adamian de Tbilissi et le Théâtre </w:t>
      </w:r>
      <w:r>
        <w:t xml:space="preserve">national </w:t>
      </w:r>
      <w:r w:rsidRPr="00BB752B">
        <w:t>azéri de Tbilissi. Ces entités culturelles</w:t>
      </w:r>
      <w:r>
        <w:t xml:space="preserve"> de droit public</w:t>
      </w:r>
      <w:r w:rsidRPr="00BB752B">
        <w:t xml:space="preserve"> contribuent à maintenir la diversité culturelle des minorités ethniques, à développer les relations interculturelles et à protéger les droits de l</w:t>
      </w:r>
      <w:r>
        <w:t>’</w:t>
      </w:r>
      <w:r w:rsidRPr="00BB752B">
        <w:t>homme et les libertés, notamment le droit d</w:t>
      </w:r>
      <w:r>
        <w:t>’</w:t>
      </w:r>
      <w:r w:rsidRPr="00BB752B">
        <w:t>expression.</w:t>
      </w:r>
    </w:p>
    <w:p w:rsidR="005E35F4" w:rsidRDefault="005E35F4" w:rsidP="005E35F4">
      <w:pPr>
        <w:pStyle w:val="SingleTxtG"/>
      </w:pPr>
      <w:r w:rsidRPr="00BB752B">
        <w:t xml:space="preserve">On trouvera par ailleurs dans le tableau ci-dessous les théâtres amateurs, bibliothèques et clubs en </w:t>
      </w:r>
      <w:r>
        <w:t>activité</w:t>
      </w:r>
      <w:r w:rsidRPr="00BB752B">
        <w:t xml:space="preserve"> dans des quartiers à forte densité de population: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5E35F4" w:rsidRPr="00D23544" w:rsidTr="00BB552C">
        <w:trPr>
          <w:tblHeader/>
        </w:trPr>
        <w:tc>
          <w:tcPr>
            <w:tcW w:w="1474" w:type="dxa"/>
            <w:tcBorders>
              <w:top w:val="single" w:sz="4" w:space="0" w:color="auto"/>
              <w:bottom w:val="single" w:sz="12" w:space="0" w:color="auto"/>
            </w:tcBorders>
            <w:shd w:val="clear" w:color="auto" w:fill="auto"/>
            <w:vAlign w:val="bottom"/>
          </w:tcPr>
          <w:p w:rsidR="005E35F4" w:rsidRPr="00D23544" w:rsidRDefault="005E35F4" w:rsidP="00BB552C">
            <w:pPr>
              <w:suppressAutoHyphens w:val="0"/>
              <w:spacing w:before="80" w:after="80" w:line="200" w:lineRule="exact"/>
              <w:rPr>
                <w:i/>
                <w:sz w:val="16"/>
              </w:rPr>
            </w:pPr>
          </w:p>
        </w:tc>
        <w:tc>
          <w:tcPr>
            <w:tcW w:w="1474" w:type="dxa"/>
            <w:tcBorders>
              <w:top w:val="single" w:sz="4" w:space="0" w:color="auto"/>
              <w:bottom w:val="single" w:sz="12" w:space="0" w:color="auto"/>
            </w:tcBorders>
            <w:shd w:val="clear" w:color="auto" w:fill="auto"/>
            <w:tcMar>
              <w:right w:w="113" w:type="dxa"/>
            </w:tcMar>
            <w:vAlign w:val="bottom"/>
          </w:tcPr>
          <w:p w:rsidR="005E35F4" w:rsidRPr="00D23544" w:rsidRDefault="005E35F4" w:rsidP="00BB552C">
            <w:pPr>
              <w:suppressAutoHyphens w:val="0"/>
              <w:spacing w:before="80" w:after="80" w:line="200" w:lineRule="exact"/>
              <w:jc w:val="right"/>
              <w:rPr>
                <w:i/>
                <w:sz w:val="16"/>
              </w:rPr>
            </w:pPr>
            <w:r w:rsidRPr="00D23544">
              <w:rPr>
                <w:i/>
                <w:sz w:val="16"/>
              </w:rPr>
              <w:t>École de musique</w:t>
            </w:r>
          </w:p>
        </w:tc>
        <w:tc>
          <w:tcPr>
            <w:tcW w:w="1474" w:type="dxa"/>
            <w:tcBorders>
              <w:top w:val="single" w:sz="4" w:space="0" w:color="auto"/>
              <w:bottom w:val="single" w:sz="12" w:space="0" w:color="auto"/>
            </w:tcBorders>
            <w:shd w:val="clear" w:color="auto" w:fill="auto"/>
            <w:tcMar>
              <w:right w:w="113" w:type="dxa"/>
            </w:tcMar>
            <w:vAlign w:val="bottom"/>
          </w:tcPr>
          <w:p w:rsidR="005E35F4" w:rsidRPr="00D23544" w:rsidRDefault="005E35F4" w:rsidP="00BB552C">
            <w:pPr>
              <w:suppressAutoHyphens w:val="0"/>
              <w:spacing w:before="80" w:after="80" w:line="200" w:lineRule="exact"/>
              <w:jc w:val="right"/>
              <w:rPr>
                <w:i/>
                <w:sz w:val="16"/>
              </w:rPr>
            </w:pPr>
            <w:r w:rsidRPr="00D23544">
              <w:rPr>
                <w:i/>
                <w:sz w:val="16"/>
              </w:rPr>
              <w:t>École de peinture</w:t>
            </w:r>
          </w:p>
        </w:tc>
        <w:tc>
          <w:tcPr>
            <w:tcW w:w="1474" w:type="dxa"/>
            <w:tcBorders>
              <w:top w:val="single" w:sz="4" w:space="0" w:color="auto"/>
              <w:bottom w:val="single" w:sz="12" w:space="0" w:color="auto"/>
            </w:tcBorders>
            <w:shd w:val="clear" w:color="auto" w:fill="auto"/>
            <w:tcMar>
              <w:right w:w="113" w:type="dxa"/>
            </w:tcMar>
            <w:vAlign w:val="bottom"/>
          </w:tcPr>
          <w:p w:rsidR="005E35F4" w:rsidRPr="00D23544" w:rsidRDefault="005E35F4" w:rsidP="00BB552C">
            <w:pPr>
              <w:suppressAutoHyphens w:val="0"/>
              <w:spacing w:before="80" w:after="80" w:line="200" w:lineRule="exact"/>
              <w:jc w:val="right"/>
              <w:rPr>
                <w:i/>
                <w:sz w:val="16"/>
              </w:rPr>
            </w:pPr>
            <w:r w:rsidRPr="00D23544">
              <w:rPr>
                <w:i/>
                <w:sz w:val="16"/>
              </w:rPr>
              <w:t>Bibliothèque</w:t>
            </w:r>
          </w:p>
        </w:tc>
        <w:tc>
          <w:tcPr>
            <w:tcW w:w="1474" w:type="dxa"/>
            <w:tcBorders>
              <w:top w:val="single" w:sz="4" w:space="0" w:color="auto"/>
              <w:bottom w:val="single" w:sz="12" w:space="0" w:color="auto"/>
            </w:tcBorders>
            <w:shd w:val="clear" w:color="auto" w:fill="auto"/>
            <w:vAlign w:val="bottom"/>
          </w:tcPr>
          <w:p w:rsidR="005E35F4" w:rsidRPr="00D23544" w:rsidRDefault="005E35F4" w:rsidP="00BB552C">
            <w:pPr>
              <w:suppressAutoHyphens w:val="0"/>
              <w:spacing w:before="80" w:after="80" w:line="200" w:lineRule="exact"/>
              <w:jc w:val="right"/>
              <w:rPr>
                <w:i/>
                <w:sz w:val="16"/>
              </w:rPr>
            </w:pPr>
            <w:r w:rsidRPr="00D23544">
              <w:rPr>
                <w:i/>
                <w:sz w:val="16"/>
              </w:rPr>
              <w:t>Association</w:t>
            </w:r>
          </w:p>
        </w:tc>
      </w:tr>
      <w:tr w:rsidR="005E35F4" w:rsidRPr="00D23544" w:rsidTr="00BB552C">
        <w:tc>
          <w:tcPr>
            <w:tcW w:w="1474" w:type="dxa"/>
            <w:tcBorders>
              <w:top w:val="single" w:sz="12" w:space="0" w:color="auto"/>
            </w:tcBorders>
            <w:shd w:val="clear" w:color="auto" w:fill="auto"/>
          </w:tcPr>
          <w:p w:rsidR="005E35F4" w:rsidRPr="00D23544" w:rsidRDefault="005E35F4" w:rsidP="00BB552C">
            <w:pPr>
              <w:suppressAutoHyphens w:val="0"/>
              <w:spacing w:before="40" w:after="40" w:line="220" w:lineRule="exact"/>
              <w:rPr>
                <w:sz w:val="18"/>
                <w:szCs w:val="18"/>
              </w:rPr>
            </w:pPr>
            <w:r w:rsidRPr="00D23544">
              <w:rPr>
                <w:sz w:val="18"/>
                <w:szCs w:val="18"/>
              </w:rPr>
              <w:t>Kvareli</w:t>
            </w:r>
          </w:p>
        </w:tc>
        <w:tc>
          <w:tcPr>
            <w:tcW w:w="1474" w:type="dxa"/>
            <w:tcBorders>
              <w:top w:val="single" w:sz="12" w:space="0" w:color="auto"/>
            </w:tcBorders>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1</w:t>
            </w:r>
          </w:p>
        </w:tc>
        <w:tc>
          <w:tcPr>
            <w:tcW w:w="1474" w:type="dxa"/>
            <w:tcBorders>
              <w:top w:val="single" w:sz="12" w:space="0" w:color="auto"/>
            </w:tcBorders>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p>
        </w:tc>
        <w:tc>
          <w:tcPr>
            <w:tcW w:w="1474" w:type="dxa"/>
            <w:tcBorders>
              <w:top w:val="single" w:sz="12" w:space="0" w:color="auto"/>
            </w:tcBorders>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p>
        </w:tc>
        <w:tc>
          <w:tcPr>
            <w:tcW w:w="1474" w:type="dxa"/>
            <w:tcBorders>
              <w:top w:val="single" w:sz="12" w:space="0" w:color="auto"/>
            </w:tcBorders>
            <w:shd w:val="clear" w:color="auto" w:fill="auto"/>
          </w:tcPr>
          <w:p w:rsidR="005E35F4" w:rsidRPr="00D23544" w:rsidRDefault="005E35F4" w:rsidP="00BB552C">
            <w:pPr>
              <w:suppressAutoHyphens w:val="0"/>
              <w:spacing w:before="40" w:after="40" w:line="220" w:lineRule="exact"/>
              <w:jc w:val="right"/>
              <w:rPr>
                <w:sz w:val="18"/>
                <w:szCs w:val="18"/>
              </w:rPr>
            </w:pPr>
          </w:p>
        </w:tc>
      </w:tr>
      <w:tr w:rsidR="005E35F4" w:rsidRPr="00D23544" w:rsidTr="00BB552C">
        <w:tc>
          <w:tcPr>
            <w:tcW w:w="1474" w:type="dxa"/>
            <w:shd w:val="clear" w:color="auto" w:fill="auto"/>
          </w:tcPr>
          <w:p w:rsidR="005E35F4" w:rsidRPr="00D23544" w:rsidRDefault="005E35F4" w:rsidP="00BB552C">
            <w:pPr>
              <w:suppressAutoHyphens w:val="0"/>
              <w:spacing w:before="40" w:after="40" w:line="220" w:lineRule="exact"/>
              <w:rPr>
                <w:sz w:val="18"/>
                <w:szCs w:val="18"/>
              </w:rPr>
            </w:pPr>
            <w:r w:rsidRPr="00D23544">
              <w:rPr>
                <w:sz w:val="18"/>
                <w:szCs w:val="18"/>
              </w:rPr>
              <w:t>Akhalkalaki</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1</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1</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 xml:space="preserve">2 </w:t>
            </w:r>
            <w:r>
              <w:rPr>
                <w:sz w:val="18"/>
                <w:szCs w:val="18"/>
              </w:rPr>
              <w:t>a</w:t>
            </w:r>
            <w:r w:rsidRPr="00D23544">
              <w:rPr>
                <w:sz w:val="18"/>
                <w:szCs w:val="18"/>
              </w:rPr>
              <w:t>rméniennes</w:t>
            </w:r>
          </w:p>
        </w:tc>
        <w:tc>
          <w:tcPr>
            <w:tcW w:w="1474" w:type="dxa"/>
            <w:shd w:val="clear" w:color="auto" w:fill="auto"/>
          </w:tcPr>
          <w:p w:rsidR="005E35F4" w:rsidRPr="00D23544" w:rsidRDefault="005E35F4" w:rsidP="00BB552C">
            <w:pPr>
              <w:suppressAutoHyphens w:val="0"/>
              <w:spacing w:before="40" w:after="40" w:line="220" w:lineRule="exact"/>
              <w:jc w:val="right"/>
              <w:rPr>
                <w:sz w:val="18"/>
                <w:szCs w:val="18"/>
              </w:rPr>
            </w:pPr>
            <w:r w:rsidRPr="00D23544">
              <w:rPr>
                <w:sz w:val="18"/>
                <w:szCs w:val="18"/>
              </w:rPr>
              <w:t>4</w:t>
            </w:r>
            <w:r w:rsidRPr="00D23544">
              <w:rPr>
                <w:sz w:val="18"/>
                <w:szCs w:val="18"/>
              </w:rPr>
              <w:br/>
              <w:t xml:space="preserve">10 </w:t>
            </w:r>
            <w:r>
              <w:rPr>
                <w:sz w:val="18"/>
                <w:szCs w:val="18"/>
              </w:rPr>
              <w:t>a</w:t>
            </w:r>
            <w:r w:rsidRPr="00D23544">
              <w:rPr>
                <w:sz w:val="18"/>
                <w:szCs w:val="18"/>
              </w:rPr>
              <w:t>rméniennes</w:t>
            </w:r>
          </w:p>
        </w:tc>
      </w:tr>
      <w:tr w:rsidR="005E35F4" w:rsidRPr="00D23544" w:rsidTr="00BB552C">
        <w:tc>
          <w:tcPr>
            <w:tcW w:w="1474" w:type="dxa"/>
            <w:shd w:val="clear" w:color="auto" w:fill="auto"/>
          </w:tcPr>
          <w:p w:rsidR="005E35F4" w:rsidRPr="00D23544" w:rsidRDefault="005E35F4" w:rsidP="00BB552C">
            <w:pPr>
              <w:suppressAutoHyphens w:val="0"/>
              <w:spacing w:before="40" w:after="40" w:line="220" w:lineRule="exact"/>
              <w:rPr>
                <w:sz w:val="18"/>
                <w:szCs w:val="18"/>
              </w:rPr>
            </w:pPr>
            <w:r w:rsidRPr="00D23544">
              <w:rPr>
                <w:sz w:val="18"/>
                <w:szCs w:val="18"/>
              </w:rPr>
              <w:t>Ninotsminda</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1</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 xml:space="preserve">18 </w:t>
            </w:r>
            <w:r>
              <w:rPr>
                <w:sz w:val="18"/>
                <w:szCs w:val="18"/>
              </w:rPr>
              <w:t>a</w:t>
            </w:r>
            <w:r w:rsidRPr="00D23544">
              <w:rPr>
                <w:sz w:val="18"/>
                <w:szCs w:val="18"/>
              </w:rPr>
              <w:t>rméniennes</w:t>
            </w:r>
          </w:p>
        </w:tc>
        <w:tc>
          <w:tcPr>
            <w:tcW w:w="1474" w:type="dxa"/>
            <w:shd w:val="clear" w:color="auto" w:fill="auto"/>
          </w:tcPr>
          <w:p w:rsidR="005E35F4" w:rsidRPr="00D23544" w:rsidRDefault="005E35F4" w:rsidP="00BB552C">
            <w:pPr>
              <w:suppressAutoHyphens w:val="0"/>
              <w:spacing w:before="40" w:after="40" w:line="220" w:lineRule="exact"/>
              <w:jc w:val="right"/>
              <w:rPr>
                <w:sz w:val="18"/>
                <w:szCs w:val="18"/>
              </w:rPr>
            </w:pPr>
            <w:r w:rsidRPr="00D23544">
              <w:rPr>
                <w:sz w:val="18"/>
                <w:szCs w:val="18"/>
              </w:rPr>
              <w:t>2</w:t>
            </w:r>
            <w:r w:rsidRPr="00D23544">
              <w:rPr>
                <w:sz w:val="18"/>
                <w:szCs w:val="18"/>
              </w:rPr>
              <w:br/>
              <w:t xml:space="preserve">18 </w:t>
            </w:r>
            <w:r>
              <w:rPr>
                <w:sz w:val="18"/>
                <w:szCs w:val="18"/>
              </w:rPr>
              <w:t>a</w:t>
            </w:r>
            <w:r w:rsidRPr="00D23544">
              <w:rPr>
                <w:sz w:val="18"/>
                <w:szCs w:val="18"/>
              </w:rPr>
              <w:t>rméniennes</w:t>
            </w:r>
          </w:p>
        </w:tc>
      </w:tr>
      <w:tr w:rsidR="005E35F4" w:rsidRPr="00D23544" w:rsidTr="00BB552C">
        <w:tc>
          <w:tcPr>
            <w:tcW w:w="1474" w:type="dxa"/>
            <w:shd w:val="clear" w:color="auto" w:fill="auto"/>
          </w:tcPr>
          <w:p w:rsidR="005E35F4" w:rsidRPr="00D23544" w:rsidRDefault="005E35F4" w:rsidP="00BB552C">
            <w:pPr>
              <w:suppressAutoHyphens w:val="0"/>
              <w:spacing w:before="40" w:after="40" w:line="220" w:lineRule="exact"/>
              <w:rPr>
                <w:sz w:val="18"/>
                <w:szCs w:val="18"/>
              </w:rPr>
            </w:pPr>
            <w:r w:rsidRPr="00D23544">
              <w:rPr>
                <w:sz w:val="18"/>
                <w:szCs w:val="18"/>
              </w:rPr>
              <w:t>Marneuli</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1</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 xml:space="preserve">11 </w:t>
            </w:r>
            <w:r>
              <w:rPr>
                <w:sz w:val="18"/>
                <w:szCs w:val="18"/>
              </w:rPr>
              <w:t>azéri</w:t>
            </w:r>
            <w:r w:rsidRPr="00D23544">
              <w:rPr>
                <w:sz w:val="18"/>
                <w:szCs w:val="18"/>
              </w:rPr>
              <w:t>s</w:t>
            </w:r>
            <w:r w:rsidRPr="00D23544">
              <w:rPr>
                <w:sz w:val="18"/>
                <w:szCs w:val="18"/>
              </w:rPr>
              <w:br/>
              <w:t>4</w:t>
            </w:r>
            <w:r>
              <w:rPr>
                <w:sz w:val="18"/>
                <w:szCs w:val="18"/>
              </w:rPr>
              <w:t xml:space="preserve"> arméniennes</w:t>
            </w:r>
          </w:p>
        </w:tc>
        <w:tc>
          <w:tcPr>
            <w:tcW w:w="1474" w:type="dxa"/>
            <w:shd w:val="clear" w:color="auto" w:fill="auto"/>
          </w:tcPr>
          <w:p w:rsidR="005E35F4" w:rsidRPr="00D23544" w:rsidRDefault="005E35F4" w:rsidP="00BB552C">
            <w:pPr>
              <w:suppressAutoHyphens w:val="0"/>
              <w:spacing w:before="40" w:after="40" w:line="220" w:lineRule="exact"/>
              <w:jc w:val="right"/>
              <w:rPr>
                <w:sz w:val="18"/>
                <w:szCs w:val="18"/>
              </w:rPr>
            </w:pPr>
            <w:r w:rsidRPr="00D23544">
              <w:rPr>
                <w:sz w:val="18"/>
                <w:szCs w:val="18"/>
              </w:rPr>
              <w:t xml:space="preserve">4 </w:t>
            </w:r>
          </w:p>
        </w:tc>
      </w:tr>
      <w:tr w:rsidR="005E35F4" w:rsidRPr="00D23544" w:rsidTr="00BB552C">
        <w:tc>
          <w:tcPr>
            <w:tcW w:w="1474" w:type="dxa"/>
            <w:shd w:val="clear" w:color="auto" w:fill="auto"/>
          </w:tcPr>
          <w:p w:rsidR="005E35F4" w:rsidRPr="00D23544" w:rsidRDefault="005E35F4" w:rsidP="00BB552C">
            <w:pPr>
              <w:suppressAutoHyphens w:val="0"/>
              <w:spacing w:before="40" w:after="40" w:line="220" w:lineRule="exact"/>
              <w:rPr>
                <w:sz w:val="18"/>
                <w:szCs w:val="18"/>
              </w:rPr>
            </w:pPr>
            <w:r w:rsidRPr="00D23544">
              <w:rPr>
                <w:sz w:val="18"/>
                <w:szCs w:val="18"/>
              </w:rPr>
              <w:t>Tsalka</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1</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 xml:space="preserve">1 </w:t>
            </w:r>
            <w:r>
              <w:rPr>
                <w:sz w:val="18"/>
                <w:szCs w:val="18"/>
              </w:rPr>
              <w:t>a</w:t>
            </w:r>
            <w:r w:rsidRPr="00D23544">
              <w:rPr>
                <w:sz w:val="18"/>
                <w:szCs w:val="18"/>
              </w:rPr>
              <w:t>rménienne</w:t>
            </w:r>
          </w:p>
        </w:tc>
        <w:tc>
          <w:tcPr>
            <w:tcW w:w="1474" w:type="dxa"/>
            <w:shd w:val="clear" w:color="auto" w:fill="auto"/>
          </w:tcPr>
          <w:p w:rsidR="005E35F4" w:rsidRPr="00D23544" w:rsidRDefault="005E35F4" w:rsidP="00BB552C">
            <w:pPr>
              <w:suppressAutoHyphens w:val="0"/>
              <w:spacing w:before="40" w:after="40" w:line="220" w:lineRule="exact"/>
              <w:jc w:val="right"/>
              <w:rPr>
                <w:sz w:val="18"/>
                <w:szCs w:val="18"/>
              </w:rPr>
            </w:pPr>
            <w:r w:rsidRPr="00D23544">
              <w:rPr>
                <w:sz w:val="18"/>
                <w:szCs w:val="18"/>
              </w:rPr>
              <w:t>1</w:t>
            </w:r>
          </w:p>
        </w:tc>
      </w:tr>
      <w:tr w:rsidR="005E35F4" w:rsidRPr="00D23544" w:rsidTr="00BB552C">
        <w:tc>
          <w:tcPr>
            <w:tcW w:w="1474" w:type="dxa"/>
            <w:shd w:val="clear" w:color="auto" w:fill="auto"/>
          </w:tcPr>
          <w:p w:rsidR="005E35F4" w:rsidRPr="00D23544" w:rsidRDefault="005E35F4" w:rsidP="00BB552C">
            <w:pPr>
              <w:suppressAutoHyphens w:val="0"/>
              <w:spacing w:before="40" w:after="40" w:line="220" w:lineRule="exact"/>
              <w:rPr>
                <w:sz w:val="18"/>
                <w:szCs w:val="18"/>
              </w:rPr>
            </w:pPr>
            <w:r w:rsidRPr="00D23544">
              <w:rPr>
                <w:sz w:val="18"/>
                <w:szCs w:val="18"/>
              </w:rPr>
              <w:t>Gori − Eredvi</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1</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 xml:space="preserve">5 </w:t>
            </w:r>
            <w:r>
              <w:rPr>
                <w:sz w:val="18"/>
                <w:szCs w:val="18"/>
              </w:rPr>
              <w:t>o</w:t>
            </w:r>
            <w:r w:rsidRPr="00D23544">
              <w:rPr>
                <w:sz w:val="18"/>
                <w:szCs w:val="18"/>
              </w:rPr>
              <w:t>sséties</w:t>
            </w:r>
          </w:p>
        </w:tc>
        <w:tc>
          <w:tcPr>
            <w:tcW w:w="1474" w:type="dxa"/>
            <w:shd w:val="clear" w:color="auto" w:fill="auto"/>
          </w:tcPr>
          <w:p w:rsidR="005E35F4" w:rsidRPr="00D23544" w:rsidRDefault="005E35F4" w:rsidP="00BB552C">
            <w:pPr>
              <w:suppressAutoHyphens w:val="0"/>
              <w:spacing w:before="40" w:after="40" w:line="220" w:lineRule="exact"/>
              <w:jc w:val="right"/>
              <w:rPr>
                <w:sz w:val="18"/>
                <w:szCs w:val="18"/>
              </w:rPr>
            </w:pPr>
          </w:p>
        </w:tc>
      </w:tr>
      <w:tr w:rsidR="005E35F4" w:rsidRPr="00D23544" w:rsidTr="00BB552C">
        <w:tc>
          <w:tcPr>
            <w:tcW w:w="1474" w:type="dxa"/>
            <w:shd w:val="clear" w:color="auto" w:fill="auto"/>
          </w:tcPr>
          <w:p w:rsidR="005E35F4" w:rsidRPr="00D23544" w:rsidRDefault="005E35F4" w:rsidP="00BB552C">
            <w:pPr>
              <w:suppressAutoHyphens w:val="0"/>
              <w:spacing w:before="40" w:after="40" w:line="220" w:lineRule="exact"/>
              <w:rPr>
                <w:sz w:val="18"/>
                <w:szCs w:val="18"/>
              </w:rPr>
            </w:pPr>
            <w:r w:rsidRPr="00D23544">
              <w:rPr>
                <w:sz w:val="18"/>
                <w:szCs w:val="18"/>
              </w:rPr>
              <w:t>Gardabani</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 xml:space="preserve">1 </w:t>
            </w:r>
            <w:r>
              <w:rPr>
                <w:sz w:val="18"/>
                <w:szCs w:val="18"/>
              </w:rPr>
              <w:t>a</w:t>
            </w:r>
            <w:r w:rsidRPr="00D23544">
              <w:rPr>
                <w:sz w:val="18"/>
                <w:szCs w:val="18"/>
              </w:rPr>
              <w:t>zéri</w:t>
            </w:r>
            <w:r w:rsidRPr="00D23544">
              <w:rPr>
                <w:sz w:val="18"/>
                <w:szCs w:val="18"/>
              </w:rPr>
              <w:br/>
              <w:t xml:space="preserve">14 </w:t>
            </w:r>
            <w:r>
              <w:rPr>
                <w:sz w:val="18"/>
                <w:szCs w:val="18"/>
              </w:rPr>
              <w:t>mixte</w:t>
            </w:r>
            <w:r w:rsidRPr="00D23544">
              <w:rPr>
                <w:sz w:val="18"/>
                <w:szCs w:val="18"/>
              </w:rPr>
              <w:t>s</w:t>
            </w:r>
          </w:p>
        </w:tc>
        <w:tc>
          <w:tcPr>
            <w:tcW w:w="1474" w:type="dxa"/>
            <w:shd w:val="clear" w:color="auto" w:fill="auto"/>
          </w:tcPr>
          <w:p w:rsidR="005E35F4" w:rsidRPr="00D23544" w:rsidRDefault="005E35F4" w:rsidP="00BB552C">
            <w:pPr>
              <w:suppressAutoHyphens w:val="0"/>
              <w:spacing w:before="40" w:after="40" w:line="220" w:lineRule="exact"/>
              <w:jc w:val="right"/>
              <w:rPr>
                <w:sz w:val="18"/>
                <w:szCs w:val="18"/>
              </w:rPr>
            </w:pPr>
            <w:r w:rsidRPr="00D23544">
              <w:rPr>
                <w:sz w:val="18"/>
                <w:szCs w:val="18"/>
              </w:rPr>
              <w:t>1</w:t>
            </w:r>
          </w:p>
        </w:tc>
      </w:tr>
      <w:tr w:rsidR="005E35F4" w:rsidRPr="00D23544" w:rsidTr="00BB552C">
        <w:tc>
          <w:tcPr>
            <w:tcW w:w="1474" w:type="dxa"/>
            <w:shd w:val="clear" w:color="auto" w:fill="auto"/>
          </w:tcPr>
          <w:p w:rsidR="005E35F4" w:rsidRPr="00D23544" w:rsidRDefault="005E35F4" w:rsidP="00BB552C">
            <w:pPr>
              <w:suppressAutoHyphens w:val="0"/>
              <w:spacing w:before="40" w:after="40" w:line="220" w:lineRule="exact"/>
              <w:rPr>
                <w:sz w:val="18"/>
                <w:szCs w:val="18"/>
              </w:rPr>
            </w:pPr>
            <w:r w:rsidRPr="00D23544">
              <w:rPr>
                <w:sz w:val="18"/>
                <w:szCs w:val="18"/>
              </w:rPr>
              <w:t>Bolnisi</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 xml:space="preserve">2 </w:t>
            </w:r>
            <w:r>
              <w:rPr>
                <w:sz w:val="18"/>
                <w:szCs w:val="18"/>
              </w:rPr>
              <w:t>a</w:t>
            </w:r>
            <w:r w:rsidRPr="00D23544">
              <w:rPr>
                <w:sz w:val="18"/>
                <w:szCs w:val="18"/>
              </w:rPr>
              <w:t>zéris</w:t>
            </w:r>
          </w:p>
        </w:tc>
        <w:tc>
          <w:tcPr>
            <w:tcW w:w="1474" w:type="dxa"/>
            <w:shd w:val="clear" w:color="auto" w:fill="auto"/>
          </w:tcPr>
          <w:p w:rsidR="005E35F4" w:rsidRPr="00D23544" w:rsidRDefault="005E35F4" w:rsidP="00BB552C">
            <w:pPr>
              <w:suppressAutoHyphens w:val="0"/>
              <w:spacing w:before="40" w:after="40" w:line="220" w:lineRule="exact"/>
              <w:jc w:val="right"/>
              <w:rPr>
                <w:sz w:val="18"/>
                <w:szCs w:val="18"/>
              </w:rPr>
            </w:pPr>
          </w:p>
        </w:tc>
      </w:tr>
      <w:tr w:rsidR="005E35F4" w:rsidRPr="00D23544" w:rsidTr="00BB552C">
        <w:tc>
          <w:tcPr>
            <w:tcW w:w="1474" w:type="dxa"/>
            <w:shd w:val="clear" w:color="auto" w:fill="auto"/>
          </w:tcPr>
          <w:p w:rsidR="005E35F4" w:rsidRPr="00D23544" w:rsidRDefault="005E35F4" w:rsidP="00BB552C">
            <w:pPr>
              <w:suppressAutoHyphens w:val="0"/>
              <w:spacing w:before="40" w:after="40" w:line="220" w:lineRule="exact"/>
              <w:rPr>
                <w:sz w:val="18"/>
                <w:szCs w:val="18"/>
              </w:rPr>
            </w:pPr>
            <w:r w:rsidRPr="00D23544">
              <w:rPr>
                <w:sz w:val="18"/>
                <w:szCs w:val="18"/>
              </w:rPr>
              <w:t>Dmanisi</w:t>
            </w: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p>
        </w:tc>
        <w:tc>
          <w:tcPr>
            <w:tcW w:w="1474" w:type="dxa"/>
            <w:shd w:val="clear" w:color="auto" w:fill="auto"/>
            <w:tcMar>
              <w:right w:w="113" w:type="dxa"/>
            </w:tcMar>
          </w:tcPr>
          <w:p w:rsidR="005E35F4" w:rsidRPr="00D23544" w:rsidRDefault="005E35F4" w:rsidP="00BB552C">
            <w:pPr>
              <w:suppressAutoHyphens w:val="0"/>
              <w:spacing w:before="40" w:after="40" w:line="220" w:lineRule="exact"/>
              <w:jc w:val="right"/>
              <w:rPr>
                <w:sz w:val="18"/>
                <w:szCs w:val="18"/>
              </w:rPr>
            </w:pPr>
            <w:r w:rsidRPr="00D23544">
              <w:rPr>
                <w:sz w:val="18"/>
                <w:szCs w:val="18"/>
              </w:rPr>
              <w:t xml:space="preserve">1 </w:t>
            </w:r>
            <w:r>
              <w:rPr>
                <w:sz w:val="18"/>
                <w:szCs w:val="18"/>
              </w:rPr>
              <w:t>a</w:t>
            </w:r>
            <w:r w:rsidRPr="00D23544">
              <w:rPr>
                <w:sz w:val="18"/>
                <w:szCs w:val="18"/>
              </w:rPr>
              <w:t>zéri</w:t>
            </w:r>
          </w:p>
        </w:tc>
        <w:tc>
          <w:tcPr>
            <w:tcW w:w="1474" w:type="dxa"/>
            <w:shd w:val="clear" w:color="auto" w:fill="auto"/>
          </w:tcPr>
          <w:p w:rsidR="005E35F4" w:rsidRPr="00D23544" w:rsidRDefault="005E35F4" w:rsidP="00BB552C">
            <w:pPr>
              <w:suppressAutoHyphens w:val="0"/>
              <w:spacing w:before="40" w:after="40" w:line="220" w:lineRule="exact"/>
              <w:jc w:val="right"/>
              <w:rPr>
                <w:sz w:val="18"/>
                <w:szCs w:val="18"/>
              </w:rPr>
            </w:pPr>
          </w:p>
        </w:tc>
      </w:tr>
    </w:tbl>
    <w:p w:rsidR="005E35F4" w:rsidRPr="00407EB4" w:rsidRDefault="005E35F4" w:rsidP="005E35F4">
      <w:pPr>
        <w:pStyle w:val="H23G"/>
      </w:pPr>
      <w:r>
        <w:tab/>
      </w:r>
      <w:r>
        <w:tab/>
      </w:r>
      <w:r w:rsidRPr="00407EB4">
        <w:t>Médias</w:t>
      </w:r>
    </w:p>
    <w:p w:rsidR="005E35F4" w:rsidRPr="00407EB4" w:rsidRDefault="005E35F4" w:rsidP="005E35F4">
      <w:pPr>
        <w:pStyle w:val="SingleTxtG"/>
      </w:pPr>
      <w:r w:rsidRPr="00407EB4">
        <w:t>87.</w:t>
      </w:r>
      <w:r w:rsidRPr="00407EB4">
        <w:tab/>
        <w:t xml:space="preserve">En vertu de la loi relative à la radiodiffusion et la télévision, </w:t>
      </w:r>
      <w:r>
        <w:t>les chaînes publiques</w:t>
      </w:r>
      <w:r w:rsidRPr="00407EB4">
        <w:t xml:space="preserve"> géorgien</w:t>
      </w:r>
      <w:r>
        <w:t>nes sont</w:t>
      </w:r>
      <w:r w:rsidRPr="00407EB4">
        <w:t xml:space="preserve"> tenu</w:t>
      </w:r>
      <w:r>
        <w:t>es</w:t>
      </w:r>
      <w:r w:rsidRPr="00407EB4">
        <w:t xml:space="preserve"> de refléter la diversité ethnique, culturelle et relig</w:t>
      </w:r>
      <w:r>
        <w:t>ieuse dans leur</w:t>
      </w:r>
      <w:r w:rsidRPr="00407EB4">
        <w:t xml:space="preserve">s programmes ainsi que de </w:t>
      </w:r>
      <w:r>
        <w:t>diffuser</w:t>
      </w:r>
      <w:r w:rsidRPr="00407EB4">
        <w:t xml:space="preserve"> des programmes </w:t>
      </w:r>
      <w:r>
        <w:t>dans les</w:t>
      </w:r>
      <w:r w:rsidRPr="00407EB4">
        <w:t xml:space="preserve"> langues des minorités. En vertu de changements récemment apportés à cette loi, pas moins de 25 % du budget-programme </w:t>
      </w:r>
      <w:r>
        <w:t>des chaînes publiques doivent</w:t>
      </w:r>
      <w:r w:rsidRPr="00407EB4">
        <w:t xml:space="preserve"> être alloué</w:t>
      </w:r>
      <w:r>
        <w:t>es</w:t>
      </w:r>
      <w:r w:rsidRPr="00407EB4">
        <w:t xml:space="preserve"> aux programmes en langues des minorités. C</w:t>
      </w:r>
      <w:r>
        <w:t>’</w:t>
      </w:r>
      <w:r w:rsidRPr="00407EB4">
        <w:t>est ainsi notamment que des journaux d</w:t>
      </w:r>
      <w:r>
        <w:t>’</w:t>
      </w:r>
      <w:r w:rsidRPr="00407EB4">
        <w:t>information publics sont diffusés une fois par semaine dans cinq langues minoritaires: l</w:t>
      </w:r>
      <w:r>
        <w:t>’</w:t>
      </w:r>
      <w:r w:rsidRPr="00407EB4">
        <w:t>abkhaze, l</w:t>
      </w:r>
      <w:r>
        <w:t>’</w:t>
      </w:r>
      <w:r w:rsidRPr="00407EB4">
        <w:t>ossète, l</w:t>
      </w:r>
      <w:r>
        <w:t>’</w:t>
      </w:r>
      <w:r w:rsidRPr="00407EB4">
        <w:t>arménien, l</w:t>
      </w:r>
      <w:r>
        <w:t>’</w:t>
      </w:r>
      <w:r w:rsidRPr="00407EB4">
        <w:t>azéri et le russe. Une émission hebdomadaire de débat</w:t>
      </w:r>
      <w:r>
        <w:t>,</w:t>
      </w:r>
      <w:r w:rsidRPr="00407EB4">
        <w:t xml:space="preserve"> </w:t>
      </w:r>
      <w:r w:rsidRPr="00407EB4">
        <w:rPr>
          <w:i/>
        </w:rPr>
        <w:t>Italiuri Ezo</w:t>
      </w:r>
      <w:r w:rsidRPr="00407EB4">
        <w:t xml:space="preserve"> (</w:t>
      </w:r>
      <w:r>
        <w:t>Cour</w:t>
      </w:r>
      <w:r w:rsidRPr="00407EB4">
        <w:t xml:space="preserve"> à l</w:t>
      </w:r>
      <w:r>
        <w:t>’</w:t>
      </w:r>
      <w:r w:rsidRPr="00407EB4">
        <w:t>italienne)</w:t>
      </w:r>
      <w:r>
        <w:t>,</w:t>
      </w:r>
      <w:r w:rsidRPr="00407EB4">
        <w:t xml:space="preserve"> est consacrée à l</w:t>
      </w:r>
      <w:r>
        <w:t>’</w:t>
      </w:r>
      <w:r w:rsidRPr="00407EB4">
        <w:t>intégration civile des minorités et aborde des thèmes allant des droits des femmes à l</w:t>
      </w:r>
      <w:r>
        <w:t>’</w:t>
      </w:r>
      <w:r w:rsidRPr="00407EB4">
        <w:t>enseignement supérieur en passant par les arts et la musique. Depuis 2009, cette émission a changé de formule et s</w:t>
      </w:r>
      <w:r>
        <w:t>’</w:t>
      </w:r>
      <w:r w:rsidRPr="00407EB4">
        <w:t xml:space="preserve">intitule désormais </w:t>
      </w:r>
      <w:r w:rsidRPr="00407EB4">
        <w:rPr>
          <w:i/>
        </w:rPr>
        <w:t xml:space="preserve">Notre </w:t>
      </w:r>
      <w:r>
        <w:rPr>
          <w:i/>
        </w:rPr>
        <w:t>cour</w:t>
      </w:r>
      <w:r w:rsidRPr="00407EB4">
        <w:t xml:space="preserve">. En 2008, </w:t>
      </w:r>
      <w:r>
        <w:t>le service public</w:t>
      </w:r>
      <w:r w:rsidRPr="00407EB4">
        <w:t xml:space="preserve"> a </w:t>
      </w:r>
      <w:r>
        <w:t>réalis</w:t>
      </w:r>
      <w:r w:rsidRPr="00407EB4">
        <w:t>é neuf documentaires relatant l</w:t>
      </w:r>
      <w:r>
        <w:t>’</w:t>
      </w:r>
      <w:r w:rsidRPr="00407EB4">
        <w:t>histoire de neuf minorités nationales (Arméniens, Azéris, Juifs, Grecs, Kurdes, Kistes, Y</w:t>
      </w:r>
      <w:r>
        <w:t>e</w:t>
      </w:r>
      <w:r w:rsidRPr="00407EB4">
        <w:t xml:space="preserve">zidis, Ukrainiens, Ossètes). La </w:t>
      </w:r>
      <w:r>
        <w:t>r</w:t>
      </w:r>
      <w:r w:rsidRPr="00407EB4">
        <w:t>adio publique diffuse également des journaux d</w:t>
      </w:r>
      <w:r>
        <w:t>’</w:t>
      </w:r>
      <w:r w:rsidRPr="00407EB4">
        <w:t>information quotidiens dans cinq langues minoritaires: l</w:t>
      </w:r>
      <w:r>
        <w:t>’</w:t>
      </w:r>
      <w:r w:rsidRPr="00407EB4">
        <w:t>abkhaze, l</w:t>
      </w:r>
      <w:r>
        <w:t>’</w:t>
      </w:r>
      <w:r w:rsidRPr="00407EB4">
        <w:t>ossète, le russe</w:t>
      </w:r>
      <w:r>
        <w:t>, l’azéri</w:t>
      </w:r>
      <w:r w:rsidRPr="00407EB4">
        <w:t xml:space="preserve"> et l</w:t>
      </w:r>
      <w:r>
        <w:t>’</w:t>
      </w:r>
      <w:r w:rsidRPr="00407EB4">
        <w:t>arménien. Elle programme aussi des émissions d</w:t>
      </w:r>
      <w:r>
        <w:t>’</w:t>
      </w:r>
      <w:r w:rsidRPr="00407EB4">
        <w:t>analyse en russe, l</w:t>
      </w:r>
      <w:r>
        <w:t>’</w:t>
      </w:r>
      <w:r w:rsidRPr="00407EB4">
        <w:t>hebdomadaire d</w:t>
      </w:r>
      <w:r>
        <w:t>’</w:t>
      </w:r>
      <w:r w:rsidRPr="00407EB4">
        <w:t xml:space="preserve">information </w:t>
      </w:r>
      <w:r w:rsidRPr="00407EB4">
        <w:rPr>
          <w:i/>
        </w:rPr>
        <w:t>Tbilisi-Baku</w:t>
      </w:r>
      <w:r w:rsidRPr="00407EB4">
        <w:t xml:space="preserve"> et le programme </w:t>
      </w:r>
      <w:r w:rsidRPr="00407EB4">
        <w:rPr>
          <w:i/>
        </w:rPr>
        <w:t>Notre Géorgie</w:t>
      </w:r>
      <w:r>
        <w:t>, qui s’intéresse</w:t>
      </w:r>
      <w:r w:rsidRPr="00407EB4">
        <w:t xml:space="preserve"> particulièrement à l</w:t>
      </w:r>
      <w:r>
        <w:t>’</w:t>
      </w:r>
      <w:r w:rsidRPr="00407EB4">
        <w:t>histoire des minorités ethniques et religieuses, leurs traditions et leur culture. Depuis janvier 2010, une nouvelle chaîne télévisée</w:t>
      </w:r>
      <w:r>
        <w:t>,</w:t>
      </w:r>
      <w:r w:rsidRPr="00407EB4">
        <w:t xml:space="preserve"> </w:t>
      </w:r>
      <w:r w:rsidRPr="00407EB4">
        <w:rPr>
          <w:i/>
        </w:rPr>
        <w:t>La Première du Caucase</w:t>
      </w:r>
      <w:r>
        <w:t>,</w:t>
      </w:r>
      <w:r w:rsidRPr="00407EB4">
        <w:t xml:space="preserve"> a été créée </w:t>
      </w:r>
      <w:r>
        <w:t>au sein du service public</w:t>
      </w:r>
      <w:r w:rsidRPr="00407EB4">
        <w:t xml:space="preserve"> pour la communauté russophone, </w:t>
      </w:r>
      <w:r>
        <w:t>et elle émet non seulement en</w:t>
      </w:r>
      <w:r w:rsidRPr="00407EB4">
        <w:t xml:space="preserve"> Géorgie mais </w:t>
      </w:r>
      <w:r>
        <w:t xml:space="preserve">dans </w:t>
      </w:r>
      <w:r w:rsidRPr="00407EB4">
        <w:t xml:space="preserve">tout le Caucase. La chaîne diffuse aussi des informations sur les événements en cours dans la région, le patrimoine culturel des peuples du Caucase, leur coexistence pacifique et les perspectives </w:t>
      </w:r>
      <w:r>
        <w:t>d’évolution</w:t>
      </w:r>
      <w:r w:rsidRPr="00407EB4">
        <w:t xml:space="preserve"> dans l</w:t>
      </w:r>
      <w:r>
        <w:t>’</w:t>
      </w:r>
      <w:r w:rsidRPr="00407EB4">
        <w:t>intérêt de la paix et du développement dans la région.</w:t>
      </w:r>
    </w:p>
    <w:p w:rsidR="005E35F4" w:rsidRPr="00407EB4" w:rsidRDefault="005E35F4" w:rsidP="005E35F4">
      <w:pPr>
        <w:pStyle w:val="SingleTxtG"/>
      </w:pPr>
      <w:r w:rsidRPr="00407EB4">
        <w:t>88.</w:t>
      </w:r>
      <w:r w:rsidRPr="00407EB4">
        <w:tab/>
        <w:t xml:space="preserve">Le Ministère de la culture soutient la presse en langues minoritaires et notamment la publication du journal en arménien </w:t>
      </w:r>
      <w:r w:rsidRPr="00407EB4">
        <w:rPr>
          <w:i/>
        </w:rPr>
        <w:t>Vrastani</w:t>
      </w:r>
      <w:r w:rsidRPr="00407EB4">
        <w:t xml:space="preserve">, du journal en azéri </w:t>
      </w:r>
      <w:r w:rsidRPr="00407EB4">
        <w:rPr>
          <w:i/>
        </w:rPr>
        <w:t>Gurjistan</w:t>
      </w:r>
      <w:r w:rsidRPr="00407EB4">
        <w:t xml:space="preserve"> et du journal en russe </w:t>
      </w:r>
      <w:r w:rsidRPr="00407EB4">
        <w:rPr>
          <w:i/>
        </w:rPr>
        <w:t>Svobodnaia Gruzia</w:t>
      </w:r>
      <w:r w:rsidRPr="00407EB4">
        <w:t>.</w:t>
      </w:r>
    </w:p>
    <w:p w:rsidR="005E35F4" w:rsidRPr="00407EB4" w:rsidRDefault="005E35F4" w:rsidP="005E35F4">
      <w:pPr>
        <w:pStyle w:val="SingleTxtG"/>
      </w:pPr>
      <w:r w:rsidRPr="00407EB4">
        <w:t>89.</w:t>
      </w:r>
      <w:r w:rsidRPr="00407EB4">
        <w:tab/>
        <w:t>Outre l</w:t>
      </w:r>
      <w:r>
        <w:t>es</w:t>
      </w:r>
      <w:r w:rsidRPr="00407EB4">
        <w:t xml:space="preserve"> chaîne</w:t>
      </w:r>
      <w:r>
        <w:t>s du service public</w:t>
      </w:r>
      <w:r w:rsidRPr="00407EB4">
        <w:t>, certaines chaînes locales diffusent elles aussi des programmes en langues minoritaires. C</w:t>
      </w:r>
      <w:r>
        <w:t>’</w:t>
      </w:r>
      <w:r w:rsidRPr="00407EB4">
        <w:t xml:space="preserve">est ainsi par exemple que </w:t>
      </w:r>
      <w:r w:rsidRPr="00407EB4">
        <w:rPr>
          <w:i/>
        </w:rPr>
        <w:t>TV Specter</w:t>
      </w:r>
      <w:r w:rsidRPr="00407EB4">
        <w:t xml:space="preserve">, qui couvre à la fois les régions de Javakheti et de Kvemo Kartli, </w:t>
      </w:r>
      <w:r>
        <w:t>émet</w:t>
      </w:r>
      <w:r w:rsidRPr="00407EB4">
        <w:t xml:space="preserve"> en russe et en arménien, et que </w:t>
      </w:r>
      <w:r w:rsidRPr="00407EB4">
        <w:rPr>
          <w:i/>
        </w:rPr>
        <w:t>Parvana TV</w:t>
      </w:r>
      <w:r w:rsidRPr="00407EB4">
        <w:t xml:space="preserve"> et </w:t>
      </w:r>
      <w:r w:rsidRPr="00407EB4">
        <w:rPr>
          <w:i/>
        </w:rPr>
        <w:t>ATV-12</w:t>
      </w:r>
      <w:r w:rsidRPr="00407EB4">
        <w:t xml:space="preserve"> émettent en arménien. </w:t>
      </w:r>
      <w:r w:rsidRPr="00407EB4">
        <w:rPr>
          <w:i/>
        </w:rPr>
        <w:t>TV Marneuli</w:t>
      </w:r>
      <w:r w:rsidRPr="00407EB4">
        <w:t xml:space="preserve"> est disponible dans la région de Kvemo Kartli et émet à la fois en géorgien et en azéri. </w:t>
      </w:r>
      <w:r w:rsidRPr="00407EB4">
        <w:rPr>
          <w:i/>
        </w:rPr>
        <w:t>TV Alania</w:t>
      </w:r>
      <w:r w:rsidRPr="00407EB4">
        <w:t xml:space="preserve"> émet en russe et couvre Tbilissi et d</w:t>
      </w:r>
      <w:r>
        <w:t>’</w:t>
      </w:r>
      <w:r w:rsidRPr="00407EB4">
        <w:t>autres régions, no</w:t>
      </w:r>
      <w:r>
        <w:t xml:space="preserve">tamment la région de Tskhinvali en </w:t>
      </w:r>
      <w:r w:rsidRPr="00407EB4">
        <w:t>Ossétie du Sud (Géorgie).</w:t>
      </w:r>
    </w:p>
    <w:p w:rsidR="005E35F4" w:rsidRPr="00407EB4" w:rsidRDefault="005E35F4" w:rsidP="005E35F4">
      <w:pPr>
        <w:pStyle w:val="SingleTxtG"/>
      </w:pPr>
      <w:r w:rsidRPr="00407EB4">
        <w:t>90.</w:t>
      </w:r>
      <w:r w:rsidRPr="00407EB4">
        <w:tab/>
        <w:t xml:space="preserve">En mars 2009, la Commission nationale géorgienne des communications a adopté le Code de déontologie des organismes audiovisuels. Ce code aborde les questions du respect de la diversité, de la qualité et de la tolérance </w:t>
      </w:r>
      <w:r>
        <w:t>par les services audiovisuels</w:t>
      </w:r>
      <w:r w:rsidRPr="00407EB4">
        <w:t xml:space="preserve"> et prévoit expressément que les médias doivent veiller à ne pas tenir de propos erronés ou prêtant à confusion, véhiculant des stéréotypes</w:t>
      </w:r>
      <w:r>
        <w:t>,</w:t>
      </w:r>
      <w:r w:rsidRPr="00407EB4">
        <w:t xml:space="preserve"> ni à présenter </w:t>
      </w:r>
      <w:r>
        <w:t>d</w:t>
      </w:r>
      <w:r w:rsidRPr="00407EB4">
        <w:t xml:space="preserve">es </w:t>
      </w:r>
      <w:r>
        <w:t>personne</w:t>
      </w:r>
      <w:r w:rsidRPr="00407EB4">
        <w:t xml:space="preserve">s en </w:t>
      </w:r>
      <w:r>
        <w:t xml:space="preserve">citant leur appartenance ethnique ou </w:t>
      </w:r>
      <w:r w:rsidRPr="00407EB4">
        <w:t>religieuse lorsque cela n</w:t>
      </w:r>
      <w:r>
        <w:t>’</w:t>
      </w:r>
      <w:r w:rsidRPr="00407EB4">
        <w:t xml:space="preserve">est pas nécessaire ou à </w:t>
      </w:r>
      <w:r>
        <w:t>formul</w:t>
      </w:r>
      <w:r w:rsidRPr="00407EB4">
        <w:t xml:space="preserve">er des allégations </w:t>
      </w:r>
      <w:r>
        <w:t>sans fondement</w:t>
      </w:r>
      <w:r w:rsidRPr="00407EB4">
        <w:t xml:space="preserve"> susceptibles d</w:t>
      </w:r>
      <w:r>
        <w:t>’</w:t>
      </w:r>
      <w:r w:rsidRPr="00407EB4">
        <w:t>inciter à la discrimination ou à la violence. De plus, depuis le 1</w:t>
      </w:r>
      <w:r w:rsidRPr="00407EB4">
        <w:rPr>
          <w:vertAlign w:val="superscript"/>
        </w:rPr>
        <w:t>er</w:t>
      </w:r>
      <w:r w:rsidRPr="00407EB4">
        <w:t xml:space="preserve"> janvier 2010, la Fondation pour le développement des médias surveille la </w:t>
      </w:r>
      <w:r>
        <w:t>manière dont les médias de langue géorgienne couvrent les</w:t>
      </w:r>
      <w:r w:rsidRPr="00407EB4">
        <w:t xml:space="preserve"> questions liées aux minorités nationales et religieuses</w:t>
      </w:r>
      <w:r>
        <w:t>.</w:t>
      </w:r>
      <w:r w:rsidRPr="00407EB4">
        <w:t xml:space="preserve"> Ce projet est mis en œuvre dans le cadre du programme ANUG</w:t>
      </w:r>
      <w:r w:rsidRPr="00810030">
        <w:rPr>
          <w:rStyle w:val="FootnoteReference"/>
        </w:rPr>
        <w:footnoteReference w:id="37"/>
      </w:r>
      <w:r w:rsidRPr="00407EB4">
        <w:t>-FCE</w:t>
      </w:r>
      <w:r w:rsidRPr="00810030">
        <w:rPr>
          <w:rStyle w:val="FootnoteReference"/>
        </w:rPr>
        <w:footnoteReference w:id="38"/>
      </w:r>
      <w:r w:rsidRPr="00407EB4">
        <w:t xml:space="preserve"> «Intégration nationale et tolérance en Géorgie», qui bénéficie de l</w:t>
      </w:r>
      <w:r>
        <w:t>’</w:t>
      </w:r>
      <w:r w:rsidRPr="00407EB4">
        <w:t>appui financier de l</w:t>
      </w:r>
      <w:r>
        <w:t>’</w:t>
      </w:r>
      <w:r w:rsidRPr="00407EB4">
        <w:t>Agence des États-Unis pour le développement international</w:t>
      </w:r>
      <w:r>
        <w:t xml:space="preserve"> (USAID)</w:t>
      </w:r>
      <w:r w:rsidRPr="00407EB4">
        <w:t>.</w:t>
      </w:r>
    </w:p>
    <w:p w:rsidR="005E35F4" w:rsidRPr="00407EB4" w:rsidRDefault="005E35F4" w:rsidP="005E35F4">
      <w:pPr>
        <w:pStyle w:val="SingleTxtG"/>
      </w:pPr>
      <w:r w:rsidRPr="00407EB4">
        <w:t>91.</w:t>
      </w:r>
      <w:r w:rsidRPr="00407EB4">
        <w:tab/>
        <w:t>Sur la toile, le site www.diversity.ge est le premier de Géorgie entièrement consacré à tout l</w:t>
      </w:r>
      <w:r>
        <w:t>’</w:t>
      </w:r>
      <w:r w:rsidRPr="00407EB4">
        <w:t xml:space="preserve">éventail des questions touchant aux minorités ethniques. Ce site trilingue propose des services en géorgien, </w:t>
      </w:r>
      <w:r>
        <w:t xml:space="preserve">en </w:t>
      </w:r>
      <w:r w:rsidRPr="00407EB4">
        <w:t xml:space="preserve">russe et </w:t>
      </w:r>
      <w:r>
        <w:t xml:space="preserve">en </w:t>
      </w:r>
      <w:r w:rsidRPr="00407EB4">
        <w:t xml:space="preserve">anglais. Il a vocation à mieux faire connaître les processus en cours dans le pays </w:t>
      </w:r>
      <w:r>
        <w:t>qui intéressent les</w:t>
      </w:r>
      <w:r w:rsidRPr="00407EB4">
        <w:t xml:space="preserve"> minorités ethniques ainsi que l</w:t>
      </w:r>
      <w:r>
        <w:t>’</w:t>
      </w:r>
      <w:r w:rsidRPr="00407EB4">
        <w:t>histoire et la culture de ces dernières, à promouvoir l</w:t>
      </w:r>
      <w:r>
        <w:t>’</w:t>
      </w:r>
      <w:r w:rsidRPr="00407EB4">
        <w:t xml:space="preserve">intégration et la tolérance et à encourager le grand public à participer davantage </w:t>
      </w:r>
      <w:r>
        <w:t>à ces</w:t>
      </w:r>
      <w:r w:rsidRPr="00407EB4">
        <w:t xml:space="preserve"> processus.</w:t>
      </w:r>
    </w:p>
    <w:p w:rsidR="005E35F4" w:rsidRPr="00407EB4" w:rsidRDefault="005E35F4" w:rsidP="005E35F4">
      <w:pPr>
        <w:pStyle w:val="H1G"/>
      </w:pPr>
      <w:r>
        <w:tab/>
      </w:r>
      <w:r w:rsidRPr="00407EB4">
        <w:t>G.</w:t>
      </w:r>
      <w:r w:rsidRPr="00407EB4">
        <w:tab/>
        <w:t>Article 22</w:t>
      </w:r>
    </w:p>
    <w:p w:rsidR="00591985" w:rsidRDefault="005E35F4" w:rsidP="005E35F4">
      <w:pPr>
        <w:pStyle w:val="SingleTxtG"/>
      </w:pPr>
      <w:r w:rsidRPr="00407EB4">
        <w:t>92.</w:t>
      </w:r>
      <w:r w:rsidRPr="00407EB4">
        <w:tab/>
        <w:t>Le Gouvernement de Géorgie fait savoir au Comité pour l</w:t>
      </w:r>
      <w:r>
        <w:t>’</w:t>
      </w:r>
      <w:r w:rsidRPr="00407EB4">
        <w:t xml:space="preserve">élimination </w:t>
      </w:r>
      <w:r>
        <w:t xml:space="preserve">de la discrimination raciale que le </w:t>
      </w:r>
      <w:r w:rsidRPr="00407EB4">
        <w:t>12 août 2008</w:t>
      </w:r>
      <w:r w:rsidRPr="00810030">
        <w:rPr>
          <w:rStyle w:val="FootnoteReference"/>
        </w:rPr>
        <w:footnoteReference w:id="39"/>
      </w:r>
      <w:r w:rsidRPr="00407EB4">
        <w:t>, il a présenté une requête interétatique devant la Cour internationale de Justice contre la Fédération de Russie pour violation de la Convention internationale sur l</w:t>
      </w:r>
      <w:r>
        <w:t>’</w:t>
      </w:r>
      <w:r w:rsidRPr="00407EB4">
        <w:t>élimination de toutes les formes de discrimination raciale.</w:t>
      </w:r>
    </w:p>
    <w:p w:rsidR="005E35F4" w:rsidRPr="005E35F4" w:rsidRDefault="005E35F4" w:rsidP="005E35F4">
      <w:pPr>
        <w:pStyle w:val="SingleTxtG"/>
        <w:spacing w:before="240" w:after="0"/>
        <w:jc w:val="center"/>
        <w:rPr>
          <w:u w:val="single"/>
        </w:rPr>
      </w:pPr>
      <w:r>
        <w:rPr>
          <w:u w:val="single"/>
        </w:rPr>
        <w:tab/>
      </w:r>
      <w:r>
        <w:rPr>
          <w:u w:val="single"/>
        </w:rPr>
        <w:tab/>
      </w:r>
      <w:r>
        <w:rPr>
          <w:u w:val="single"/>
        </w:rPr>
        <w:tab/>
      </w:r>
    </w:p>
    <w:sectPr w:rsidR="005E35F4" w:rsidRPr="005E35F4" w:rsidSect="008005D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875" w:rsidRDefault="00CF3875"/>
  </w:endnote>
  <w:endnote w:type="continuationSeparator" w:id="0">
    <w:p w:rsidR="00CF3875" w:rsidRDefault="00CF3875"/>
  </w:endnote>
  <w:endnote w:type="continuationNotice" w:id="1">
    <w:p w:rsidR="00CF3875" w:rsidRDefault="00CF38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875" w:rsidRPr="008005D2" w:rsidRDefault="00CF3875" w:rsidP="008005D2">
    <w:pPr>
      <w:pStyle w:val="Footer"/>
      <w:tabs>
        <w:tab w:val="right" w:pos="9638"/>
      </w:tabs>
    </w:pPr>
    <w:r w:rsidRPr="008005D2">
      <w:rPr>
        <w:b/>
        <w:sz w:val="18"/>
      </w:rPr>
      <w:fldChar w:fldCharType="begin"/>
    </w:r>
    <w:r w:rsidRPr="008005D2">
      <w:rPr>
        <w:b/>
        <w:sz w:val="18"/>
      </w:rPr>
      <w:instrText xml:space="preserve"> PAGE  \* MERGEFORMAT </w:instrText>
    </w:r>
    <w:r w:rsidRPr="008005D2">
      <w:rPr>
        <w:b/>
        <w:sz w:val="18"/>
      </w:rPr>
      <w:fldChar w:fldCharType="separate"/>
    </w:r>
    <w:r w:rsidR="003E2F42">
      <w:rPr>
        <w:b/>
        <w:noProof/>
        <w:sz w:val="18"/>
      </w:rPr>
      <w:t>2</w:t>
    </w:r>
    <w:r w:rsidRPr="008005D2">
      <w:rPr>
        <w:b/>
        <w:sz w:val="18"/>
      </w:rPr>
      <w:fldChar w:fldCharType="end"/>
    </w:r>
    <w:r>
      <w:rPr>
        <w:b/>
        <w:sz w:val="18"/>
      </w:rPr>
      <w:tab/>
    </w:r>
    <w:r>
      <w:t>GE.11-41286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875" w:rsidRPr="008005D2" w:rsidRDefault="00CF3875" w:rsidP="008005D2">
    <w:pPr>
      <w:pStyle w:val="Footer"/>
      <w:tabs>
        <w:tab w:val="right" w:pos="9638"/>
      </w:tabs>
      <w:rPr>
        <w:b/>
        <w:sz w:val="18"/>
      </w:rPr>
    </w:pPr>
    <w:r>
      <w:t>GE.11-41286</w:t>
    </w:r>
    <w:r>
      <w:tab/>
    </w:r>
    <w:r w:rsidRPr="008005D2">
      <w:rPr>
        <w:b/>
        <w:sz w:val="18"/>
      </w:rPr>
      <w:fldChar w:fldCharType="begin"/>
    </w:r>
    <w:r w:rsidRPr="008005D2">
      <w:rPr>
        <w:b/>
        <w:sz w:val="18"/>
      </w:rPr>
      <w:instrText xml:space="preserve"> PAGE  \* MERGEFORMAT </w:instrText>
    </w:r>
    <w:r w:rsidRPr="008005D2">
      <w:rPr>
        <w:b/>
        <w:sz w:val="18"/>
      </w:rPr>
      <w:fldChar w:fldCharType="separate"/>
    </w:r>
    <w:r w:rsidR="003E2F42">
      <w:rPr>
        <w:b/>
        <w:noProof/>
        <w:sz w:val="18"/>
      </w:rPr>
      <w:t>3</w:t>
    </w:r>
    <w:r w:rsidRPr="008005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875" w:rsidRDefault="00CF3875">
    <w:pPr>
      <w:pStyle w:val="Footer"/>
    </w:pPr>
    <w:r>
      <w:rPr>
        <w:sz w:val="20"/>
      </w:rPr>
      <w:t>GE.11-41286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060711    250711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875" w:rsidRPr="00D27D5E" w:rsidRDefault="00CF3875" w:rsidP="00D27D5E">
      <w:pPr>
        <w:tabs>
          <w:tab w:val="right" w:pos="2155"/>
        </w:tabs>
        <w:spacing w:after="80"/>
        <w:ind w:left="680"/>
        <w:rPr>
          <w:u w:val="single"/>
        </w:rPr>
      </w:pPr>
      <w:r>
        <w:rPr>
          <w:u w:val="single"/>
        </w:rPr>
        <w:tab/>
      </w:r>
    </w:p>
  </w:footnote>
  <w:footnote w:type="continuationSeparator" w:id="0">
    <w:p w:rsidR="00CF3875" w:rsidRPr="00AA7FE7" w:rsidRDefault="00CF3875" w:rsidP="00AA7FE7">
      <w:pPr>
        <w:tabs>
          <w:tab w:val="right" w:pos="2155"/>
        </w:tabs>
        <w:spacing w:after="80"/>
        <w:ind w:left="680"/>
        <w:rPr>
          <w:u w:val="single"/>
        </w:rPr>
      </w:pPr>
      <w:r w:rsidRPr="00AA7FE7">
        <w:rPr>
          <w:u w:val="single"/>
        </w:rPr>
        <w:tab/>
      </w:r>
    </w:p>
  </w:footnote>
  <w:footnote w:type="continuationNotice" w:id="1">
    <w:p w:rsidR="00CF3875" w:rsidRDefault="00CF3875"/>
  </w:footnote>
  <w:footnote w:id="2">
    <w:p w:rsidR="00CF3875" w:rsidRPr="00A50FAB" w:rsidRDefault="00CF3875" w:rsidP="008005D2">
      <w:pPr>
        <w:pStyle w:val="FootnoteText"/>
      </w:pPr>
      <w:r>
        <w:tab/>
      </w:r>
      <w:r w:rsidRPr="008005D2">
        <w:rPr>
          <w:rStyle w:val="FootnoteReference"/>
          <w:sz w:val="20"/>
          <w:vertAlign w:val="baseline"/>
        </w:rPr>
        <w:t>*</w:t>
      </w:r>
      <w:r>
        <w:tab/>
      </w:r>
      <w:r w:rsidRPr="008005D2">
        <w:t xml:space="preserve">Le présent document contient les quatrième et cinquième rapports périodiques </w:t>
      </w:r>
      <w:r>
        <w:t>de la Géorgie soumis en un seul document, qui devaient être présentés</w:t>
      </w:r>
      <w:r w:rsidRPr="008005D2">
        <w:t xml:space="preserve"> le 2 juillet 2006 et le 2 juillet 2008 respectivement. Pour les deuxième et troisième rapports périodiques </w:t>
      </w:r>
      <w:r>
        <w:t>et les comptes rendus des séances que</w:t>
      </w:r>
      <w:r w:rsidRPr="008005D2">
        <w:t xml:space="preserve"> le Comité </w:t>
      </w:r>
      <w:r>
        <w:t>a consacrées à leur examen</w:t>
      </w:r>
      <w:r w:rsidRPr="008005D2">
        <w:t xml:space="preserve">, </w:t>
      </w:r>
      <w:r>
        <w:t>voir les</w:t>
      </w:r>
      <w:r w:rsidRPr="008005D2">
        <w:t xml:space="preserve"> document</w:t>
      </w:r>
      <w:r>
        <w:t>s</w:t>
      </w:r>
      <w:r w:rsidRPr="008005D2">
        <w:t xml:space="preserve"> CERD/C/461/Add.1 et CERD/C/SR.1705 et 1706.</w:t>
      </w:r>
    </w:p>
  </w:footnote>
  <w:footnote w:id="3">
    <w:p w:rsidR="00CF3875" w:rsidRPr="008005D2" w:rsidRDefault="00CF3875" w:rsidP="008005D2">
      <w:pPr>
        <w:pStyle w:val="FootnoteText"/>
      </w:pPr>
      <w:r>
        <w:tab/>
      </w:r>
      <w:r w:rsidRPr="008005D2">
        <w:rPr>
          <w:rStyle w:val="FootnoteReference"/>
          <w:sz w:val="20"/>
          <w:vertAlign w:val="baseline"/>
        </w:rPr>
        <w:t>**</w:t>
      </w:r>
      <w:r>
        <w:rPr>
          <w:sz w:val="20"/>
        </w:rPr>
        <w:tab/>
      </w:r>
      <w:r w:rsidRPr="008005D2">
        <w:t xml:space="preserve">Conformément aux informations communiquées aux États parties concernant le traitement de leurs rapports, le présent document n’a pas été revu par les services d’édition </w:t>
      </w:r>
      <w:r>
        <w:t>avant</w:t>
      </w:r>
      <w:r w:rsidRPr="008005D2">
        <w:t xml:space="preserve"> d’être renvoyé au</w:t>
      </w:r>
      <w:r>
        <w:t>x</w:t>
      </w:r>
      <w:r w:rsidRPr="008005D2">
        <w:t xml:space="preserve"> service</w:t>
      </w:r>
      <w:r>
        <w:t>s</w:t>
      </w:r>
      <w:r w:rsidRPr="008005D2">
        <w:t xml:space="preserve"> de traduction de l’Organisation des Nations Unies.</w:t>
      </w:r>
    </w:p>
  </w:footnote>
  <w:footnote w:id="4">
    <w:p w:rsidR="00CF3875" w:rsidRDefault="00CF3875" w:rsidP="00A168B3">
      <w:pPr>
        <w:pStyle w:val="FootnoteText"/>
      </w:pPr>
      <w:r>
        <w:tab/>
      </w:r>
      <w:r>
        <w:rPr>
          <w:rStyle w:val="FootnoteReference"/>
        </w:rPr>
        <w:footnoteRef/>
      </w:r>
      <w:r>
        <w:tab/>
        <w:t>Le Centre européen pour les questions des minorités (ECMI) est une institution non partisane créée en 1996 par les Gouvernements du Royaume du Danemark, et de la République fédérale d’Allemagne et par le Land du Schleswig-Holstein. Le Bureau de l’ECMI en Géorgie a été ouvert en 2003.</w:t>
      </w:r>
    </w:p>
  </w:footnote>
  <w:footnote w:id="5">
    <w:p w:rsidR="00CF3875" w:rsidRDefault="00CF3875" w:rsidP="00CE1EF3">
      <w:pPr>
        <w:pStyle w:val="FootnoteText"/>
      </w:pPr>
      <w:r>
        <w:tab/>
      </w:r>
      <w:r>
        <w:rPr>
          <w:rStyle w:val="FootnoteReference"/>
        </w:rPr>
        <w:footnoteRef/>
      </w:r>
      <w:r>
        <w:tab/>
      </w:r>
      <w:r w:rsidRPr="0069307A">
        <w:rPr>
          <w:szCs w:val="18"/>
        </w:rPr>
        <w:t xml:space="preserve">L’article 408 du Code pénal </w:t>
      </w:r>
      <w:r>
        <w:rPr>
          <w:szCs w:val="18"/>
        </w:rPr>
        <w:t>géorgien</w:t>
      </w:r>
      <w:r w:rsidRPr="0069307A">
        <w:rPr>
          <w:szCs w:val="18"/>
        </w:rPr>
        <w:t xml:space="preserve"> définit le crime contre l’humanité comme «l’un </w:t>
      </w:r>
      <w:r>
        <w:rPr>
          <w:szCs w:val="18"/>
        </w:rPr>
        <w:t xml:space="preserve">quelconque </w:t>
      </w:r>
      <w:r w:rsidRPr="0069307A">
        <w:rPr>
          <w:szCs w:val="18"/>
        </w:rPr>
        <w:t xml:space="preserve">des actes suivants lorsqu’il est commis dans le cadre d’une agression généralisée ou systématique </w:t>
      </w:r>
      <w:r>
        <w:rPr>
          <w:szCs w:val="18"/>
        </w:rPr>
        <w:t>à l’encontre de</w:t>
      </w:r>
      <w:r w:rsidRPr="0069307A">
        <w:rPr>
          <w:szCs w:val="18"/>
        </w:rPr>
        <w:t xml:space="preserve"> personnes ou </w:t>
      </w:r>
      <w:r>
        <w:rPr>
          <w:szCs w:val="18"/>
        </w:rPr>
        <w:t xml:space="preserve">de populations </w:t>
      </w:r>
      <w:r w:rsidRPr="0069307A">
        <w:rPr>
          <w:szCs w:val="18"/>
        </w:rPr>
        <w:t>civile</w:t>
      </w:r>
      <w:r>
        <w:rPr>
          <w:szCs w:val="18"/>
        </w:rPr>
        <w:t>s</w:t>
      </w:r>
      <w:r w:rsidRPr="0069307A">
        <w:rPr>
          <w:szCs w:val="18"/>
        </w:rPr>
        <w:t xml:space="preserve">: meurtre, extermination, atteinte grave à la santé, </w:t>
      </w:r>
      <w:r>
        <w:rPr>
          <w:szCs w:val="18"/>
        </w:rPr>
        <w:t>expulsion</w:t>
      </w:r>
      <w:r w:rsidRPr="0069307A">
        <w:rPr>
          <w:szCs w:val="18"/>
        </w:rPr>
        <w:t>, privation illégale de liberté, torture, viol, esclavage sexuel, prostitution forcée, grossesse forcée, stérilisation forcée, persécution contre un groupe déterminé pour des motifs politiques, raciaux, nationaux, ethniques, culturels, religieux ou autres, apartheid ou autres actes inhumains portant gravement atteinte à l’intégrité physique ou mentale d’une personne».</w:t>
      </w:r>
    </w:p>
  </w:footnote>
  <w:footnote w:id="6">
    <w:p w:rsidR="00CF3875" w:rsidRDefault="00CF3875">
      <w:pPr>
        <w:pStyle w:val="FootnoteText"/>
      </w:pPr>
      <w:r>
        <w:tab/>
      </w:r>
      <w:r>
        <w:rPr>
          <w:rStyle w:val="FootnoteReference"/>
        </w:rPr>
        <w:footnoteRef/>
      </w:r>
      <w:r>
        <w:tab/>
      </w:r>
      <w:r w:rsidRPr="0069307A">
        <w:rPr>
          <w:szCs w:val="18"/>
        </w:rPr>
        <w:t xml:space="preserve">D’après l’article 407 du Code pénal </w:t>
      </w:r>
      <w:r>
        <w:rPr>
          <w:szCs w:val="18"/>
        </w:rPr>
        <w:t>géorgien</w:t>
      </w:r>
      <w:r w:rsidRPr="0069307A">
        <w:rPr>
          <w:szCs w:val="18"/>
        </w:rPr>
        <w:t xml:space="preserve">, le génocide est défini comme «une action visant à mettre en œuvre un plan convenu aux fins de l’élimination totale ou partielle d’un groupe national, ethnique, racial, religieux ou autre, perpétrée par des massacres, atteintes graves à la santé, </w:t>
      </w:r>
      <w:r>
        <w:rPr>
          <w:szCs w:val="18"/>
        </w:rPr>
        <w:t xml:space="preserve">soumission intentionnelle à des </w:t>
      </w:r>
      <w:r w:rsidRPr="0069307A">
        <w:rPr>
          <w:szCs w:val="18"/>
        </w:rPr>
        <w:t>conditions de vie difficiles, limitation forcée des naissances ou transfert forcé d’un enfant d’un groupe ethnique à un autre».</w:t>
      </w:r>
    </w:p>
  </w:footnote>
  <w:footnote w:id="7">
    <w:p w:rsidR="00CF3875" w:rsidRDefault="00CF3875">
      <w:pPr>
        <w:pStyle w:val="FootnoteText"/>
      </w:pPr>
      <w:r>
        <w:tab/>
      </w:r>
      <w:r>
        <w:rPr>
          <w:rStyle w:val="FootnoteReference"/>
        </w:rPr>
        <w:footnoteRef/>
      </w:r>
      <w:r>
        <w:tab/>
      </w:r>
      <w:r w:rsidRPr="0069307A">
        <w:rPr>
          <w:bCs/>
          <w:szCs w:val="18"/>
          <w:lang w:val="en-US"/>
        </w:rPr>
        <w:t xml:space="preserve">Giorgi Sordia, </w:t>
      </w:r>
      <w:r w:rsidRPr="0069307A">
        <w:rPr>
          <w:bCs/>
          <w:i/>
          <w:szCs w:val="18"/>
          <w:lang w:val="en-US"/>
        </w:rPr>
        <w:t>A Way Out? Initial Steps Towards Addressing Romani Issues in Georgia</w:t>
      </w:r>
      <w:r w:rsidRPr="0069307A">
        <w:rPr>
          <w:bCs/>
          <w:szCs w:val="18"/>
          <w:lang w:val="en-US"/>
        </w:rPr>
        <w:t xml:space="preserve">, </w:t>
      </w:r>
      <w:r w:rsidRPr="0069307A">
        <w:rPr>
          <w:bCs/>
          <w:szCs w:val="18"/>
          <w:lang w:val="fr-FR"/>
        </w:rPr>
        <w:t xml:space="preserve">Bulletin d’information </w:t>
      </w:r>
      <w:r>
        <w:rPr>
          <w:bCs/>
          <w:szCs w:val="18"/>
          <w:lang w:val="fr-FR"/>
        </w:rPr>
        <w:t>de l’ECMI</w:t>
      </w:r>
      <w:r w:rsidRPr="0069307A">
        <w:rPr>
          <w:bCs/>
          <w:szCs w:val="18"/>
          <w:lang w:val="fr-FR"/>
        </w:rPr>
        <w:t xml:space="preserve"> </w:t>
      </w:r>
      <w:r w:rsidRPr="00B5379F">
        <w:rPr>
          <w:rFonts w:eastAsia="MS Mincho"/>
          <w:bCs/>
          <w:szCs w:val="18"/>
          <w:lang w:val="fr-FR"/>
        </w:rPr>
        <w:t>n</w:t>
      </w:r>
      <w:r w:rsidRPr="00B5379F">
        <w:rPr>
          <w:rFonts w:eastAsia="MS Mincho"/>
          <w:bCs/>
          <w:szCs w:val="18"/>
          <w:vertAlign w:val="superscript"/>
          <w:lang w:val="fr-FR"/>
        </w:rPr>
        <w:t>o</w:t>
      </w:r>
      <w:r>
        <w:rPr>
          <w:bCs/>
          <w:szCs w:val="18"/>
          <w:lang w:val="fr-FR"/>
        </w:rPr>
        <w:t xml:space="preserve"> </w:t>
      </w:r>
      <w:r w:rsidRPr="0069307A">
        <w:rPr>
          <w:bCs/>
          <w:szCs w:val="18"/>
          <w:lang w:val="fr-FR"/>
        </w:rPr>
        <w:t xml:space="preserve">21, mai 2009, voir </w:t>
      </w:r>
      <w:hyperlink r:id="rId1" w:history="1">
        <w:r w:rsidRPr="0069307A">
          <w:rPr>
            <w:rStyle w:val="Hyperlink"/>
            <w:szCs w:val="18"/>
            <w:lang w:val="fr-FR"/>
          </w:rPr>
          <w:t>h</w:t>
        </w:r>
        <w:r w:rsidRPr="0069307A">
          <w:rPr>
            <w:rStyle w:val="Hyperlink"/>
            <w:szCs w:val="18"/>
            <w:lang w:val="fr-FR"/>
          </w:rPr>
          <w:t>t</w:t>
        </w:r>
        <w:r w:rsidRPr="0069307A">
          <w:rPr>
            <w:rStyle w:val="Hyperlink"/>
            <w:szCs w:val="18"/>
            <w:lang w:val="fr-FR"/>
          </w:rPr>
          <w:t>tp://www.ecmicaucasus.org/upload/publications/</w:t>
        </w:r>
        <w:r w:rsidRPr="0069307A">
          <w:rPr>
            <w:rStyle w:val="Hyperlink"/>
            <w:szCs w:val="18"/>
            <w:lang w:val="fr-FR"/>
          </w:rPr>
          <w:br/>
          <w:t>brief_21_eng.pdf</w:t>
        </w:r>
      </w:hyperlink>
      <w:r w:rsidRPr="0069307A">
        <w:rPr>
          <w:szCs w:val="18"/>
          <w:lang w:val="en-US"/>
        </w:rPr>
        <w:t>.</w:t>
      </w:r>
    </w:p>
  </w:footnote>
  <w:footnote w:id="8">
    <w:p w:rsidR="00CF3875" w:rsidRDefault="00CF3875" w:rsidP="00D4755F">
      <w:pPr>
        <w:pStyle w:val="FootnoteText"/>
      </w:pPr>
      <w:r>
        <w:tab/>
      </w:r>
      <w:r>
        <w:rPr>
          <w:rStyle w:val="FootnoteReference"/>
        </w:rPr>
        <w:footnoteRef/>
      </w:r>
      <w:r>
        <w:tab/>
      </w:r>
      <w:r w:rsidRPr="0069307A">
        <w:t xml:space="preserve">Le Gouvernement géorgien n’est pas en mesure de fournir des </w:t>
      </w:r>
      <w:r w:rsidRPr="00D4755F">
        <w:t>informations</w:t>
      </w:r>
      <w:r w:rsidRPr="0069307A">
        <w:t xml:space="preserve"> à ce sujet, dans la mesure où il ne peut exercer un contrôle dans les territoires occupés.</w:t>
      </w:r>
    </w:p>
  </w:footnote>
  <w:footnote w:id="9">
    <w:p w:rsidR="00CF3875" w:rsidRPr="0069307A" w:rsidRDefault="00CF3875" w:rsidP="00D4755F">
      <w:pPr>
        <w:pStyle w:val="FootnoteText"/>
      </w:pPr>
      <w:r w:rsidRPr="0069307A">
        <w:tab/>
      </w:r>
      <w:r w:rsidRPr="0069307A">
        <w:rPr>
          <w:rStyle w:val="FootnoteReference"/>
          <w:szCs w:val="18"/>
        </w:rPr>
        <w:footnoteRef/>
      </w:r>
      <w:r w:rsidRPr="0069307A">
        <w:tab/>
        <w:t xml:space="preserve">Giorgi Sordia, </w:t>
      </w:r>
      <w:r w:rsidRPr="0069307A">
        <w:rPr>
          <w:i/>
        </w:rPr>
        <w:t>A Way Out? Initial St</w:t>
      </w:r>
      <w:r>
        <w:rPr>
          <w:i/>
        </w:rPr>
        <w:t>e</w:t>
      </w:r>
      <w:r w:rsidRPr="0069307A">
        <w:rPr>
          <w:i/>
        </w:rPr>
        <w:t>ps Towards Addressing Romani Issues in Georgia</w:t>
      </w:r>
      <w:r w:rsidRPr="0069307A">
        <w:t xml:space="preserve">, </w:t>
      </w:r>
      <w:r w:rsidRPr="00D4755F">
        <w:t>Bulletin</w:t>
      </w:r>
      <w:r w:rsidRPr="0069307A">
        <w:t xml:space="preserve"> d’information </w:t>
      </w:r>
      <w:r>
        <w:t xml:space="preserve">de l’ECMI </w:t>
      </w:r>
      <w:r w:rsidRPr="00D2377C">
        <w:rPr>
          <w:rFonts w:eastAsia="MS Mincho"/>
        </w:rPr>
        <w:t>n</w:t>
      </w:r>
      <w:r w:rsidRPr="00D2377C">
        <w:rPr>
          <w:rFonts w:eastAsia="MS Mincho"/>
          <w:vertAlign w:val="superscript"/>
        </w:rPr>
        <w:t>o</w:t>
      </w:r>
      <w:r>
        <w:rPr>
          <w:rFonts w:eastAsia="MS Mincho"/>
        </w:rPr>
        <w:t> </w:t>
      </w:r>
      <w:r w:rsidRPr="0069307A">
        <w:t xml:space="preserve">21, mai 2009, p. 11 et 12. </w:t>
      </w:r>
    </w:p>
  </w:footnote>
  <w:footnote w:id="10">
    <w:p w:rsidR="00CF3875" w:rsidRPr="0069307A" w:rsidRDefault="00CF3875" w:rsidP="00D4755F">
      <w:pPr>
        <w:pStyle w:val="FootnoteText"/>
      </w:pPr>
      <w:r w:rsidRPr="0069307A">
        <w:tab/>
      </w:r>
      <w:r w:rsidRPr="0069307A">
        <w:rPr>
          <w:rStyle w:val="FootnoteReference"/>
          <w:szCs w:val="18"/>
        </w:rPr>
        <w:footnoteRef/>
      </w:r>
      <w:r w:rsidRPr="0069307A">
        <w:tab/>
        <w:t>Il convient de signaler que l’enregistrement de la popu</w:t>
      </w:r>
      <w:r>
        <w:t>lation rom a été mené</w:t>
      </w:r>
      <w:r w:rsidRPr="0069307A">
        <w:t xml:space="preserve"> dans </w:t>
      </w:r>
      <w:r w:rsidRPr="00D4755F">
        <w:t>les</w:t>
      </w:r>
      <w:r w:rsidRPr="0069307A">
        <w:t xml:space="preserve"> campements roms par des unités mobiles des services de l’état civil du Ministère de la justice </w:t>
      </w:r>
      <w:r>
        <w:t>géorgien</w:t>
      </w:r>
      <w:r w:rsidRPr="0069307A">
        <w:t>.</w:t>
      </w:r>
    </w:p>
  </w:footnote>
  <w:footnote w:id="11">
    <w:p w:rsidR="00CF3875" w:rsidRPr="0069307A" w:rsidRDefault="00CF3875" w:rsidP="00D4755F">
      <w:pPr>
        <w:pStyle w:val="FootnoteText"/>
      </w:pPr>
      <w:r w:rsidRPr="0069307A">
        <w:tab/>
      </w:r>
      <w:r w:rsidRPr="0069307A">
        <w:rPr>
          <w:rStyle w:val="FootnoteReference"/>
          <w:szCs w:val="18"/>
        </w:rPr>
        <w:footnoteRef/>
      </w:r>
      <w:r w:rsidRPr="0069307A">
        <w:tab/>
        <w:t xml:space="preserve">Giorgi </w:t>
      </w:r>
      <w:r w:rsidRPr="00D4755F">
        <w:t>Sordia</w:t>
      </w:r>
      <w:r w:rsidRPr="0069307A">
        <w:t xml:space="preserve">, </w:t>
      </w:r>
      <w:r w:rsidRPr="0069307A">
        <w:rPr>
          <w:i/>
        </w:rPr>
        <w:t>A Way Out? Initial St</w:t>
      </w:r>
      <w:r>
        <w:rPr>
          <w:i/>
        </w:rPr>
        <w:t>e</w:t>
      </w:r>
      <w:r w:rsidRPr="0069307A">
        <w:rPr>
          <w:i/>
        </w:rPr>
        <w:t>ps Towards Addressing Romani Issues in Georgia</w:t>
      </w:r>
      <w:r w:rsidRPr="0069307A">
        <w:t xml:space="preserve">, Bulletin d’information </w:t>
      </w:r>
      <w:r>
        <w:t xml:space="preserve">de l’ECMI </w:t>
      </w:r>
      <w:r w:rsidRPr="002D212D">
        <w:rPr>
          <w:rFonts w:eastAsia="MS Mincho"/>
        </w:rPr>
        <w:t>n</w:t>
      </w:r>
      <w:r w:rsidRPr="002D212D">
        <w:rPr>
          <w:rFonts w:eastAsia="MS Mincho"/>
          <w:vertAlign w:val="superscript"/>
        </w:rPr>
        <w:t>o</w:t>
      </w:r>
      <w:r>
        <w:rPr>
          <w:rFonts w:eastAsia="MS Mincho"/>
        </w:rPr>
        <w:t> </w:t>
      </w:r>
      <w:r w:rsidRPr="0069307A">
        <w:t xml:space="preserve">21, mai 2009, p. 12. </w:t>
      </w:r>
    </w:p>
  </w:footnote>
  <w:footnote w:id="12">
    <w:p w:rsidR="00CF3875" w:rsidRPr="0069307A" w:rsidRDefault="00CF3875" w:rsidP="00D4755F">
      <w:pPr>
        <w:pStyle w:val="FootnoteText"/>
      </w:pPr>
      <w:r w:rsidRPr="0069307A">
        <w:tab/>
      </w:r>
      <w:r w:rsidRPr="0069307A">
        <w:rPr>
          <w:rStyle w:val="FootnoteReference"/>
          <w:szCs w:val="18"/>
        </w:rPr>
        <w:footnoteRef/>
      </w:r>
      <w:r w:rsidRPr="0069307A">
        <w:tab/>
        <w:t xml:space="preserve">Aux termes de l’article 7 de la loi </w:t>
      </w:r>
      <w:r>
        <w:t>géorgienne</w:t>
      </w:r>
      <w:r w:rsidRPr="0069307A">
        <w:t xml:space="preserve"> sur </w:t>
      </w:r>
      <w:r>
        <w:t>l’enseignement général</w:t>
      </w:r>
      <w:r w:rsidRPr="0069307A">
        <w:t xml:space="preserve"> «</w:t>
      </w:r>
      <w:r>
        <w:t>chacun</w:t>
      </w:r>
      <w:r w:rsidRPr="0069307A">
        <w:t xml:space="preserve"> a le droit de recevoir une éducation</w:t>
      </w:r>
      <w:r>
        <w:t xml:space="preserve"> sous une forme qu’il est libre de choisir</w:t>
      </w:r>
      <w:r w:rsidRPr="0069307A">
        <w:t>»</w:t>
      </w:r>
      <w:r>
        <w:t xml:space="preserve"> et l’article 13 dispose qu’</w:t>
      </w:r>
      <w:r w:rsidRPr="0069307A">
        <w:t xml:space="preserve">«aucune forme de discrimination n’est </w:t>
      </w:r>
      <w:r w:rsidRPr="00D4755F">
        <w:t>autorisée</w:t>
      </w:r>
      <w:r w:rsidRPr="0069307A">
        <w:t xml:space="preserve"> à l’école […] qui encourage l’instauration de la tolérance et du respect </w:t>
      </w:r>
      <w:r>
        <w:t>mutuel</w:t>
      </w:r>
      <w:r w:rsidRPr="0069307A">
        <w:t xml:space="preserve"> entre élèves, parents ou enseignants, quelles que soient leur appartenance sociale, ethnique, religieuse, linguistique et leur vision du monde et qui doit garantir le droit individuel et collectif des membres des minorités à utiliser leur langue maternelle, à préserver et à exprimer leurs valeurs culturelles sur la base de l’égalité».</w:t>
      </w:r>
    </w:p>
  </w:footnote>
  <w:footnote w:id="13">
    <w:p w:rsidR="00CF3875" w:rsidRPr="00BA524F" w:rsidRDefault="00CF3875" w:rsidP="00D4755F">
      <w:pPr>
        <w:pStyle w:val="FootnoteText"/>
      </w:pPr>
      <w:r>
        <w:tab/>
      </w:r>
      <w:r>
        <w:rPr>
          <w:rStyle w:val="FootnoteReference"/>
        </w:rPr>
        <w:footnoteRef/>
      </w:r>
      <w:r>
        <w:tab/>
        <w:t xml:space="preserve">Les </w:t>
      </w:r>
      <w:r>
        <w:rPr>
          <w:rFonts w:eastAsia="MS Mincho"/>
          <w:lang w:val="fr-FR"/>
        </w:rPr>
        <w:t xml:space="preserve">personnes déplacées de force ont été exilées de l’ex-République socialiste soviétique de Géorgie vers d’autres ex-Républiques soviétiques par le décret </w:t>
      </w:r>
      <w:r w:rsidRPr="000F0B37">
        <w:rPr>
          <w:rFonts w:eastAsia="MS Mincho"/>
          <w:lang w:val="fr-FR"/>
        </w:rPr>
        <w:t>n</w:t>
      </w:r>
      <w:r w:rsidRPr="000F0B37">
        <w:rPr>
          <w:rFonts w:eastAsia="MS Mincho"/>
          <w:vertAlign w:val="superscript"/>
          <w:lang w:val="fr-FR"/>
        </w:rPr>
        <w:t>o</w:t>
      </w:r>
      <w:r>
        <w:rPr>
          <w:rFonts w:eastAsia="MS Mincho"/>
          <w:lang w:val="fr-FR"/>
        </w:rPr>
        <w:t> 6279 cc du Comité de sécurité de l’URSS en 1944.</w:t>
      </w:r>
    </w:p>
  </w:footnote>
  <w:footnote w:id="14">
    <w:p w:rsidR="00CF3875" w:rsidRPr="00BA524F" w:rsidRDefault="00CF3875" w:rsidP="00D4755F">
      <w:pPr>
        <w:pStyle w:val="FootnoteText"/>
      </w:pPr>
      <w:r>
        <w:tab/>
      </w:r>
      <w:r>
        <w:rPr>
          <w:rStyle w:val="FootnoteReference"/>
        </w:rPr>
        <w:footnoteRef/>
      </w:r>
      <w:r>
        <w:tab/>
        <w:t xml:space="preserve">Amendement </w:t>
      </w:r>
      <w:r>
        <w:rPr>
          <w:rFonts w:eastAsia="MS Mincho"/>
        </w:rPr>
        <w:t>n</w:t>
      </w:r>
      <w:r>
        <w:rPr>
          <w:rFonts w:eastAsia="MS Mincho"/>
          <w:vertAlign w:val="superscript"/>
        </w:rPr>
        <w:t>o</w:t>
      </w:r>
      <w:r>
        <w:t xml:space="preserve"> 2204 du 1</w:t>
      </w:r>
      <w:r w:rsidRPr="002C65BC">
        <w:rPr>
          <w:vertAlign w:val="superscript"/>
        </w:rPr>
        <w:t>er</w:t>
      </w:r>
      <w:r>
        <w:t xml:space="preserve"> décembre 2009 à la loi sur le rapatriement des personnes déplacées de force de la République socialiste soviétique de Géorgie par l’ex-URSS au cours des années 1940. </w:t>
      </w:r>
    </w:p>
  </w:footnote>
  <w:footnote w:id="15">
    <w:p w:rsidR="00CF3875" w:rsidRPr="00BA524F" w:rsidRDefault="00CF3875" w:rsidP="00D4755F">
      <w:pPr>
        <w:pStyle w:val="FootnoteText"/>
      </w:pPr>
      <w:r>
        <w:tab/>
      </w:r>
      <w:r>
        <w:rPr>
          <w:rStyle w:val="FootnoteReference"/>
        </w:rPr>
        <w:footnoteRef/>
      </w:r>
      <w:r>
        <w:tab/>
        <w:t>Pour qu’une personne puisse être représentée dans des affaires pénales, elle doit répondre à certains critères financiers: être inscrite dans la base de données unifiée pour les familles socialement vulnérables et avoir au maximum 70 000 points ou 100 000, pour certaines catégories.</w:t>
      </w:r>
    </w:p>
  </w:footnote>
  <w:footnote w:id="16">
    <w:p w:rsidR="00CF3875" w:rsidRPr="00BA524F" w:rsidRDefault="00CF3875" w:rsidP="00D4755F">
      <w:pPr>
        <w:pStyle w:val="FootnoteText"/>
      </w:pPr>
      <w:r>
        <w:tab/>
      </w:r>
      <w:r>
        <w:rPr>
          <w:rStyle w:val="FootnoteReference"/>
        </w:rPr>
        <w:footnoteRef/>
      </w:r>
      <w:r>
        <w:tab/>
        <w:t xml:space="preserve">Par exemple, la loi </w:t>
      </w:r>
      <w:r>
        <w:rPr>
          <w:rFonts w:eastAsia="MS Mincho"/>
        </w:rPr>
        <w:t>n</w:t>
      </w:r>
      <w:r>
        <w:rPr>
          <w:rFonts w:eastAsia="MS Mincho"/>
          <w:vertAlign w:val="superscript"/>
        </w:rPr>
        <w:t>o</w:t>
      </w:r>
      <w:r>
        <w:t xml:space="preserve"> 1139 de Géorgie sur la protection de la santé du 10 décembre 1997. </w:t>
      </w:r>
    </w:p>
  </w:footnote>
  <w:footnote w:id="17">
    <w:p w:rsidR="00CF3875" w:rsidRPr="00BA524F" w:rsidRDefault="00CF3875" w:rsidP="00D4755F">
      <w:pPr>
        <w:pStyle w:val="FootnoteText"/>
      </w:pPr>
      <w:r>
        <w:tab/>
      </w:r>
      <w:r>
        <w:rPr>
          <w:rStyle w:val="FootnoteReference"/>
        </w:rPr>
        <w:footnoteRef/>
      </w:r>
      <w:r>
        <w:tab/>
        <w:t>Ordonnance du Ministère du travail, de la santé et des affaires sociales de Géorgie du 25 mars 2009 sur l’élaboration de programmes de santé publique pour 2009.</w:t>
      </w:r>
    </w:p>
  </w:footnote>
  <w:footnote w:id="18">
    <w:p w:rsidR="00CF3875" w:rsidRPr="00BA524F" w:rsidRDefault="00CF3875" w:rsidP="00D4755F">
      <w:pPr>
        <w:pStyle w:val="FootnoteText"/>
      </w:pPr>
      <w:r>
        <w:tab/>
      </w:r>
      <w:r>
        <w:rPr>
          <w:rStyle w:val="FootnoteReference"/>
        </w:rPr>
        <w:footnoteRef/>
      </w:r>
      <w:r>
        <w:tab/>
        <w:t xml:space="preserve">De plus, le décret </w:t>
      </w:r>
      <w:r>
        <w:rPr>
          <w:rFonts w:eastAsia="MS Mincho"/>
        </w:rPr>
        <w:t>n</w:t>
      </w:r>
      <w:r>
        <w:rPr>
          <w:rFonts w:eastAsia="MS Mincho"/>
          <w:vertAlign w:val="superscript"/>
        </w:rPr>
        <w:t>o</w:t>
      </w:r>
      <w:r>
        <w:t xml:space="preserve"> 401 du Président de la Géorgie, du 28 juin 2006, sur l’adoption du statut des règles d’expulsion des étrangers de Géorgie décrit explicitement la procédure d’expulsion.</w:t>
      </w:r>
    </w:p>
  </w:footnote>
  <w:footnote w:id="19">
    <w:p w:rsidR="00CF3875" w:rsidRPr="00F92884" w:rsidRDefault="00CF3875" w:rsidP="00625336">
      <w:pPr>
        <w:pStyle w:val="FootnoteText"/>
        <w:rPr>
          <w:lang w:val="fr-FR"/>
        </w:rPr>
      </w:pPr>
      <w:r>
        <w:tab/>
      </w:r>
      <w:r w:rsidRPr="006F1236">
        <w:rPr>
          <w:rStyle w:val="FootnoteReference"/>
        </w:rPr>
        <w:footnoteRef/>
      </w:r>
      <w:r>
        <w:tab/>
        <w:t xml:space="preserve">Voir </w:t>
      </w:r>
      <w:r w:rsidRPr="00DD7310">
        <w:rPr>
          <w:i/>
        </w:rPr>
        <w:t>Shamayev et autres</w:t>
      </w:r>
      <w:r>
        <w:t xml:space="preserve"> c. </w:t>
      </w:r>
      <w:r w:rsidRPr="00DD7310">
        <w:rPr>
          <w:i/>
        </w:rPr>
        <w:t>Géorgie et Russie</w:t>
      </w:r>
      <w:r>
        <w:t xml:space="preserve">, requête </w:t>
      </w:r>
      <w:r>
        <w:rPr>
          <w:rFonts w:eastAsia="MS Mincho"/>
        </w:rPr>
        <w:t>n</w:t>
      </w:r>
      <w:r>
        <w:rPr>
          <w:rFonts w:eastAsia="MS Mincho"/>
          <w:vertAlign w:val="superscript"/>
        </w:rPr>
        <w:t>o</w:t>
      </w:r>
      <w:r>
        <w:t> 36378/02, 12 avril 2005.</w:t>
      </w:r>
    </w:p>
  </w:footnote>
  <w:footnote w:id="20">
    <w:p w:rsidR="00CF3875" w:rsidRPr="00F92884" w:rsidRDefault="00CF3875" w:rsidP="00625336">
      <w:pPr>
        <w:pStyle w:val="FootnoteText"/>
        <w:rPr>
          <w:lang w:val="fr-FR"/>
        </w:rPr>
      </w:pPr>
      <w:r>
        <w:tab/>
      </w:r>
      <w:r w:rsidRPr="006F1236">
        <w:rPr>
          <w:rStyle w:val="FootnoteReference"/>
        </w:rPr>
        <w:footnoteRef/>
      </w:r>
      <w:r>
        <w:tab/>
        <w:t xml:space="preserve">Modification </w:t>
      </w:r>
      <w:r>
        <w:rPr>
          <w:rFonts w:eastAsia="MS Mincho"/>
        </w:rPr>
        <w:t>n</w:t>
      </w:r>
      <w:r>
        <w:rPr>
          <w:rFonts w:eastAsia="MS Mincho"/>
          <w:vertAlign w:val="superscript"/>
        </w:rPr>
        <w:t>o</w:t>
      </w:r>
      <w:r>
        <w:t> 5973 à la loi géorgienne</w:t>
      </w:r>
      <w:r>
        <w:rPr>
          <w:lang w:val="fr-FR"/>
        </w:rPr>
        <w:t xml:space="preserve"> sur les règles d’enregistrement des citoyens </w:t>
      </w:r>
      <w:r w:rsidRPr="0017720E">
        <w:t>géorgiens</w:t>
      </w:r>
      <w:r>
        <w:rPr>
          <w:lang w:val="fr-FR"/>
        </w:rPr>
        <w:t xml:space="preserve"> et des étrangers résidant en Géorgie et sur l’émission de cartes d’identité individuelles (permis de résidence) et des passeports pour les citoyens géorgiens, 21 mars 2008.</w:t>
      </w:r>
    </w:p>
  </w:footnote>
  <w:footnote w:id="21">
    <w:p w:rsidR="00CF3875" w:rsidRPr="0035459E" w:rsidRDefault="00CF3875" w:rsidP="00625336">
      <w:pPr>
        <w:pStyle w:val="FootnoteText"/>
        <w:rPr>
          <w:lang w:val="fr-FR"/>
        </w:rPr>
      </w:pPr>
      <w:r>
        <w:tab/>
      </w:r>
      <w:r w:rsidRPr="006F1236">
        <w:rPr>
          <w:rStyle w:val="FootnoteReference"/>
        </w:rPr>
        <w:footnoteRef/>
      </w:r>
      <w:r>
        <w:tab/>
        <w:t xml:space="preserve">En 2006-2008, le Conseil norvégien pour les réfugiés a </w:t>
      </w:r>
      <w:r>
        <w:rPr>
          <w:rFonts w:eastAsia="MS Mincho"/>
        </w:rPr>
        <w:t xml:space="preserve">par </w:t>
      </w:r>
      <w:r w:rsidRPr="00862A47">
        <w:rPr>
          <w:rFonts w:eastAsia="MS Mincho"/>
        </w:rPr>
        <w:t>exemple</w:t>
      </w:r>
      <w:r>
        <w:t xml:space="preserve"> réalisé 48 projets générateurs de revenus avec un budget de 350 226 lari.</w:t>
      </w:r>
    </w:p>
  </w:footnote>
  <w:footnote w:id="22">
    <w:p w:rsidR="00CF3875" w:rsidRPr="009F4134" w:rsidRDefault="00CF3875" w:rsidP="00625336">
      <w:pPr>
        <w:pStyle w:val="FootnoteText"/>
        <w:rPr>
          <w:lang w:val="fr-FR"/>
        </w:rPr>
      </w:pPr>
      <w:r>
        <w:tab/>
      </w:r>
      <w:r w:rsidRPr="006F1236">
        <w:rPr>
          <w:rStyle w:val="FootnoteReference"/>
        </w:rPr>
        <w:footnoteRef/>
      </w:r>
      <w:r>
        <w:tab/>
        <w:t>L’article 19 de la Constitution de Géorgie énonce que «Quiconque a droit à la liberté d’expression, de pensée et de conscience, de religion et de croyance. Il n’est pas permis de persécuter une personne pour ses propos, ses pensées, sa religion ou ses croyances et son désir de s’exprimer à leur sujet.».</w:t>
      </w:r>
    </w:p>
  </w:footnote>
  <w:footnote w:id="23">
    <w:p w:rsidR="00CF3875" w:rsidRDefault="00CF3875" w:rsidP="00625336">
      <w:pPr>
        <w:pStyle w:val="FootnoteText"/>
      </w:pPr>
      <w:r>
        <w:tab/>
      </w:r>
      <w:r w:rsidRPr="006F1236">
        <w:rPr>
          <w:rStyle w:val="FootnoteReference"/>
        </w:rPr>
        <w:footnoteRef/>
      </w:r>
      <w:r>
        <w:tab/>
      </w:r>
      <w:r w:rsidRPr="005D669D">
        <w:rPr>
          <w:i/>
        </w:rPr>
        <w:t>Supra</w:t>
      </w:r>
      <w:r>
        <w:t>, note 17, art. 6 2).</w:t>
      </w:r>
    </w:p>
  </w:footnote>
  <w:footnote w:id="24">
    <w:p w:rsidR="00CF3875" w:rsidRDefault="00CF3875" w:rsidP="00625336">
      <w:pPr>
        <w:pStyle w:val="FootnoteText"/>
      </w:pPr>
      <w:r>
        <w:tab/>
      </w:r>
      <w:r w:rsidRPr="006F1236">
        <w:rPr>
          <w:rStyle w:val="FootnoteReference"/>
        </w:rPr>
        <w:footnoteRef/>
      </w:r>
      <w:r>
        <w:tab/>
        <w:t>Art. 12 et 13 de la loi organique géorgienne sur le Défenseur du peuple de Géorgie.</w:t>
      </w:r>
    </w:p>
  </w:footnote>
  <w:footnote w:id="25">
    <w:p w:rsidR="00CF3875" w:rsidRDefault="00CF3875" w:rsidP="00625336">
      <w:pPr>
        <w:pStyle w:val="FootnoteText"/>
      </w:pPr>
      <w:r>
        <w:tab/>
      </w:r>
      <w:r w:rsidRPr="006F1236">
        <w:rPr>
          <w:rStyle w:val="FootnoteReference"/>
        </w:rPr>
        <w:footnoteRef/>
      </w:r>
      <w:r>
        <w:tab/>
        <w:t>Ibid., art. 19 2).</w:t>
      </w:r>
    </w:p>
  </w:footnote>
  <w:footnote w:id="26">
    <w:p w:rsidR="00CF3875" w:rsidRDefault="00CF3875" w:rsidP="00625336">
      <w:pPr>
        <w:pStyle w:val="FootnoteText"/>
      </w:pPr>
      <w:r>
        <w:tab/>
      </w:r>
      <w:r w:rsidRPr="006F1236">
        <w:rPr>
          <w:rStyle w:val="FootnoteReference"/>
        </w:rPr>
        <w:footnoteRef/>
      </w:r>
      <w:r>
        <w:tab/>
        <w:t>Ibid.</w:t>
      </w:r>
    </w:p>
  </w:footnote>
  <w:footnote w:id="27">
    <w:p w:rsidR="00CF3875" w:rsidRDefault="00CF3875" w:rsidP="00625336">
      <w:pPr>
        <w:pStyle w:val="FootnoteText"/>
      </w:pPr>
      <w:r>
        <w:tab/>
      </w:r>
      <w:r w:rsidRPr="006F1236">
        <w:rPr>
          <w:rStyle w:val="FootnoteReference"/>
        </w:rPr>
        <w:footnoteRef/>
      </w:r>
      <w:r>
        <w:tab/>
        <w:t xml:space="preserve">Modification </w:t>
      </w:r>
      <w:r>
        <w:rPr>
          <w:rFonts w:eastAsia="MS Mincho"/>
        </w:rPr>
        <w:t>n</w:t>
      </w:r>
      <w:r>
        <w:rPr>
          <w:rFonts w:eastAsia="MS Mincho"/>
          <w:vertAlign w:val="superscript"/>
        </w:rPr>
        <w:t>o</w:t>
      </w:r>
      <w:r>
        <w:t xml:space="preserve"> 1462 du 16 juillet 2009 à la loi organique géorgienne sur le Défenseur du peuple de Géorgie.</w:t>
      </w:r>
    </w:p>
  </w:footnote>
  <w:footnote w:id="28">
    <w:p w:rsidR="00CF3875" w:rsidRPr="00E32B7C" w:rsidRDefault="00CF3875" w:rsidP="00625336">
      <w:pPr>
        <w:pStyle w:val="FootnoteText"/>
      </w:pPr>
      <w:r w:rsidRPr="00E32B7C">
        <w:tab/>
      </w:r>
      <w:r w:rsidRPr="006F1236">
        <w:rPr>
          <w:rStyle w:val="FootnoteReference"/>
        </w:rPr>
        <w:footnoteRef/>
      </w:r>
      <w:r w:rsidRPr="00E32B7C">
        <w:tab/>
        <w:t>Voir le site Internet du HCR (</w:t>
      </w:r>
      <w:hyperlink r:id="rId2" w:history="1">
        <w:r w:rsidRPr="00E32B7C">
          <w:rPr>
            <w:rStyle w:val="Normal"/>
          </w:rPr>
          <w:t>http://www2.ohchr.org/english/bodies/cat/opcat/mechanisms.htm</w:t>
        </w:r>
      </w:hyperlink>
      <w:r w:rsidRPr="00E32B7C">
        <w:t>) pour obtenir des informations plus détaillées: le Défenseur du peuple</w:t>
      </w:r>
      <w:r>
        <w:t xml:space="preserve"> a soumis au Sous-Comité pour la prévention de la torture le rapport qui décrit les mesures législatives et institutionnelles prises par le Gouvernement géorgien dans le cadre de la lutte contre la torture et autres traitements cruels, inhumains ou dégradants.</w:t>
      </w:r>
    </w:p>
  </w:footnote>
  <w:footnote w:id="29">
    <w:p w:rsidR="00CF3875" w:rsidRDefault="00CF3875" w:rsidP="003350BE">
      <w:pPr>
        <w:pStyle w:val="FootnoteText"/>
      </w:pPr>
      <w:r>
        <w:tab/>
      </w:r>
      <w:r>
        <w:rPr>
          <w:rStyle w:val="FootnoteReference"/>
        </w:rPr>
        <w:footnoteRef/>
      </w:r>
      <w:r>
        <w:tab/>
      </w:r>
      <w:r w:rsidRPr="005C009E">
        <w:t>Voir par exemple la contribution du Gouvernement géorgien au rapport du Secrétaire général sur l</w:t>
      </w:r>
      <w:r>
        <w:t>’</w:t>
      </w:r>
      <w:r w:rsidRPr="005C009E">
        <w:t>application de la résolution de l</w:t>
      </w:r>
      <w:r>
        <w:t>’</w:t>
      </w:r>
      <w:r w:rsidRPr="005C009E">
        <w:t>Assemblée générale A/61/149 du 19 décembre 2006, intitulée «Efforts déployés au niveau mondial pour éliminer totalement le racisme, la discrimination raciale, la xénophobie et l</w:t>
      </w:r>
      <w:r>
        <w:t>’</w:t>
      </w:r>
      <w:r w:rsidRPr="005C009E">
        <w:t>intolérance qui y est associée et pour assurer l</w:t>
      </w:r>
      <w:r>
        <w:t xml:space="preserve">a </w:t>
      </w:r>
      <w:r w:rsidRPr="005C009E">
        <w:t xml:space="preserve">mise en œuvre </w:t>
      </w:r>
      <w:r>
        <w:t xml:space="preserve">intégrale </w:t>
      </w:r>
      <w:r w:rsidRPr="005C009E">
        <w:t>et le suivi de la Déclaration et du Programme d</w:t>
      </w:r>
      <w:r>
        <w:t>’action de Durban»</w:t>
      </w:r>
      <w:r w:rsidRPr="005C009E">
        <w:t>.</w:t>
      </w:r>
    </w:p>
  </w:footnote>
  <w:footnote w:id="30">
    <w:p w:rsidR="00CF3875" w:rsidRPr="005C009E" w:rsidRDefault="00CF3875" w:rsidP="003350BE">
      <w:pPr>
        <w:pStyle w:val="FootnoteText"/>
      </w:pPr>
      <w:r w:rsidRPr="005C009E">
        <w:tab/>
      </w:r>
      <w:r w:rsidRPr="00255461">
        <w:rPr>
          <w:rStyle w:val="FootnoteReference"/>
        </w:rPr>
        <w:footnoteRef/>
      </w:r>
      <w:r w:rsidRPr="005C009E">
        <w:tab/>
        <w:t xml:space="preserve">Voir la note 2 </w:t>
      </w:r>
      <w:r w:rsidRPr="000C58DF">
        <w:rPr>
          <w:i/>
        </w:rPr>
        <w:t>(supra</w:t>
      </w:r>
      <w:r w:rsidRPr="005C009E">
        <w:t>) pour la définition du crime contre l</w:t>
      </w:r>
      <w:r>
        <w:t>’</w:t>
      </w:r>
      <w:r w:rsidRPr="005C009E">
        <w:t>humanité.</w:t>
      </w:r>
    </w:p>
  </w:footnote>
  <w:footnote w:id="31">
    <w:p w:rsidR="00CF3875" w:rsidRPr="005C009E" w:rsidRDefault="00CF3875" w:rsidP="003350BE">
      <w:pPr>
        <w:pStyle w:val="FootnoteText"/>
      </w:pPr>
      <w:r w:rsidRPr="005C009E">
        <w:tab/>
      </w:r>
      <w:r w:rsidRPr="00255461">
        <w:rPr>
          <w:rStyle w:val="FootnoteReference"/>
        </w:rPr>
        <w:footnoteRef/>
      </w:r>
      <w:r w:rsidRPr="005C009E">
        <w:tab/>
        <w:t>Selon le paragraphe k) de l</w:t>
      </w:r>
      <w:r>
        <w:t>’</w:t>
      </w:r>
      <w:r w:rsidRPr="005C009E">
        <w:t>article 411 1) du Code pénal, toute violation des normes du droit international humanitaire au cours d</w:t>
      </w:r>
      <w:r>
        <w:t>’</w:t>
      </w:r>
      <w:r w:rsidRPr="005C009E">
        <w:t>un conflit interne ou international, notamment l</w:t>
      </w:r>
      <w:r>
        <w:t>’</w:t>
      </w:r>
      <w:r w:rsidRPr="005C009E">
        <w:t>apartheid ou tout autre acte inhumain motivé par la discrimination raciale, est passible d</w:t>
      </w:r>
      <w:r>
        <w:t>’</w:t>
      </w:r>
      <w:r w:rsidRPr="005C009E">
        <w:t>une peine de dix à quinze ans d</w:t>
      </w:r>
      <w:r>
        <w:t>’</w:t>
      </w:r>
      <w:r w:rsidRPr="005C009E">
        <w:t>emprisonnement.</w:t>
      </w:r>
    </w:p>
  </w:footnote>
  <w:footnote w:id="32">
    <w:p w:rsidR="00CF3875" w:rsidRPr="005C009E" w:rsidRDefault="00CF3875" w:rsidP="003350BE">
      <w:pPr>
        <w:pStyle w:val="FootnoteText"/>
      </w:pPr>
      <w:r w:rsidRPr="005C009E">
        <w:tab/>
      </w:r>
      <w:r w:rsidRPr="00255461">
        <w:rPr>
          <w:rStyle w:val="FootnoteReference"/>
        </w:rPr>
        <w:footnoteRef/>
      </w:r>
      <w:r w:rsidRPr="00255461">
        <w:rPr>
          <w:rStyle w:val="FootnoteReference"/>
        </w:rPr>
        <w:tab/>
      </w:r>
      <w:r w:rsidRPr="005C009E">
        <w:t>Voir aussi l</w:t>
      </w:r>
      <w:r>
        <w:t>’</w:t>
      </w:r>
      <w:r w:rsidRPr="005C009E">
        <w:t>article 142 du Code pénal de Géorgie, qui énonce les sanctions dont est passible le fait de refuser à une personne handicapée d</w:t>
      </w:r>
      <w:r>
        <w:t>’</w:t>
      </w:r>
      <w:r w:rsidRPr="005C009E">
        <w:t>exercer les droits qui sont les siens en vertu de la législation nationale et des instruments i</w:t>
      </w:r>
      <w:r>
        <w:t>nternationaux, en raison de son</w:t>
      </w:r>
      <w:r w:rsidRPr="005C009E">
        <w:t xml:space="preserve"> handicap, dès lors qu</w:t>
      </w:r>
      <w:r>
        <w:t xml:space="preserve">’il en découle </w:t>
      </w:r>
      <w:r w:rsidRPr="005C009E">
        <w:t xml:space="preserve">une violation de </w:t>
      </w:r>
      <w:r>
        <w:t>s</w:t>
      </w:r>
      <w:r w:rsidRPr="005C009E">
        <w:t>e</w:t>
      </w:r>
      <w:r>
        <w:t>s droits.</w:t>
      </w:r>
    </w:p>
  </w:footnote>
  <w:footnote w:id="33">
    <w:p w:rsidR="00CF3875" w:rsidRDefault="00CF3875" w:rsidP="005E35F4">
      <w:pPr>
        <w:pStyle w:val="FootnoteText"/>
      </w:pPr>
      <w:r>
        <w:tab/>
      </w:r>
      <w:r>
        <w:rPr>
          <w:rStyle w:val="FootnoteReference"/>
        </w:rPr>
        <w:footnoteRef/>
      </w:r>
      <w:r>
        <w:tab/>
        <w:t>Amendement (</w:t>
      </w:r>
      <w:r w:rsidRPr="00C14D2A">
        <w:t>n</w:t>
      </w:r>
      <w:r w:rsidRPr="00C14D2A">
        <w:rPr>
          <w:vertAlign w:val="superscript"/>
        </w:rPr>
        <w:t>o</w:t>
      </w:r>
      <w:r>
        <w:t> 16 daté du 23 janvier 2009) à l’ordonnance du Ministère géorgien de la justice concernant l’adoption du statut de l’Agence du registre de l’état civil (entité de droit public) du Ministère géorgien de la justice (</w:t>
      </w:r>
      <w:r w:rsidRPr="00C14D2A">
        <w:t>n</w:t>
      </w:r>
      <w:r w:rsidRPr="00C14D2A">
        <w:rPr>
          <w:vertAlign w:val="superscript"/>
        </w:rPr>
        <w:t>o</w:t>
      </w:r>
      <w:r>
        <w:t xml:space="preserve"> 209 daté du 30 janvier 2006). </w:t>
      </w:r>
    </w:p>
  </w:footnote>
  <w:footnote w:id="34">
    <w:p w:rsidR="00CF3875" w:rsidRDefault="00CF3875" w:rsidP="005E35F4">
      <w:pPr>
        <w:pStyle w:val="FootnoteText"/>
      </w:pPr>
      <w:r>
        <w:tab/>
      </w:r>
      <w:r>
        <w:rPr>
          <w:rStyle w:val="FootnoteReference"/>
        </w:rPr>
        <w:footnoteRef/>
      </w:r>
      <w:r>
        <w:tab/>
        <w:t>Article 27 de la loi organique relative à la citoyenneté géorgienne.</w:t>
      </w:r>
    </w:p>
  </w:footnote>
  <w:footnote w:id="35">
    <w:p w:rsidR="00CF3875" w:rsidRDefault="00CF3875" w:rsidP="005E35F4">
      <w:pPr>
        <w:pStyle w:val="FootnoteText"/>
      </w:pPr>
      <w:r>
        <w:tab/>
      </w:r>
      <w:r>
        <w:rPr>
          <w:rStyle w:val="FootnoteReference"/>
        </w:rPr>
        <w:footnoteRef/>
      </w:r>
      <w:r>
        <w:tab/>
        <w:t>Programme mis en œuvre de 2002 à 2006.</w:t>
      </w:r>
    </w:p>
  </w:footnote>
  <w:footnote w:id="36">
    <w:p w:rsidR="00CF3875" w:rsidRDefault="00CF3875" w:rsidP="005E35F4">
      <w:pPr>
        <w:pStyle w:val="FootnoteText"/>
      </w:pPr>
      <w:r>
        <w:tab/>
      </w:r>
      <w:r>
        <w:rPr>
          <w:rStyle w:val="FootnoteReference"/>
        </w:rPr>
        <w:footnoteRef/>
      </w:r>
      <w:r>
        <w:tab/>
        <w:t>Programme mis en œuvre de 2004 à 2007.</w:t>
      </w:r>
    </w:p>
  </w:footnote>
  <w:footnote w:id="37">
    <w:p w:rsidR="00CF3875" w:rsidRDefault="00CF3875" w:rsidP="005E35F4">
      <w:pPr>
        <w:pStyle w:val="FootnoteText"/>
      </w:pPr>
      <w:r>
        <w:tab/>
      </w:r>
      <w:r>
        <w:rPr>
          <w:rStyle w:val="FootnoteReference"/>
        </w:rPr>
        <w:footnoteRef/>
      </w:r>
      <w:r>
        <w:tab/>
        <w:t>Association pour les Nations Unies en Géorgie.</w:t>
      </w:r>
    </w:p>
  </w:footnote>
  <w:footnote w:id="38">
    <w:p w:rsidR="00CF3875" w:rsidRDefault="00CF3875" w:rsidP="005E35F4">
      <w:pPr>
        <w:pStyle w:val="FootnoteText"/>
      </w:pPr>
      <w:r>
        <w:tab/>
      </w:r>
      <w:r>
        <w:rPr>
          <w:rStyle w:val="FootnoteReference"/>
        </w:rPr>
        <w:footnoteRef/>
      </w:r>
      <w:r>
        <w:tab/>
        <w:t>Fondation pour la coopération eurasienne.</w:t>
      </w:r>
    </w:p>
  </w:footnote>
  <w:footnote w:id="39">
    <w:p w:rsidR="00CF3875" w:rsidRDefault="00CF3875" w:rsidP="005E35F4">
      <w:pPr>
        <w:pStyle w:val="FootnoteText"/>
      </w:pPr>
      <w:r>
        <w:tab/>
      </w:r>
      <w:r>
        <w:rPr>
          <w:rStyle w:val="FootnoteReference"/>
        </w:rPr>
        <w:footnoteRef/>
      </w:r>
      <w:r>
        <w:tab/>
        <w:t>Voir http://www.icj-cij.org/docket/index.php?p1=3&amp;p2=3&amp;k=4d&amp;case=140&amp;code=GR&amp;p3=6.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875" w:rsidRPr="008005D2" w:rsidRDefault="00CF3875">
    <w:pPr>
      <w:pStyle w:val="Header"/>
    </w:pPr>
    <w:r>
      <w:t>CERD/C/GEO/4-5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875" w:rsidRPr="008005D2" w:rsidRDefault="00CF3875" w:rsidP="008005D2">
    <w:pPr>
      <w:pStyle w:val="Header"/>
      <w:jc w:val="right"/>
    </w:pPr>
    <w:r>
      <w:t>CERD/C/GEO/4-5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184B518"/>
    <w:lvl w:ilvl="0">
      <w:start w:val="1"/>
      <w:numFmt w:val="decimal"/>
      <w:lvlText w:val="%1."/>
      <w:lvlJc w:val="left"/>
      <w:pPr>
        <w:tabs>
          <w:tab w:val="num" w:pos="1492"/>
        </w:tabs>
        <w:ind w:left="1492" w:hanging="360"/>
      </w:pPr>
    </w:lvl>
  </w:abstractNum>
  <w:abstractNum w:abstractNumId="1">
    <w:nsid w:val="FFFFFF7D"/>
    <w:multiLevelType w:val="singleLevel"/>
    <w:tmpl w:val="830CFD6C"/>
    <w:lvl w:ilvl="0">
      <w:start w:val="1"/>
      <w:numFmt w:val="decimal"/>
      <w:lvlText w:val="%1."/>
      <w:lvlJc w:val="left"/>
      <w:pPr>
        <w:tabs>
          <w:tab w:val="num" w:pos="1209"/>
        </w:tabs>
        <w:ind w:left="1209" w:hanging="360"/>
      </w:pPr>
    </w:lvl>
  </w:abstractNum>
  <w:abstractNum w:abstractNumId="2">
    <w:nsid w:val="FFFFFF7E"/>
    <w:multiLevelType w:val="singleLevel"/>
    <w:tmpl w:val="2F923A42"/>
    <w:lvl w:ilvl="0">
      <w:start w:val="1"/>
      <w:numFmt w:val="decimal"/>
      <w:lvlText w:val="%1."/>
      <w:lvlJc w:val="left"/>
      <w:pPr>
        <w:tabs>
          <w:tab w:val="num" w:pos="926"/>
        </w:tabs>
        <w:ind w:left="926" w:hanging="360"/>
      </w:pPr>
    </w:lvl>
  </w:abstractNum>
  <w:abstractNum w:abstractNumId="3">
    <w:nsid w:val="FFFFFF7F"/>
    <w:multiLevelType w:val="singleLevel"/>
    <w:tmpl w:val="62665A78"/>
    <w:lvl w:ilvl="0">
      <w:start w:val="1"/>
      <w:numFmt w:val="decimal"/>
      <w:lvlText w:val="%1."/>
      <w:lvlJc w:val="left"/>
      <w:pPr>
        <w:tabs>
          <w:tab w:val="num" w:pos="643"/>
        </w:tabs>
        <w:ind w:left="643" w:hanging="360"/>
      </w:pPr>
    </w:lvl>
  </w:abstractNum>
  <w:abstractNum w:abstractNumId="4">
    <w:nsid w:val="FFFFFF80"/>
    <w:multiLevelType w:val="singleLevel"/>
    <w:tmpl w:val="B990806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E7E88C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97450D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2724A1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E7E8F8C"/>
    <w:lvl w:ilvl="0">
      <w:start w:val="1"/>
      <w:numFmt w:val="decimal"/>
      <w:lvlText w:val="%1."/>
      <w:lvlJc w:val="left"/>
      <w:pPr>
        <w:tabs>
          <w:tab w:val="num" w:pos="360"/>
        </w:tabs>
        <w:ind w:left="360" w:hanging="360"/>
      </w:pPr>
    </w:lvl>
  </w:abstractNum>
  <w:abstractNum w:abstractNumId="9">
    <w:nsid w:val="FFFFFF89"/>
    <w:multiLevelType w:val="singleLevel"/>
    <w:tmpl w:val="E22AF69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00C0"/>
    <w:rsid w:val="000029CA"/>
    <w:rsid w:val="00016AC5"/>
    <w:rsid w:val="00021B1E"/>
    <w:rsid w:val="00054609"/>
    <w:rsid w:val="000773CC"/>
    <w:rsid w:val="000A6F55"/>
    <w:rsid w:val="000A726B"/>
    <w:rsid w:val="000E7579"/>
    <w:rsid w:val="000F41F2"/>
    <w:rsid w:val="001231AD"/>
    <w:rsid w:val="00123493"/>
    <w:rsid w:val="00124A29"/>
    <w:rsid w:val="001450E6"/>
    <w:rsid w:val="00150465"/>
    <w:rsid w:val="00160540"/>
    <w:rsid w:val="00192EEB"/>
    <w:rsid w:val="00197832"/>
    <w:rsid w:val="001A20FB"/>
    <w:rsid w:val="001B3867"/>
    <w:rsid w:val="001B4CC7"/>
    <w:rsid w:val="001D72C5"/>
    <w:rsid w:val="001D7F8A"/>
    <w:rsid w:val="001E3FEB"/>
    <w:rsid w:val="001E4A02"/>
    <w:rsid w:val="00225A8C"/>
    <w:rsid w:val="002626D4"/>
    <w:rsid w:val="002659F1"/>
    <w:rsid w:val="00265CD7"/>
    <w:rsid w:val="002817C4"/>
    <w:rsid w:val="00287E79"/>
    <w:rsid w:val="002928F9"/>
    <w:rsid w:val="002A5D07"/>
    <w:rsid w:val="002A6769"/>
    <w:rsid w:val="002D3F03"/>
    <w:rsid w:val="002E0D40"/>
    <w:rsid w:val="002E5B0C"/>
    <w:rsid w:val="00300741"/>
    <w:rsid w:val="00300D06"/>
    <w:rsid w:val="003016B7"/>
    <w:rsid w:val="00311F58"/>
    <w:rsid w:val="0031515A"/>
    <w:rsid w:val="003350BE"/>
    <w:rsid w:val="003515AA"/>
    <w:rsid w:val="00374106"/>
    <w:rsid w:val="003976D5"/>
    <w:rsid w:val="003D6C68"/>
    <w:rsid w:val="003E2F42"/>
    <w:rsid w:val="004159D0"/>
    <w:rsid w:val="00426262"/>
    <w:rsid w:val="00472145"/>
    <w:rsid w:val="004B383D"/>
    <w:rsid w:val="004B457D"/>
    <w:rsid w:val="00526B1B"/>
    <w:rsid w:val="00540389"/>
    <w:rsid w:val="00543D5E"/>
    <w:rsid w:val="00571F41"/>
    <w:rsid w:val="00591985"/>
    <w:rsid w:val="00593658"/>
    <w:rsid w:val="00595B53"/>
    <w:rsid w:val="005B6995"/>
    <w:rsid w:val="005E35F4"/>
    <w:rsid w:val="005E5D1F"/>
    <w:rsid w:val="006034FC"/>
    <w:rsid w:val="00611D43"/>
    <w:rsid w:val="00612D48"/>
    <w:rsid w:val="00616B45"/>
    <w:rsid w:val="00625336"/>
    <w:rsid w:val="00630D9B"/>
    <w:rsid w:val="00631953"/>
    <w:rsid w:val="006439EC"/>
    <w:rsid w:val="00657120"/>
    <w:rsid w:val="0066494F"/>
    <w:rsid w:val="00693E16"/>
    <w:rsid w:val="006B4590"/>
    <w:rsid w:val="006C340C"/>
    <w:rsid w:val="006D7B0B"/>
    <w:rsid w:val="006E6AE5"/>
    <w:rsid w:val="006F39E4"/>
    <w:rsid w:val="0070347C"/>
    <w:rsid w:val="007176C1"/>
    <w:rsid w:val="007231EF"/>
    <w:rsid w:val="0078670C"/>
    <w:rsid w:val="00797979"/>
    <w:rsid w:val="007F55CB"/>
    <w:rsid w:val="008005D2"/>
    <w:rsid w:val="00844750"/>
    <w:rsid w:val="008B44C4"/>
    <w:rsid w:val="008C58B8"/>
    <w:rsid w:val="008D2259"/>
    <w:rsid w:val="008E6042"/>
    <w:rsid w:val="008E7FAE"/>
    <w:rsid w:val="00911BF7"/>
    <w:rsid w:val="009130C9"/>
    <w:rsid w:val="00965F81"/>
    <w:rsid w:val="00977280"/>
    <w:rsid w:val="00977EC8"/>
    <w:rsid w:val="00983543"/>
    <w:rsid w:val="009902E4"/>
    <w:rsid w:val="009A3A23"/>
    <w:rsid w:val="009C17F5"/>
    <w:rsid w:val="009D3A8C"/>
    <w:rsid w:val="009E7956"/>
    <w:rsid w:val="00A168B3"/>
    <w:rsid w:val="00A24398"/>
    <w:rsid w:val="00A2492E"/>
    <w:rsid w:val="00A4183D"/>
    <w:rsid w:val="00A82B6C"/>
    <w:rsid w:val="00AA7FE7"/>
    <w:rsid w:val="00AB23A8"/>
    <w:rsid w:val="00AB3173"/>
    <w:rsid w:val="00AC01AA"/>
    <w:rsid w:val="00AC231B"/>
    <w:rsid w:val="00AC67A1"/>
    <w:rsid w:val="00AC7977"/>
    <w:rsid w:val="00AE352C"/>
    <w:rsid w:val="00AE37FD"/>
    <w:rsid w:val="00B04108"/>
    <w:rsid w:val="00B32E2D"/>
    <w:rsid w:val="00B61990"/>
    <w:rsid w:val="00B628C4"/>
    <w:rsid w:val="00B6473B"/>
    <w:rsid w:val="00BB552C"/>
    <w:rsid w:val="00BC0755"/>
    <w:rsid w:val="00BC400A"/>
    <w:rsid w:val="00BF0556"/>
    <w:rsid w:val="00C03431"/>
    <w:rsid w:val="00C261F8"/>
    <w:rsid w:val="00C33100"/>
    <w:rsid w:val="00C452D2"/>
    <w:rsid w:val="00C92617"/>
    <w:rsid w:val="00CA426B"/>
    <w:rsid w:val="00CC4A77"/>
    <w:rsid w:val="00CD1A71"/>
    <w:rsid w:val="00CD1FBB"/>
    <w:rsid w:val="00CE1EF3"/>
    <w:rsid w:val="00CF3875"/>
    <w:rsid w:val="00D016B5"/>
    <w:rsid w:val="00D034F1"/>
    <w:rsid w:val="00D27D5E"/>
    <w:rsid w:val="00D37345"/>
    <w:rsid w:val="00D4755F"/>
    <w:rsid w:val="00D66201"/>
    <w:rsid w:val="00D755F0"/>
    <w:rsid w:val="00DA56AC"/>
    <w:rsid w:val="00DC156C"/>
    <w:rsid w:val="00DE00C0"/>
    <w:rsid w:val="00DE6D90"/>
    <w:rsid w:val="00DF002F"/>
    <w:rsid w:val="00DF3129"/>
    <w:rsid w:val="00DF3978"/>
    <w:rsid w:val="00E0244D"/>
    <w:rsid w:val="00E42D5E"/>
    <w:rsid w:val="00E81E94"/>
    <w:rsid w:val="00E82607"/>
    <w:rsid w:val="00EC5A42"/>
    <w:rsid w:val="00F6018E"/>
    <w:rsid w:val="00F63B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semiHidden/>
    <w:rsid w:val="00CE1EF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2.ohchr.org/english/bodies/cat/opcat/mechanisms.htm" TargetMode="External"/><Relationship Id="rId1" Type="http://schemas.openxmlformats.org/officeDocument/2006/relationships/hyperlink" Target="http://www.ecmicaucasus.org/upload/publications/brief_21_eng.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30</Pages>
  <Words>13321</Words>
  <Characters>74286</Characters>
  <Application>Microsoft Office Word</Application>
  <DocSecurity>4</DocSecurity>
  <Lines>1534</Lines>
  <Paragraphs>563</Paragraphs>
  <ScaleCrop>false</ScaleCrop>
  <HeadingPairs>
    <vt:vector size="2" baseType="variant">
      <vt:variant>
        <vt:lpstr>Titre</vt:lpstr>
      </vt:variant>
      <vt:variant>
        <vt:i4>1</vt:i4>
      </vt:variant>
    </vt:vector>
  </HeadingPairs>
  <TitlesOfParts>
    <vt:vector size="1" baseType="lpstr">
      <vt:lpstr>CERD/C/GEO/4-5</vt:lpstr>
    </vt:vector>
  </TitlesOfParts>
  <Company>CSD</Company>
  <LinksUpToDate>false</LinksUpToDate>
  <CharactersWithSpaces>87134</CharactersWithSpaces>
  <SharedDoc>false</SharedDoc>
  <HLinks>
    <vt:vector size="12" baseType="variant">
      <vt:variant>
        <vt:i4>196622</vt:i4>
      </vt:variant>
      <vt:variant>
        <vt:i4>3</vt:i4>
      </vt:variant>
      <vt:variant>
        <vt:i4>0</vt:i4>
      </vt:variant>
      <vt:variant>
        <vt:i4>5</vt:i4>
      </vt:variant>
      <vt:variant>
        <vt:lpwstr>http://www2.ohchr.org/english/bodies/cat/opcat/mechanisms.htm</vt:lpwstr>
      </vt:variant>
      <vt:variant>
        <vt:lpwstr/>
      </vt:variant>
      <vt:variant>
        <vt:i4>4128789</vt:i4>
      </vt:variant>
      <vt:variant>
        <vt:i4>0</vt:i4>
      </vt:variant>
      <vt:variant>
        <vt:i4>0</vt:i4>
      </vt:variant>
      <vt:variant>
        <vt:i4>5</vt:i4>
      </vt:variant>
      <vt:variant>
        <vt:lpwstr>http://www.ecmicaucasus.org/upload/publications/_x000b_brief_21_eng.pdf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CERD/C/GEO/4-5</dc:title>
  <dc:subject>Semifinal</dc:subject>
  <dc:creator>Letaillieur</dc:creator>
  <cp:keywords/>
  <dc:description/>
  <cp:lastModifiedBy>Devouassoux</cp:lastModifiedBy>
  <cp:revision>3</cp:revision>
  <cp:lastPrinted>2011-07-25T08:35:00Z</cp:lastPrinted>
  <dcterms:created xsi:type="dcterms:W3CDTF">2011-07-25T08:35:00Z</dcterms:created>
  <dcterms:modified xsi:type="dcterms:W3CDTF">2011-07-25T08:36:00Z</dcterms:modified>
</cp:coreProperties>
</file>