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582" w:rsidRDefault="00EB0582">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EB0582" w:rsidRDefault="00EB0582">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82253"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EB0582" w:rsidRDefault="00EB0582">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EB0582" w:rsidRDefault="00EB058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B0582" w:rsidRDefault="00EB0582">
      <w:pPr>
        <w:rPr>
          <w:lang w:val="es-ES_tradnl"/>
        </w:rPr>
      </w:pPr>
    </w:p>
    <w:p w:rsidR="00EB0582" w:rsidRDefault="00EB0582" w:rsidP="00EB0582">
      <w:pPr>
        <w:adjustRightInd w:val="0"/>
        <w:snapToGrid w:val="0"/>
        <w:spacing w:after="240"/>
        <w:ind w:left="7320"/>
        <w:rPr>
          <w:snapToGrid w:val="0"/>
        </w:rPr>
      </w:pPr>
      <w:r>
        <w:rPr>
          <w:snapToGrid w:val="0"/>
        </w:rPr>
        <w:t>Distr.</w:t>
      </w:r>
      <w:r>
        <w:rPr>
          <w:snapToGrid w:val="0"/>
        </w:rPr>
        <w:br/>
        <w:t>GENERAL</w:t>
      </w:r>
    </w:p>
    <w:p w:rsidR="00EB0582" w:rsidRDefault="00EB0582" w:rsidP="00EB0582">
      <w:pPr>
        <w:adjustRightInd w:val="0"/>
        <w:snapToGrid w:val="0"/>
        <w:spacing w:after="240"/>
        <w:ind w:left="7320"/>
        <w:rPr>
          <w:snapToGrid w:val="0"/>
        </w:rPr>
      </w:pPr>
      <w:r>
        <w:rPr>
          <w:snapToGrid w:val="0"/>
        </w:rPr>
        <w:t>E/C.12/GC/19</w:t>
      </w:r>
      <w:r>
        <w:rPr>
          <w:snapToGrid w:val="0"/>
        </w:rPr>
        <w:br/>
        <w:t>4 de febrero de 2008</w:t>
      </w:r>
    </w:p>
    <w:p w:rsidR="00EB0582" w:rsidRDefault="00EB0582" w:rsidP="00EB0582">
      <w:pPr>
        <w:adjustRightInd w:val="0"/>
        <w:snapToGrid w:val="0"/>
        <w:spacing w:after="720"/>
        <w:ind w:left="7320"/>
        <w:rPr>
          <w:snapToGrid w:val="0"/>
        </w:rPr>
      </w:pPr>
      <w:r>
        <w:rPr>
          <w:snapToGrid w:val="0"/>
        </w:rPr>
        <w:t>ESPAÑOL</w:t>
      </w:r>
      <w:r>
        <w:rPr>
          <w:snapToGrid w:val="0"/>
        </w:rPr>
        <w:br/>
        <w:t>Original:  INGLÉS</w:t>
      </w:r>
    </w:p>
    <w:p w:rsidR="00EB0582" w:rsidRDefault="00EB0582" w:rsidP="00EB0582">
      <w:pPr>
        <w:adjustRightInd w:val="0"/>
        <w:snapToGrid w:val="0"/>
        <w:spacing w:after="840"/>
        <w:rPr>
          <w:snapToGrid w:val="0"/>
        </w:rPr>
      </w:pPr>
      <w:r>
        <w:rPr>
          <w:snapToGrid w:val="0"/>
        </w:rPr>
        <w:t>COMITÉ DE DERECHOS ECONÓMICOS,</w:t>
      </w:r>
      <w:r>
        <w:rPr>
          <w:snapToGrid w:val="0"/>
        </w:rPr>
        <w:br/>
        <w:t xml:space="preserve">      SOCIALES Y CULTURALES</w:t>
      </w:r>
      <w:r>
        <w:rPr>
          <w:snapToGrid w:val="0"/>
        </w:rPr>
        <w:br/>
        <w:t>39º período de sesiones</w:t>
      </w:r>
      <w:r>
        <w:rPr>
          <w:snapToGrid w:val="0"/>
        </w:rPr>
        <w:br/>
        <w:t>Ginebra, 5 a 23 de noviembre de 2007</w:t>
      </w:r>
    </w:p>
    <w:p w:rsidR="00EB0582" w:rsidRDefault="00EB0582" w:rsidP="00EB0582">
      <w:pPr>
        <w:adjustRightInd w:val="0"/>
        <w:snapToGrid w:val="0"/>
        <w:spacing w:after="360"/>
        <w:ind w:left="601"/>
        <w:jc w:val="center"/>
        <w:rPr>
          <w:b/>
          <w:snapToGrid w:val="0"/>
        </w:rPr>
      </w:pPr>
      <w:r>
        <w:rPr>
          <w:b/>
          <w:snapToGrid w:val="0"/>
        </w:rPr>
        <w:t>OBSERVACIÓN GENERAL Nº 19</w:t>
      </w:r>
      <w:r w:rsidRPr="00513A04">
        <w:rPr>
          <w:rStyle w:val="FootnoteReference"/>
          <w:snapToGrid w:val="0"/>
        </w:rPr>
        <w:footnoteReference w:id="1"/>
      </w:r>
    </w:p>
    <w:p w:rsidR="00EB0582" w:rsidRDefault="00EB0582" w:rsidP="00EB0582">
      <w:pPr>
        <w:adjustRightInd w:val="0"/>
        <w:snapToGrid w:val="0"/>
        <w:spacing w:after="240"/>
        <w:ind w:left="600"/>
        <w:jc w:val="center"/>
        <w:rPr>
          <w:b/>
          <w:snapToGrid w:val="0"/>
        </w:rPr>
      </w:pPr>
      <w:r>
        <w:rPr>
          <w:b/>
          <w:snapToGrid w:val="0"/>
        </w:rPr>
        <w:t>El derecho a la seguridad social (artículo 9)</w:t>
      </w:r>
    </w:p>
    <w:p w:rsidR="00EB0582" w:rsidRDefault="00EB0582" w:rsidP="00EB0582">
      <w:pPr>
        <w:adjustRightInd w:val="0"/>
        <w:snapToGrid w:val="0"/>
        <w:spacing w:after="240"/>
        <w:ind w:left="600"/>
        <w:jc w:val="center"/>
        <w:rPr>
          <w:b/>
          <w:snapToGrid w:val="0"/>
        </w:rPr>
      </w:pPr>
      <w:r>
        <w:br w:type="page"/>
      </w:r>
      <w:r>
        <w:rPr>
          <w:b/>
          <w:snapToGrid w:val="0"/>
        </w:rPr>
        <w:t>INTRODUCCIÓN</w:t>
      </w:r>
    </w:p>
    <w:p w:rsidR="00EB0582" w:rsidRDefault="00EB0582" w:rsidP="00EB0582">
      <w:pPr>
        <w:adjustRightInd w:val="0"/>
        <w:snapToGrid w:val="0"/>
        <w:spacing w:after="240"/>
        <w:rPr>
          <w:snapToGrid w:val="0"/>
        </w:rPr>
      </w:pPr>
      <w:r>
        <w:rPr>
          <w:snapToGrid w:val="0"/>
        </w:rPr>
        <w:t>1.</w:t>
      </w:r>
      <w:r>
        <w:rPr>
          <w:snapToGrid w:val="0"/>
        </w:rPr>
        <w:tab/>
        <w:t>El artículo 9 del Pacto Internacional de Derechos Económicos, Sociales y Culturales (el Pacto) dispone que "los Estados Partes en el presente Pacto reconocen el derecho de toda persona a la seguridad social, incluso al seguro social".  El derecho a la seguridad social es de importancia fundamental para garantizar a todas las personas su dignidad humana cuando hacen frente a circunstancias que les privan de su capacidad para ejercer plenamente los derechos reconocidos en el Pacto.</w:t>
      </w:r>
    </w:p>
    <w:p w:rsidR="00EB0582" w:rsidRDefault="00EB0582" w:rsidP="00EB0582">
      <w:pPr>
        <w:adjustRightInd w:val="0"/>
        <w:snapToGrid w:val="0"/>
        <w:spacing w:after="240"/>
        <w:rPr>
          <w:snapToGrid w:val="0"/>
        </w:rPr>
      </w:pPr>
      <w:r>
        <w:rPr>
          <w:snapToGrid w:val="0"/>
        </w:rPr>
        <w:t>2.</w:t>
      </w:r>
      <w:r>
        <w:rPr>
          <w:snapToGrid w:val="0"/>
        </w:rPr>
        <w:tab/>
        <w:t>El derecho a la seguridad social incluye el derecho a obtener y mantener prestaciones sociales, ya sea en efectivo o en especie, sin discriminación, con el fin de obtener protección, en particular contra:  a) la falta de ingresos procedentes del trabajo debido a enfermedad, invalidez, maternidad, accidente laboral, vejez o muerte de un familiar;  b) gastos excesivos de atención de salud;  c) apoyo familiar insuficiente, en particular para los hijos y los familiares a cargo.</w:t>
      </w:r>
    </w:p>
    <w:p w:rsidR="00EB0582" w:rsidRDefault="00EB0582" w:rsidP="00EB0582">
      <w:pPr>
        <w:adjustRightInd w:val="0"/>
        <w:snapToGrid w:val="0"/>
        <w:spacing w:after="240"/>
        <w:rPr>
          <w:snapToGrid w:val="0"/>
        </w:rPr>
      </w:pPr>
      <w:r>
        <w:rPr>
          <w:snapToGrid w:val="0"/>
        </w:rPr>
        <w:t>3.</w:t>
      </w:r>
      <w:r>
        <w:rPr>
          <w:snapToGrid w:val="0"/>
        </w:rPr>
        <w:tab/>
        <w:t>La seguridad social, debido a su carácter redistributivo, desempeña un papel importante para reducir y mitigar la pobreza, prevenir la exclusión social y promover la inclusión social.</w:t>
      </w:r>
    </w:p>
    <w:p w:rsidR="00EB0582" w:rsidRDefault="00EB0582" w:rsidP="00EB0582">
      <w:pPr>
        <w:adjustRightInd w:val="0"/>
        <w:snapToGrid w:val="0"/>
        <w:spacing w:after="240"/>
        <w:rPr>
          <w:snapToGrid w:val="0"/>
        </w:rPr>
      </w:pPr>
      <w:r>
        <w:rPr>
          <w:snapToGrid w:val="0"/>
        </w:rPr>
        <w:t>4.</w:t>
      </w:r>
      <w:r>
        <w:rPr>
          <w:snapToGrid w:val="0"/>
        </w:rPr>
        <w:tab/>
        <w:t xml:space="preserve">De conformidad con el párrafo 1 del artículo 2 del Pacto, los Estados Partes deben tomar medidas efectivas y revisarlas en caso necesario, hasta el máximo de los recursos de que dispongan, para realizar plenamente el derecho de todas las personas, sin ningún tipo de discriminación, a la seguridad social, incluido el seguro social.  La formulación del artículo 9 del Pacto indica que las medidas que se utilicen para proporcionar las prestaciones de seguridad social no pueden definirse de manera restrictiva y, en todo caso, deben garantizar a toda persona un disfrute mínimo de este derecho humano.  Estas medidas pueden consistir en:  </w:t>
      </w:r>
    </w:p>
    <w:p w:rsidR="00EB0582" w:rsidRDefault="00EB0582" w:rsidP="00EB0582">
      <w:pPr>
        <w:adjustRightInd w:val="0"/>
        <w:snapToGrid w:val="0"/>
        <w:spacing w:after="240"/>
        <w:ind w:left="1134" w:hanging="567"/>
        <w:rPr>
          <w:snapToGrid w:val="0"/>
        </w:rPr>
      </w:pPr>
      <w:r>
        <w:rPr>
          <w:snapToGrid w:val="0"/>
        </w:rPr>
        <w:t>a)</w:t>
      </w:r>
      <w:r>
        <w:rPr>
          <w:snapToGrid w:val="0"/>
        </w:rPr>
        <w:tab/>
        <w:t>Planes contributivos o planes basados en un seguro, como el seguro social expresamente mencionado en el artículo 9.  Estos planes implican generalmente el pago de cotizaciones obligatorias de los beneficiarios, los empleadores y a veces el Estado, juntamente con el pago de las prestaciones y los gastos administrativos con cargo a un fondo común.</w:t>
      </w:r>
    </w:p>
    <w:p w:rsidR="00EB0582" w:rsidRDefault="00EB0582" w:rsidP="00EB0582">
      <w:pPr>
        <w:adjustRightInd w:val="0"/>
        <w:snapToGrid w:val="0"/>
        <w:spacing w:after="240"/>
        <w:ind w:left="1134" w:hanging="567"/>
        <w:rPr>
          <w:snapToGrid w:val="0"/>
        </w:rPr>
      </w:pPr>
      <w:r>
        <w:rPr>
          <w:snapToGrid w:val="0"/>
        </w:rPr>
        <w:t>b)</w:t>
      </w:r>
      <w:r>
        <w:rPr>
          <w:snapToGrid w:val="0"/>
        </w:rPr>
        <w:tab/>
        <w:t>Los planes no contributivos, como los planes universales (que en principio ofrecen la prestación correspondiente a toda persona expuesta a un riesgo o situación imprevista particular) o los planes de asistencia social destinados a determinados beneficiarios (en que reciben las prestaciones las personas necesitadas).  En casi todos los Estados habrá necesidad de planes no contributivos, ya que es poco probable que pueda proporcionarse la protección necesaria a todas las personas mediante un sistema basado en un seguro.</w:t>
      </w:r>
    </w:p>
    <w:p w:rsidR="00EB0582" w:rsidRDefault="00EB0582" w:rsidP="00EB0582">
      <w:pPr>
        <w:adjustRightInd w:val="0"/>
        <w:snapToGrid w:val="0"/>
        <w:spacing w:after="240"/>
        <w:rPr>
          <w:snapToGrid w:val="0"/>
        </w:rPr>
      </w:pPr>
      <w:r>
        <w:rPr>
          <w:snapToGrid w:val="0"/>
        </w:rPr>
        <w:t>5.</w:t>
      </w:r>
      <w:r>
        <w:rPr>
          <w:snapToGrid w:val="0"/>
        </w:rPr>
        <w:tab/>
        <w:t>También son aceptables otras formas de seguridad social, en particular:  a) los planes privados y  b) las medidas de autoayuda u otras medidas, como los planes comunitarios o los planes de asistencia mutua.  Cualquiera que sea el sistema elegido, debe respetar los elementos esenciales del derecho a la seguridad social y, en ese sentido, deben ser considerados como planes que contribuyen a la seguridad social y por consiguiente deberán estar amparados por los Estados, de conformidad con la presente observación general.</w:t>
      </w:r>
    </w:p>
    <w:p w:rsidR="00EB0582" w:rsidRDefault="00EB0582" w:rsidP="00EB0582">
      <w:pPr>
        <w:adjustRightInd w:val="0"/>
        <w:snapToGrid w:val="0"/>
        <w:spacing w:after="240"/>
        <w:rPr>
          <w:snapToGrid w:val="0"/>
        </w:rPr>
      </w:pPr>
      <w:r>
        <w:rPr>
          <w:snapToGrid w:val="0"/>
        </w:rPr>
        <w:t>6.</w:t>
      </w:r>
      <w:r>
        <w:rPr>
          <w:snapToGrid w:val="0"/>
        </w:rPr>
        <w:tab/>
        <w:t>El derecho a la seguridad social ha sido reafirmado categóricamente en derecho internacional.  Las consideraciones de derechos humanos de la seguridad social aparecen claramente en la Declaración de Filadelfia de 1944, en la que se pedía "extender las medidas de seguridad social para garantizar ingresos básicos a quienes los necesitan y prestar asistencia médica completa"</w:t>
      </w:r>
      <w:r>
        <w:rPr>
          <w:rStyle w:val="FootnoteReference"/>
          <w:snapToGrid w:val="0"/>
        </w:rPr>
        <w:footnoteReference w:id="2"/>
      </w:r>
      <w:r>
        <w:rPr>
          <w:snapToGrid w:val="0"/>
        </w:rPr>
        <w:t>.  La seguridad social fue reconocida como un derecho humano en la Declaración Universal de Derechos Humanos de 1948, que declara en el artículo 22 que "toda persona, como miembro de la sociedad, tiene derecho a la seguridad social", y en el párrafo 1 del artículo 25 establece que toda persona tiene "derecho a los seguros en caso de desempleo, enfermedad, invalidez, viudez, vejez y otros casos de pérdida de sus medios de subsistencia por circunstancias independientes de su voluntad".  Este derecho fue posteriormente reconocido en diversos tratados internacionales de derechos humanos</w:t>
      </w:r>
      <w:r>
        <w:rPr>
          <w:rStyle w:val="FootnoteReference"/>
          <w:snapToGrid w:val="0"/>
        </w:rPr>
        <w:footnoteReference w:id="3"/>
      </w:r>
      <w:r>
        <w:rPr>
          <w:snapToGrid w:val="0"/>
        </w:rPr>
        <w:t xml:space="preserve"> y tratados regionales de derechos humanos</w:t>
      </w:r>
      <w:r>
        <w:rPr>
          <w:rStyle w:val="FootnoteReference"/>
          <w:snapToGrid w:val="0"/>
        </w:rPr>
        <w:footnoteReference w:id="4"/>
      </w:r>
      <w:r>
        <w:rPr>
          <w:snapToGrid w:val="0"/>
        </w:rPr>
        <w:t>.  En 2001, la Conferencia Internacional del Trabajo, compuesta de representantes de los Estados, empleadores y trabajadores, afirmó que la seguridad social "es... un derecho humano fundamental y un instrumento esencial para crear cohesión social"</w:t>
      </w:r>
      <w:r>
        <w:rPr>
          <w:rStyle w:val="FootnoteReference"/>
          <w:snapToGrid w:val="0"/>
        </w:rPr>
        <w:footnoteReference w:id="5"/>
      </w:r>
      <w:r>
        <w:rPr>
          <w:snapToGrid w:val="0"/>
        </w:rPr>
        <w:t>.</w:t>
      </w:r>
    </w:p>
    <w:p w:rsidR="00EB0582" w:rsidRDefault="00EB0582" w:rsidP="00EB0582">
      <w:pPr>
        <w:adjustRightInd w:val="0"/>
        <w:snapToGrid w:val="0"/>
        <w:spacing w:after="240"/>
        <w:rPr>
          <w:snapToGrid w:val="0"/>
        </w:rPr>
      </w:pPr>
      <w:r>
        <w:rPr>
          <w:snapToGrid w:val="0"/>
        </w:rPr>
        <w:t>7.</w:t>
      </w:r>
      <w:r>
        <w:rPr>
          <w:snapToGrid w:val="0"/>
        </w:rPr>
        <w:tab/>
        <w:t>Al Comité de Derechos Económicos, Sociales y Culturales le preocupa el nivel sumamente bajo de acceso a la seguridad social de una gran mayoría (un 80% aproximadamente) de la población mundial que carece actualmente de acceso a una seguridad social estructurada.  De este 80%, el 20% vive en situación de pobreza extrema</w:t>
      </w:r>
      <w:r>
        <w:rPr>
          <w:rStyle w:val="FootnoteReference"/>
          <w:snapToGrid w:val="0"/>
        </w:rPr>
        <w:footnoteReference w:id="6"/>
      </w:r>
      <w:r>
        <w:rPr>
          <w:snapToGrid w:val="0"/>
        </w:rPr>
        <w:t>.</w:t>
      </w:r>
    </w:p>
    <w:p w:rsidR="00EB0582" w:rsidRPr="001D5E5C" w:rsidRDefault="00EB0582" w:rsidP="00EB0582">
      <w:pPr>
        <w:adjustRightInd w:val="0"/>
        <w:snapToGrid w:val="0"/>
        <w:spacing w:after="480"/>
        <w:rPr>
          <w:snapToGrid w:val="0"/>
        </w:rPr>
      </w:pPr>
      <w:r>
        <w:rPr>
          <w:snapToGrid w:val="0"/>
        </w:rPr>
        <w:t>8.</w:t>
      </w:r>
      <w:r>
        <w:rPr>
          <w:snapToGrid w:val="0"/>
        </w:rPr>
        <w:tab/>
        <w:t>Durante su seguimiento de la aplicación del Pacto, el Comité ha expresado continuamente su preocupación por la falta de acceso a una seguridad social adecuada, lo que ha socavado el ejercicio de muchos derechos amparados por el Pacto.  El Comité también ha abordado sistemáticamente la cuestión del derecho a la seguridad social no sólo durante su examen de los informes de los Estados Partes sino también en sus observaciones generales y en sus diversas declaraciones</w:t>
      </w:r>
      <w:r>
        <w:rPr>
          <w:rStyle w:val="FootnoteReference"/>
          <w:snapToGrid w:val="0"/>
        </w:rPr>
        <w:footnoteReference w:id="7"/>
      </w:r>
      <w:r>
        <w:rPr>
          <w:snapToGrid w:val="0"/>
        </w:rPr>
        <w:t xml:space="preserve">.  Con el fin de asistir a los Estados Partes en la aplicación del Pacto y </w:t>
      </w:r>
      <w:r w:rsidR="00BB69A9">
        <w:rPr>
          <w:snapToGrid w:val="0"/>
        </w:rPr>
        <w:t>en el</w:t>
      </w:r>
      <w:r>
        <w:rPr>
          <w:snapToGrid w:val="0"/>
        </w:rPr>
        <w:t xml:space="preserve"> cumplimiento de sus obligaciones de presentar informes, esta observación general se centra en el contenido normativo del derecho a la seguridad social (cap. II), las obligaciones de los Estados Partes (cap. III), las violaciones (cap. IV) y la aplicación en el plano nacional (capítulo V), mientras que las obligaciones de agentes distintos de los Estados Partes se abordan en la capítulo VI.</w:t>
      </w:r>
    </w:p>
    <w:p w:rsidR="00EB0582" w:rsidRPr="003B158C" w:rsidRDefault="00EB0582" w:rsidP="00EB0582">
      <w:pPr>
        <w:adjustRightInd w:val="0"/>
        <w:snapToGrid w:val="0"/>
        <w:spacing w:after="240"/>
        <w:jc w:val="center"/>
        <w:rPr>
          <w:b/>
          <w:snapToGrid w:val="0"/>
        </w:rPr>
      </w:pPr>
      <w:r>
        <w:rPr>
          <w:b/>
          <w:snapToGrid w:val="0"/>
        </w:rPr>
        <w:t>II.  CONTENIDO NORMATIVO DEL DERECHO A LA SEGURIDAD SOCIAL</w:t>
      </w:r>
    </w:p>
    <w:p w:rsidR="00EB0582" w:rsidRDefault="00EB0582" w:rsidP="00EB0582">
      <w:pPr>
        <w:adjustRightInd w:val="0"/>
        <w:snapToGrid w:val="0"/>
        <w:spacing w:after="240"/>
        <w:rPr>
          <w:snapToGrid w:val="0"/>
        </w:rPr>
      </w:pPr>
      <w:r>
        <w:rPr>
          <w:snapToGrid w:val="0"/>
        </w:rPr>
        <w:t>9.</w:t>
      </w:r>
      <w:r>
        <w:rPr>
          <w:snapToGrid w:val="0"/>
        </w:rPr>
        <w:tab/>
        <w:t>El derecho a la seguridad social incluye el derecho a no ser sometido a restricciones arbitrarias o poco razonables de la cobertura social existente, ya sea del sector público o del privado, así como del derecho a la igualdad en el disfrute de una protección suficiente contra los riesgos e imprevistos sociales.</w:t>
      </w:r>
    </w:p>
    <w:p w:rsidR="00EB0582" w:rsidRPr="00C40A86" w:rsidRDefault="00EB0582" w:rsidP="00EB0582">
      <w:pPr>
        <w:adjustRightInd w:val="0"/>
        <w:snapToGrid w:val="0"/>
        <w:spacing w:after="240"/>
        <w:jc w:val="center"/>
        <w:rPr>
          <w:b/>
          <w:snapToGrid w:val="0"/>
        </w:rPr>
      </w:pPr>
      <w:r>
        <w:rPr>
          <w:b/>
          <w:snapToGrid w:val="0"/>
        </w:rPr>
        <w:t>A.  Elementos del derecho a la seguridad social</w:t>
      </w:r>
    </w:p>
    <w:p w:rsidR="00EB0582" w:rsidRDefault="00EB0582" w:rsidP="00EB0582">
      <w:pPr>
        <w:adjustRightInd w:val="0"/>
        <w:snapToGrid w:val="0"/>
        <w:spacing w:after="240"/>
        <w:rPr>
          <w:snapToGrid w:val="0"/>
        </w:rPr>
      </w:pPr>
      <w:r>
        <w:rPr>
          <w:snapToGrid w:val="0"/>
        </w:rPr>
        <w:t>10.</w:t>
      </w:r>
      <w:r>
        <w:rPr>
          <w:snapToGrid w:val="0"/>
        </w:rPr>
        <w:tab/>
        <w:t>Si bien los elementos del derecho a la seguridad social pueden variar según las diferentes condiciones, hay una serie de factores fundamentales que se aplican en todas las circunstancias, según se indica a continuación.  Al interpretar estos aspectos, debe tenerse presente que conviene considerar la seguridad social como un bien social y no principalmente como una mercancía o un mero instrumento de política económica o financiera.</w:t>
      </w:r>
    </w:p>
    <w:p w:rsidR="00EB0582" w:rsidRPr="00C40A86" w:rsidRDefault="00EB0582" w:rsidP="00EB0582">
      <w:pPr>
        <w:adjustRightInd w:val="0"/>
        <w:snapToGrid w:val="0"/>
        <w:spacing w:after="240"/>
        <w:rPr>
          <w:b/>
          <w:snapToGrid w:val="0"/>
        </w:rPr>
      </w:pPr>
      <w:r>
        <w:rPr>
          <w:b/>
          <w:snapToGrid w:val="0"/>
        </w:rPr>
        <w:t>1.</w:t>
      </w:r>
      <w:r>
        <w:rPr>
          <w:b/>
          <w:snapToGrid w:val="0"/>
        </w:rPr>
        <w:tab/>
        <w:t>Disponibilidad - sistema de seguridad social</w:t>
      </w:r>
    </w:p>
    <w:p w:rsidR="00EB0582" w:rsidRDefault="00EB0582" w:rsidP="00EB0582">
      <w:pPr>
        <w:adjustRightInd w:val="0"/>
        <w:snapToGrid w:val="0"/>
        <w:spacing w:after="240"/>
        <w:rPr>
          <w:snapToGrid w:val="0"/>
        </w:rPr>
      </w:pPr>
      <w:r>
        <w:rPr>
          <w:snapToGrid w:val="0"/>
        </w:rPr>
        <w:t>11.</w:t>
      </w:r>
      <w:r>
        <w:rPr>
          <w:snapToGrid w:val="0"/>
        </w:rPr>
        <w:tab/>
        <w:t>El derecho a la seguridad social requiere, para ser ejercido, que se haya establecido y funcione un sistema, con independencia de que esté compuesto de uno o varios planes, que garantice las prestaciones correspondientes a los riesgos e imprevistos sociales de que se trate.  Este sistema debe establecerse en el marco del derecho nacional, y las autoridades públicas deben asumir la responsabilidad de su administración o supervisión eficaz.  Los planes también deben ser sostenibles, incluidos los planes de pensiones, a fin de asegurar que las generaciones presentes y futuras puedan ejercer este derecho.</w:t>
      </w:r>
    </w:p>
    <w:p w:rsidR="00EB0582" w:rsidRPr="00D55D4D" w:rsidRDefault="00EB0582" w:rsidP="00EB0582">
      <w:pPr>
        <w:keepNext/>
        <w:adjustRightInd w:val="0"/>
        <w:snapToGrid w:val="0"/>
        <w:spacing w:after="240"/>
        <w:rPr>
          <w:b/>
          <w:snapToGrid w:val="0"/>
        </w:rPr>
      </w:pPr>
      <w:r>
        <w:rPr>
          <w:b/>
          <w:snapToGrid w:val="0"/>
        </w:rPr>
        <w:t>2.</w:t>
      </w:r>
      <w:r>
        <w:rPr>
          <w:b/>
          <w:snapToGrid w:val="0"/>
        </w:rPr>
        <w:tab/>
        <w:t>Riesgos e imprevistos sociales</w:t>
      </w:r>
    </w:p>
    <w:p w:rsidR="00EB0582" w:rsidRDefault="00EB0582" w:rsidP="00EB0582">
      <w:pPr>
        <w:adjustRightInd w:val="0"/>
        <w:snapToGrid w:val="0"/>
        <w:spacing w:after="240"/>
        <w:rPr>
          <w:snapToGrid w:val="0"/>
        </w:rPr>
      </w:pPr>
      <w:r>
        <w:rPr>
          <w:snapToGrid w:val="0"/>
        </w:rPr>
        <w:t>12.</w:t>
      </w:r>
      <w:r>
        <w:rPr>
          <w:snapToGrid w:val="0"/>
        </w:rPr>
        <w:tab/>
        <w:t>El sistema de seguridad social debe abarcar las siguientes nueve ramas principales de la seguridad social</w:t>
      </w:r>
      <w:r>
        <w:rPr>
          <w:rStyle w:val="FootnoteReference"/>
          <w:snapToGrid w:val="0"/>
        </w:rPr>
        <w:footnoteReference w:id="8"/>
      </w:r>
      <w:r>
        <w:rPr>
          <w:snapToGrid w:val="0"/>
        </w:rPr>
        <w:t>.</w:t>
      </w:r>
    </w:p>
    <w:p w:rsidR="00EB0582" w:rsidRPr="00554D9C" w:rsidRDefault="00EB0582" w:rsidP="00EB0582">
      <w:pPr>
        <w:adjustRightInd w:val="0"/>
        <w:snapToGrid w:val="0"/>
        <w:spacing w:after="240"/>
        <w:rPr>
          <w:b/>
          <w:snapToGrid w:val="0"/>
        </w:rPr>
      </w:pPr>
      <w:r>
        <w:rPr>
          <w:b/>
          <w:snapToGrid w:val="0"/>
        </w:rPr>
        <w:tab/>
        <w:t>a)</w:t>
      </w:r>
      <w:r>
        <w:rPr>
          <w:b/>
          <w:snapToGrid w:val="0"/>
        </w:rPr>
        <w:tab/>
        <w:t>Atención de salud</w:t>
      </w:r>
    </w:p>
    <w:p w:rsidR="00EB0582" w:rsidRDefault="00EB0582" w:rsidP="00EB0582">
      <w:pPr>
        <w:adjustRightInd w:val="0"/>
        <w:snapToGrid w:val="0"/>
        <w:spacing w:after="240"/>
        <w:rPr>
          <w:snapToGrid w:val="0"/>
        </w:rPr>
      </w:pPr>
      <w:r>
        <w:rPr>
          <w:snapToGrid w:val="0"/>
        </w:rPr>
        <w:t>13.</w:t>
      </w:r>
      <w:r>
        <w:rPr>
          <w:snapToGrid w:val="0"/>
        </w:rPr>
        <w:tab/>
        <w:t>Los Estados Partes tienen la obligación de garantizar que se establezcan sistemas de salud que prevean un acceso adecuado de todas las personas a los servicios de salud</w:t>
      </w:r>
      <w:r>
        <w:rPr>
          <w:rStyle w:val="FootnoteReference"/>
          <w:snapToGrid w:val="0"/>
        </w:rPr>
        <w:footnoteReference w:id="9"/>
      </w:r>
      <w:r>
        <w:rPr>
          <w:snapToGrid w:val="0"/>
        </w:rPr>
        <w:t>.  En los casos en que el sistema de salud prevé planes privados o mixtos, estos planes deben ser asequibles de conformidad con los elementos esenciales enunciados en la presente observación general</w:t>
      </w:r>
      <w:r>
        <w:rPr>
          <w:rStyle w:val="FootnoteReference"/>
          <w:snapToGrid w:val="0"/>
        </w:rPr>
        <w:footnoteReference w:id="10"/>
      </w:r>
      <w:r>
        <w:rPr>
          <w:snapToGrid w:val="0"/>
        </w:rPr>
        <w:t>.  El Comité señala la especial importancia del derecho a la seguridad social en el contexto de las enfermedades endémicas, como el VIH/SIDA, la tuberculosis y el paludismo y la necesidad de proporcionar acceso a las medidas preventivas y curativas.</w:t>
      </w:r>
    </w:p>
    <w:p w:rsidR="00EB0582" w:rsidRDefault="00EB0582" w:rsidP="00EB0582">
      <w:pPr>
        <w:adjustRightInd w:val="0"/>
        <w:snapToGrid w:val="0"/>
        <w:spacing w:after="240"/>
        <w:rPr>
          <w:b/>
          <w:snapToGrid w:val="0"/>
        </w:rPr>
      </w:pPr>
      <w:r>
        <w:rPr>
          <w:b/>
          <w:snapToGrid w:val="0"/>
        </w:rPr>
        <w:tab/>
        <w:t>b)</w:t>
      </w:r>
      <w:r>
        <w:rPr>
          <w:b/>
          <w:snapToGrid w:val="0"/>
        </w:rPr>
        <w:tab/>
        <w:t>Enfermedad</w:t>
      </w:r>
    </w:p>
    <w:p w:rsidR="00EB0582" w:rsidRDefault="00EB0582" w:rsidP="00EB0582">
      <w:pPr>
        <w:adjustRightInd w:val="0"/>
        <w:snapToGrid w:val="0"/>
        <w:spacing w:after="240"/>
        <w:rPr>
          <w:snapToGrid w:val="0"/>
        </w:rPr>
      </w:pPr>
      <w:r>
        <w:rPr>
          <w:snapToGrid w:val="0"/>
        </w:rPr>
        <w:t>14.</w:t>
      </w:r>
      <w:r>
        <w:rPr>
          <w:snapToGrid w:val="0"/>
        </w:rPr>
        <w:tab/>
        <w:t>Deben proporcionarse prestaciones en efectivo durante los períodos de pérdidas de ingresos a las personas imposibilitadas de trabajar por razones de salud.  Los períodos prolongados de enfermedad deben dar a las personas el derecho a percibir prestaciones de invalidez.</w:t>
      </w:r>
    </w:p>
    <w:p w:rsidR="00EB0582" w:rsidRDefault="00EB0582" w:rsidP="00EB0582">
      <w:pPr>
        <w:adjustRightInd w:val="0"/>
        <w:snapToGrid w:val="0"/>
        <w:spacing w:after="240"/>
        <w:rPr>
          <w:b/>
          <w:snapToGrid w:val="0"/>
        </w:rPr>
      </w:pPr>
      <w:r>
        <w:rPr>
          <w:b/>
          <w:snapToGrid w:val="0"/>
        </w:rPr>
        <w:tab/>
        <w:t>c)</w:t>
      </w:r>
      <w:r>
        <w:rPr>
          <w:b/>
          <w:snapToGrid w:val="0"/>
        </w:rPr>
        <w:tab/>
        <w:t>Vejez</w:t>
      </w:r>
    </w:p>
    <w:p w:rsidR="00EB0582" w:rsidRDefault="00EB0582" w:rsidP="00EB0582">
      <w:pPr>
        <w:adjustRightInd w:val="0"/>
        <w:snapToGrid w:val="0"/>
        <w:spacing w:after="240"/>
        <w:rPr>
          <w:snapToGrid w:val="0"/>
        </w:rPr>
      </w:pPr>
      <w:r>
        <w:rPr>
          <w:snapToGrid w:val="0"/>
        </w:rPr>
        <w:t>15.</w:t>
      </w:r>
      <w:r>
        <w:rPr>
          <w:snapToGrid w:val="0"/>
        </w:rPr>
        <w:tab/>
        <w:t>Los Estados Partes deben tomar medidas apropiadas para establecer planes de seguridad social que concedan prestaciones a las personas de edad, a partir de una edad determinada prescrita por la legislación nacional</w:t>
      </w:r>
      <w:r>
        <w:rPr>
          <w:rStyle w:val="FootnoteReference"/>
          <w:snapToGrid w:val="0"/>
        </w:rPr>
        <w:footnoteReference w:id="11"/>
      </w:r>
      <w:r>
        <w:rPr>
          <w:snapToGrid w:val="0"/>
        </w:rPr>
        <w:t>.  El Comité subraya que los Estados Partes deben establecer una edad de jubilación apropiada a las circunstancias del país y para la que se tenga en cuenta, entre otras cosas, el tipo de trabajo, en especial si se trata de un trabajo en ocupaciones peligrosas, y la capacidad de trabajar de las personas de edad.  Los Estados Partes deben establecer, hasta el máximo de los recursos disponibles, prestaciones de vejez no contributivas, servicios sociales y otros tipo</w:t>
      </w:r>
      <w:r w:rsidR="004A73DA">
        <w:rPr>
          <w:snapToGrid w:val="0"/>
        </w:rPr>
        <w:t>s</w:t>
      </w:r>
      <w:r>
        <w:rPr>
          <w:snapToGrid w:val="0"/>
        </w:rPr>
        <w:t xml:space="preserve"> de ayuda para todas las personas mayores que, al cumplir la edad de jubilación prescrita en la legislación nacional, no tengan cubiertos los períodos mínimos de cotización exigidos, o por cualquier otra causa no tengan derecho a disfrutar de una pensión de vejez o de otro tipo de prestación o ayuda de la seguridad social y carezcan de cualquier otra fuente de ingresos.</w:t>
      </w:r>
    </w:p>
    <w:p w:rsidR="00EB0582" w:rsidRDefault="00EB0582" w:rsidP="00EB0582">
      <w:pPr>
        <w:adjustRightInd w:val="0"/>
        <w:snapToGrid w:val="0"/>
        <w:spacing w:after="240"/>
        <w:rPr>
          <w:b/>
          <w:snapToGrid w:val="0"/>
        </w:rPr>
      </w:pPr>
      <w:r>
        <w:rPr>
          <w:b/>
          <w:snapToGrid w:val="0"/>
        </w:rPr>
        <w:tab/>
        <w:t>d)</w:t>
      </w:r>
      <w:r>
        <w:rPr>
          <w:b/>
          <w:snapToGrid w:val="0"/>
        </w:rPr>
        <w:tab/>
        <w:t>Desempleo</w:t>
      </w:r>
    </w:p>
    <w:p w:rsidR="00EB0582" w:rsidRDefault="00EB0582" w:rsidP="00EB0582">
      <w:pPr>
        <w:adjustRightInd w:val="0"/>
        <w:snapToGrid w:val="0"/>
        <w:spacing w:after="240"/>
        <w:rPr>
          <w:snapToGrid w:val="0"/>
        </w:rPr>
      </w:pPr>
      <w:r>
        <w:rPr>
          <w:snapToGrid w:val="0"/>
        </w:rPr>
        <w:t>16.</w:t>
      </w:r>
      <w:r>
        <w:rPr>
          <w:snapToGrid w:val="0"/>
        </w:rPr>
        <w:tab/>
        <w:t>Además de promover un empleo pleno, productivo y libremente elegido, los Estados Partes deben tratar de ofrecer prestaciones para sufragar la pérdida o falta de ingresos debida a la incapacidad de obtener o mantener un empleo adecuado.  En caso de pérdida de empleo, las prestaciones deben abonarse durante un período suficiente, y al concluir este período, el sistema de seguridad social debe ofrecer una protección adecuada al trabajador desempleado, por ejemplo mediante la asistencia social.  El sistema de seguridad social también debe amparar a otros trabajadores, incluidos los trabajadores a tiempo parcial, los trabajadores ocasionales, los trabajadores de temporada y los empleados por cuenta propia así como los que trabajan en formas atípicas de trabajo en la economía no estructurada</w:t>
      </w:r>
      <w:r>
        <w:rPr>
          <w:rStyle w:val="FootnoteReference"/>
          <w:snapToGrid w:val="0"/>
        </w:rPr>
        <w:footnoteReference w:id="12"/>
      </w:r>
      <w:r>
        <w:rPr>
          <w:snapToGrid w:val="0"/>
        </w:rPr>
        <w:t>.  Deben proporcionarse prestaciones para los períodos de pérdidas de ingresos de las personas a las que se pida que no se presenten al trabajo durante una emergencia de salud pública u otro tipo de emergencia.</w:t>
      </w:r>
    </w:p>
    <w:p w:rsidR="00EB0582" w:rsidRDefault="00EB0582" w:rsidP="00EB0582">
      <w:pPr>
        <w:adjustRightInd w:val="0"/>
        <w:snapToGrid w:val="0"/>
        <w:spacing w:after="240"/>
        <w:rPr>
          <w:b/>
          <w:snapToGrid w:val="0"/>
        </w:rPr>
      </w:pPr>
      <w:r>
        <w:rPr>
          <w:b/>
          <w:snapToGrid w:val="0"/>
        </w:rPr>
        <w:tab/>
        <w:t>e)</w:t>
      </w:r>
      <w:r>
        <w:rPr>
          <w:b/>
          <w:snapToGrid w:val="0"/>
        </w:rPr>
        <w:tab/>
        <w:t>Accidentes laborales</w:t>
      </w:r>
    </w:p>
    <w:p w:rsidR="00EB0582" w:rsidRDefault="00EB0582" w:rsidP="00EB0582">
      <w:pPr>
        <w:adjustRightInd w:val="0"/>
        <w:snapToGrid w:val="0"/>
        <w:spacing w:after="240"/>
        <w:rPr>
          <w:snapToGrid w:val="0"/>
        </w:rPr>
      </w:pPr>
      <w:r>
        <w:rPr>
          <w:snapToGrid w:val="0"/>
        </w:rPr>
        <w:t>17.</w:t>
      </w:r>
      <w:r>
        <w:rPr>
          <w:snapToGrid w:val="0"/>
        </w:rPr>
        <w:tab/>
        <w:t>Los Estados Partes deben también garantizar la protección a los trabajadores que hayan sufrido un accidente laboral durante el empleo u otro trabajo productivo.  El sistema de seguridad social debe sufragar los gastos y la pérdida de ingresos resultante de la lesión o condición de morbilidad, así como la pérdida de apoyo que sufran el cónyuge supérstite o las personas a cargo como consecuencia del fallecimiento del sostén de la familia</w:t>
      </w:r>
      <w:r>
        <w:rPr>
          <w:rStyle w:val="FootnoteReference"/>
          <w:snapToGrid w:val="0"/>
        </w:rPr>
        <w:footnoteReference w:id="13"/>
      </w:r>
      <w:r>
        <w:rPr>
          <w:snapToGrid w:val="0"/>
        </w:rPr>
        <w:t>.  Se deberían ofrecer prestaciones suficientes en forma de acceso a la atención de salud y prestaciones en efectivo para asegurar los ingresos.  El derecho a recibir las prestaciones no debe estar supeditado a la antigüedad en el empleo, la duración del seguro o el pago de cotizaciones.</w:t>
      </w:r>
    </w:p>
    <w:p w:rsidR="00EB0582" w:rsidRDefault="00EB0582" w:rsidP="00EB0582">
      <w:pPr>
        <w:adjustRightInd w:val="0"/>
        <w:snapToGrid w:val="0"/>
        <w:spacing w:after="240"/>
        <w:rPr>
          <w:b/>
          <w:snapToGrid w:val="0"/>
        </w:rPr>
      </w:pPr>
      <w:r>
        <w:rPr>
          <w:b/>
          <w:snapToGrid w:val="0"/>
        </w:rPr>
        <w:tab/>
        <w:t>f)</w:t>
      </w:r>
      <w:r>
        <w:rPr>
          <w:b/>
          <w:snapToGrid w:val="0"/>
        </w:rPr>
        <w:tab/>
        <w:t>Prestaciones familiares</w:t>
      </w:r>
    </w:p>
    <w:p w:rsidR="00EB0582" w:rsidRDefault="00EB0582" w:rsidP="00EB0582">
      <w:pPr>
        <w:adjustRightInd w:val="0"/>
        <w:snapToGrid w:val="0"/>
        <w:spacing w:after="240"/>
        <w:rPr>
          <w:snapToGrid w:val="0"/>
        </w:rPr>
      </w:pPr>
      <w:r>
        <w:rPr>
          <w:snapToGrid w:val="0"/>
        </w:rPr>
        <w:t>18.</w:t>
      </w:r>
      <w:r>
        <w:rPr>
          <w:snapToGrid w:val="0"/>
        </w:rPr>
        <w:tab/>
        <w:t>Las prestaciones familiares son esenciales para la realización del derecho de los niños y de los adultos a cargo a la protección en virtud de los artículo 9 y 10 del Pacto.  Al conceder las prestaciones, el Estado Parte debe tener en cuenta los recursos y la situación del niño y de las personas responsables de</w:t>
      </w:r>
      <w:r w:rsidR="004A73DA">
        <w:rPr>
          <w:snapToGrid w:val="0"/>
        </w:rPr>
        <w:t>l</w:t>
      </w:r>
      <w:r>
        <w:rPr>
          <w:snapToGrid w:val="0"/>
        </w:rPr>
        <w:t xml:space="preserve"> mantenimiento del niño o el adulto a cargo, así como cualquier otra consideración pertinente a una solicitud de prestaciones hecha por el niño o en su nombre o por el adulto a cargo</w:t>
      </w:r>
      <w:r>
        <w:rPr>
          <w:rStyle w:val="FootnoteReference"/>
          <w:snapToGrid w:val="0"/>
        </w:rPr>
        <w:footnoteReference w:id="14"/>
      </w:r>
      <w:r>
        <w:rPr>
          <w:snapToGrid w:val="0"/>
        </w:rPr>
        <w:t>.  Las prestaciones familiares, incluidas las prestaciones en efectivo y los servicios sociales, deben concederse a las familias sin discriminación por ninguno de los motivos prohibidos, y normalmente incluirían el alimento, el vestido, la vivienda, el agua y el saneamiento y otros derechos, según proceda.</w:t>
      </w:r>
    </w:p>
    <w:p w:rsidR="00EB0582" w:rsidRDefault="00EB0582" w:rsidP="00EB0582">
      <w:pPr>
        <w:adjustRightInd w:val="0"/>
        <w:snapToGrid w:val="0"/>
        <w:spacing w:after="240"/>
        <w:rPr>
          <w:b/>
          <w:snapToGrid w:val="0"/>
        </w:rPr>
      </w:pPr>
      <w:r>
        <w:rPr>
          <w:b/>
          <w:snapToGrid w:val="0"/>
        </w:rPr>
        <w:tab/>
        <w:t>g)</w:t>
      </w:r>
      <w:r>
        <w:rPr>
          <w:b/>
          <w:snapToGrid w:val="0"/>
        </w:rPr>
        <w:tab/>
        <w:t>Maternidad</w:t>
      </w:r>
    </w:p>
    <w:p w:rsidR="00EB0582" w:rsidRDefault="00EB0582" w:rsidP="00EB0582">
      <w:pPr>
        <w:spacing w:after="240"/>
        <w:rPr>
          <w:snapToGrid w:val="0"/>
        </w:rPr>
      </w:pPr>
      <w:r>
        <w:rPr>
          <w:snapToGrid w:val="0"/>
        </w:rPr>
        <w:t>19.</w:t>
      </w:r>
      <w:r>
        <w:rPr>
          <w:snapToGrid w:val="0"/>
        </w:rPr>
        <w:tab/>
        <w:t>El artículo 10 del Pacto dispone expresamente que "a las madres que trabajen se les debe conceder licencia con remuneración o con prestaciones adecuadas de seguridad social"</w:t>
      </w:r>
      <w:r>
        <w:rPr>
          <w:rStyle w:val="FootnoteReference"/>
          <w:snapToGrid w:val="0"/>
        </w:rPr>
        <w:footnoteReference w:id="15"/>
      </w:r>
      <w:r>
        <w:rPr>
          <w:snapToGrid w:val="0"/>
        </w:rPr>
        <w:t>.  La licencia de maternidad debe concederse a todas las mujeres, incluidas las que realizan trabajos atípicos, y las prestaciones deben proporcionarse durante un período adecuado</w:t>
      </w:r>
      <w:r>
        <w:rPr>
          <w:rStyle w:val="FootnoteReference"/>
          <w:snapToGrid w:val="0"/>
        </w:rPr>
        <w:footnoteReference w:id="16"/>
      </w:r>
      <w:r>
        <w:rPr>
          <w:snapToGrid w:val="0"/>
        </w:rPr>
        <w:t>.  Deben concederse prestaciones médicas apropiadas a la mujer y al niño, incluida la atención en el período prenatal, durante el parto y en el período posnatal, y de ser necesario la hospitalización.</w:t>
      </w:r>
    </w:p>
    <w:p w:rsidR="00EB0582" w:rsidRDefault="00EB0582" w:rsidP="00EB0582">
      <w:pPr>
        <w:spacing w:after="240"/>
        <w:rPr>
          <w:b/>
          <w:snapToGrid w:val="0"/>
        </w:rPr>
      </w:pPr>
      <w:r>
        <w:rPr>
          <w:b/>
          <w:snapToGrid w:val="0"/>
        </w:rPr>
        <w:tab/>
        <w:t>h)</w:t>
      </w:r>
      <w:r>
        <w:rPr>
          <w:b/>
          <w:snapToGrid w:val="0"/>
        </w:rPr>
        <w:tab/>
        <w:t>Discapacidad</w:t>
      </w:r>
    </w:p>
    <w:p w:rsidR="00EB0582" w:rsidRDefault="00EB0582" w:rsidP="00EB0582">
      <w:pPr>
        <w:spacing w:after="240"/>
        <w:rPr>
          <w:snapToGrid w:val="0"/>
        </w:rPr>
      </w:pPr>
      <w:r>
        <w:rPr>
          <w:snapToGrid w:val="0"/>
        </w:rPr>
        <w:t>20.</w:t>
      </w:r>
      <w:r>
        <w:rPr>
          <w:snapToGrid w:val="0"/>
        </w:rPr>
        <w:tab/>
        <w:t xml:space="preserve">En la Observación general Nº 5 </w:t>
      </w:r>
      <w:r w:rsidR="004A73DA">
        <w:rPr>
          <w:snapToGrid w:val="0"/>
        </w:rPr>
        <w:t xml:space="preserve">(1994) </w:t>
      </w:r>
      <w:r>
        <w:rPr>
          <w:snapToGrid w:val="0"/>
        </w:rPr>
        <w:t>sobre las personas con discapacidad, el Comité insistió en la importancia de prestar apoyo suficiente a los ingresos de las personas con discapacidad que, debido a su condición o a factores relacionados con la discapacidad, hubieran perdido temporalmente o hubieran visto reducido</w:t>
      </w:r>
      <w:r w:rsidR="004A73DA">
        <w:rPr>
          <w:snapToGrid w:val="0"/>
        </w:rPr>
        <w:t>s</w:t>
      </w:r>
      <w:r>
        <w:rPr>
          <w:snapToGrid w:val="0"/>
        </w:rPr>
        <w:t xml:space="preserve"> sus ingresos, se les hubieran denegado oportunidades de empleo o tuvieran una discapacidad permanente.  Ese apoyo debe prestarse de una manera digna</w:t>
      </w:r>
      <w:r>
        <w:rPr>
          <w:rStyle w:val="FootnoteReference"/>
          <w:snapToGrid w:val="0"/>
        </w:rPr>
        <w:footnoteReference w:id="17"/>
      </w:r>
      <w:r>
        <w:rPr>
          <w:snapToGrid w:val="0"/>
        </w:rPr>
        <w:t>, y debe reflejar las necesidades especiales de asistencia y otros gastos que suele conllevar la discapacidad.  El apoyo prestado debe extenderse también a los familiares y otras personas que se ocupan de cuidar a la persona con discapacidad.</w:t>
      </w:r>
    </w:p>
    <w:p w:rsidR="00EB0582" w:rsidRDefault="00EB0582" w:rsidP="00EB0582">
      <w:pPr>
        <w:spacing w:after="240"/>
        <w:rPr>
          <w:b/>
          <w:snapToGrid w:val="0"/>
        </w:rPr>
      </w:pPr>
      <w:r>
        <w:rPr>
          <w:b/>
          <w:snapToGrid w:val="0"/>
        </w:rPr>
        <w:tab/>
        <w:t>i)</w:t>
      </w:r>
      <w:r>
        <w:rPr>
          <w:b/>
          <w:snapToGrid w:val="0"/>
        </w:rPr>
        <w:tab/>
        <w:t>Sobrevivientes y huérfanos</w:t>
      </w:r>
    </w:p>
    <w:p w:rsidR="00EB0582" w:rsidRDefault="00EB0582" w:rsidP="00EB0582">
      <w:pPr>
        <w:spacing w:after="240"/>
        <w:rPr>
          <w:snapToGrid w:val="0"/>
        </w:rPr>
      </w:pPr>
      <w:r>
        <w:rPr>
          <w:snapToGrid w:val="0"/>
        </w:rPr>
        <w:t>21.</w:t>
      </w:r>
      <w:r>
        <w:rPr>
          <w:snapToGrid w:val="0"/>
        </w:rPr>
        <w:tab/>
        <w:t>Los Estados Partes también deben asegurar que se concedan prestaciones de supervivencia y de orfandad a la muerte del sostén de la familia afiliado a la seguridad social o con derecho a una pensión</w:t>
      </w:r>
      <w:r>
        <w:rPr>
          <w:rStyle w:val="FootnoteReference"/>
          <w:snapToGrid w:val="0"/>
        </w:rPr>
        <w:footnoteReference w:id="18"/>
      </w:r>
      <w:r>
        <w:rPr>
          <w:snapToGrid w:val="0"/>
        </w:rPr>
        <w:t>.  Las prestaciones deben incluir los gastos de los servicios fúnebres, en particular en los Estados Partes en que esos gastos son prohibitivos.  Los sobrevivientes o huérfanos no deben ser excluidos de los planes de seguridad por motivos prohibidos de discriminación y deben recibir asistencia para tener acceso a los planes de seguridad social, en particular cuando las enfermedades endémicas, como el VIH/SIDA, la tuberculosis y la malaria privan, del apoyo de la familia y de la comunidad a un gran número de niños o personas de edad.</w:t>
      </w:r>
    </w:p>
    <w:p w:rsidR="00EB0582" w:rsidRDefault="00EB0582" w:rsidP="00EB0582">
      <w:pPr>
        <w:adjustRightInd w:val="0"/>
        <w:snapToGrid w:val="0"/>
        <w:spacing w:after="240"/>
        <w:rPr>
          <w:b/>
          <w:snapToGrid w:val="0"/>
        </w:rPr>
      </w:pPr>
      <w:r>
        <w:rPr>
          <w:b/>
          <w:snapToGrid w:val="0"/>
        </w:rPr>
        <w:t>3.</w:t>
      </w:r>
      <w:r>
        <w:rPr>
          <w:b/>
          <w:snapToGrid w:val="0"/>
        </w:rPr>
        <w:tab/>
        <w:t>Nivel suficiente</w:t>
      </w:r>
    </w:p>
    <w:p w:rsidR="00EB0582" w:rsidRDefault="00EB0582" w:rsidP="00EB0582">
      <w:pPr>
        <w:adjustRightInd w:val="0"/>
        <w:snapToGrid w:val="0"/>
        <w:spacing w:after="240"/>
        <w:rPr>
          <w:snapToGrid w:val="0"/>
        </w:rPr>
      </w:pPr>
      <w:r>
        <w:rPr>
          <w:snapToGrid w:val="0"/>
        </w:rPr>
        <w:t>22.</w:t>
      </w:r>
      <w:r>
        <w:rPr>
          <w:snapToGrid w:val="0"/>
        </w:rPr>
        <w:tab/>
        <w:t>Las prestaciones, ya sea en efectivo o en especie, deben ser suficiente en importe y duración a fin de que todos puedan gozar de sus derechos a la protección y asistencia familiar, de unas condiciones de vida adecuadas y de acceso suficientes a la atención de salud, como se dispone en los artículos 10, 11 y 12 del Pacto.  Además, los Estados Partes deben respetar plenamente el principio de la dignidad humana enunciado en el preámbulo del Pacto, y el principio de la no discriminación, a fin de evitar cualquier efecto adverso sobre el nivel de las prestaciones y la forma en que se conceden.  Los métodos aplicados deben asegurar un nivel suficiente de las prestaciones.  Los criterios de suficiencia deben revisarse periódicamente, para asegurarse de que los beneficiarios pueden costear los bienes y servicios que necesitan para ejercer los derechos reconocidos en el Pacto.  Cuando una persona cotiza a un plan de seguridad social que ofrece prestaciones para suplir la falta de ingresos, debe haber una relación razonable entre los ingresos, las cotizaciones abonadas y la cuantía de la prestación pertinente.</w:t>
      </w:r>
    </w:p>
    <w:p w:rsidR="00EB0582" w:rsidRDefault="00EB0582" w:rsidP="00EB0582">
      <w:pPr>
        <w:adjustRightInd w:val="0"/>
        <w:snapToGrid w:val="0"/>
        <w:spacing w:after="240"/>
        <w:rPr>
          <w:b/>
          <w:snapToGrid w:val="0"/>
        </w:rPr>
      </w:pPr>
      <w:r>
        <w:rPr>
          <w:b/>
          <w:snapToGrid w:val="0"/>
        </w:rPr>
        <w:t>4.</w:t>
      </w:r>
      <w:r>
        <w:rPr>
          <w:b/>
          <w:snapToGrid w:val="0"/>
        </w:rPr>
        <w:tab/>
        <w:t>Accesibilidad</w:t>
      </w:r>
    </w:p>
    <w:p w:rsidR="00EB0582" w:rsidRDefault="00EB0582" w:rsidP="00EB0582">
      <w:pPr>
        <w:adjustRightInd w:val="0"/>
        <w:snapToGrid w:val="0"/>
        <w:spacing w:after="240"/>
        <w:rPr>
          <w:b/>
          <w:snapToGrid w:val="0"/>
        </w:rPr>
      </w:pPr>
      <w:r>
        <w:rPr>
          <w:b/>
          <w:snapToGrid w:val="0"/>
        </w:rPr>
        <w:tab/>
        <w:t>a)</w:t>
      </w:r>
      <w:r>
        <w:rPr>
          <w:b/>
          <w:snapToGrid w:val="0"/>
        </w:rPr>
        <w:tab/>
        <w:t>Cobertura</w:t>
      </w:r>
    </w:p>
    <w:p w:rsidR="00EB0582" w:rsidRDefault="00EB0582" w:rsidP="00EB0582">
      <w:pPr>
        <w:adjustRightInd w:val="0"/>
        <w:snapToGrid w:val="0"/>
        <w:spacing w:after="240"/>
        <w:rPr>
          <w:snapToGrid w:val="0"/>
        </w:rPr>
      </w:pPr>
      <w:r>
        <w:rPr>
          <w:snapToGrid w:val="0"/>
        </w:rPr>
        <w:t>23.</w:t>
      </w:r>
      <w:r>
        <w:rPr>
          <w:snapToGrid w:val="0"/>
        </w:rPr>
        <w:tab/>
        <w:t>Todas las personas deben estar cubiertas por el sistema de seguridad social, incluidas las personas y los grupos más desfavorecidos o marginados, sin discriminación basada en algunos de los motivos prohibidos en el párrafo 2 del artículo 2 del Pacto.  Para garantizar la cobertura de todos, resultarán necesarios los planes no contributivos.</w:t>
      </w:r>
    </w:p>
    <w:p w:rsidR="00EB0582" w:rsidRDefault="00EB0582" w:rsidP="00EB0582">
      <w:pPr>
        <w:adjustRightInd w:val="0"/>
        <w:snapToGrid w:val="0"/>
        <w:spacing w:after="240"/>
        <w:rPr>
          <w:b/>
          <w:snapToGrid w:val="0"/>
        </w:rPr>
      </w:pPr>
      <w:r>
        <w:rPr>
          <w:b/>
          <w:snapToGrid w:val="0"/>
        </w:rPr>
        <w:tab/>
        <w:t>b)</w:t>
      </w:r>
      <w:r>
        <w:rPr>
          <w:b/>
          <w:snapToGrid w:val="0"/>
        </w:rPr>
        <w:tab/>
        <w:t>Condiciones</w:t>
      </w:r>
    </w:p>
    <w:p w:rsidR="00EB0582" w:rsidRDefault="00EB0582" w:rsidP="00EB0582">
      <w:pPr>
        <w:adjustRightInd w:val="0"/>
        <w:snapToGrid w:val="0"/>
        <w:spacing w:after="240"/>
        <w:rPr>
          <w:snapToGrid w:val="0"/>
        </w:rPr>
      </w:pPr>
      <w:r>
        <w:rPr>
          <w:snapToGrid w:val="0"/>
        </w:rPr>
        <w:t>24.</w:t>
      </w:r>
      <w:r>
        <w:rPr>
          <w:snapToGrid w:val="0"/>
        </w:rPr>
        <w:tab/>
        <w:t>Las condiciones para acogerse a las prestaciones deben ser razonables, proporcionadas y transparentes.  La supresión, reducción o suspensión de las prestaciones debe ser limitada, basarse en motivos razonables y estar prevista en la legislación nacional</w:t>
      </w:r>
      <w:r>
        <w:rPr>
          <w:rStyle w:val="FootnoteReference"/>
          <w:snapToGrid w:val="0"/>
        </w:rPr>
        <w:footnoteReference w:id="19"/>
      </w:r>
      <w:r>
        <w:rPr>
          <w:snapToGrid w:val="0"/>
        </w:rPr>
        <w:t>.</w:t>
      </w:r>
    </w:p>
    <w:p w:rsidR="00EB0582" w:rsidRDefault="00EB0582" w:rsidP="00EB0582">
      <w:pPr>
        <w:keepNext/>
        <w:adjustRightInd w:val="0"/>
        <w:snapToGrid w:val="0"/>
        <w:spacing w:after="240"/>
        <w:rPr>
          <w:b/>
          <w:snapToGrid w:val="0"/>
        </w:rPr>
      </w:pPr>
      <w:r>
        <w:rPr>
          <w:snapToGrid w:val="0"/>
        </w:rPr>
        <w:tab/>
      </w:r>
      <w:r>
        <w:rPr>
          <w:b/>
          <w:snapToGrid w:val="0"/>
        </w:rPr>
        <w:t>c)</w:t>
      </w:r>
      <w:r>
        <w:rPr>
          <w:b/>
          <w:snapToGrid w:val="0"/>
        </w:rPr>
        <w:tab/>
        <w:t>Asequibilidad</w:t>
      </w:r>
    </w:p>
    <w:p w:rsidR="00EB0582" w:rsidRDefault="00EB0582" w:rsidP="00EB0582">
      <w:pPr>
        <w:adjustRightInd w:val="0"/>
        <w:snapToGrid w:val="0"/>
        <w:spacing w:after="240"/>
        <w:rPr>
          <w:snapToGrid w:val="0"/>
        </w:rPr>
      </w:pPr>
      <w:r>
        <w:rPr>
          <w:snapToGrid w:val="0"/>
        </w:rPr>
        <w:t>25.</w:t>
      </w:r>
      <w:r>
        <w:rPr>
          <w:snapToGrid w:val="0"/>
        </w:rPr>
        <w:tab/>
        <w:t>Si un plan de seguridad social exige el pago de cotizaciones, éstas deben definirse por adelantado.  Los costos directos e indirectos relacionados con las cotizaciones deben de ser asequibles para todos y no deben comprometer el ejercicio de otros derechos reconocidos en el Pacto.</w:t>
      </w:r>
    </w:p>
    <w:p w:rsidR="00EB0582" w:rsidRDefault="00EB0582" w:rsidP="00EB0582">
      <w:pPr>
        <w:adjustRightInd w:val="0"/>
        <w:snapToGrid w:val="0"/>
        <w:spacing w:after="240"/>
        <w:rPr>
          <w:b/>
          <w:snapToGrid w:val="0"/>
        </w:rPr>
      </w:pPr>
      <w:r>
        <w:rPr>
          <w:snapToGrid w:val="0"/>
        </w:rPr>
        <w:tab/>
      </w:r>
      <w:r w:rsidR="004A73DA" w:rsidRPr="00BB69A9">
        <w:rPr>
          <w:b/>
          <w:snapToGrid w:val="0"/>
        </w:rPr>
        <w:t>d</w:t>
      </w:r>
      <w:r w:rsidRPr="00BB69A9">
        <w:rPr>
          <w:b/>
          <w:snapToGrid w:val="0"/>
        </w:rPr>
        <w:t>)</w:t>
      </w:r>
      <w:r>
        <w:rPr>
          <w:b/>
          <w:snapToGrid w:val="0"/>
        </w:rPr>
        <w:tab/>
        <w:t>Participación e información</w:t>
      </w:r>
    </w:p>
    <w:p w:rsidR="00EB0582" w:rsidRDefault="00EB0582" w:rsidP="00EB0582">
      <w:pPr>
        <w:adjustRightInd w:val="0"/>
        <w:snapToGrid w:val="0"/>
        <w:spacing w:after="240"/>
        <w:rPr>
          <w:snapToGrid w:val="0"/>
        </w:rPr>
      </w:pPr>
      <w:r>
        <w:rPr>
          <w:snapToGrid w:val="0"/>
        </w:rPr>
        <w:t>26.</w:t>
      </w:r>
      <w:r>
        <w:rPr>
          <w:snapToGrid w:val="0"/>
        </w:rPr>
        <w:tab/>
        <w:t>Los beneficiarios de los planes de seguridad social deben poder participar en la administración del sistema</w:t>
      </w:r>
      <w:r>
        <w:rPr>
          <w:rStyle w:val="FootnoteReference"/>
          <w:snapToGrid w:val="0"/>
        </w:rPr>
        <w:footnoteReference w:id="20"/>
      </w:r>
      <w:r>
        <w:rPr>
          <w:snapToGrid w:val="0"/>
        </w:rPr>
        <w:t>.  El sistema debe establecerse en el marco de la legislación nacional y garantizar el derecho de las personas y las organizaciones a recabar, recibir y distribuir información sobre todos los derechos ofrecidos por la seguridad social de manera clara y trasparente.</w:t>
      </w:r>
    </w:p>
    <w:p w:rsidR="00EB0582" w:rsidRDefault="00EB0582" w:rsidP="00EB0582">
      <w:pPr>
        <w:adjustRightInd w:val="0"/>
        <w:snapToGrid w:val="0"/>
        <w:spacing w:after="240"/>
        <w:rPr>
          <w:b/>
          <w:snapToGrid w:val="0"/>
        </w:rPr>
      </w:pPr>
      <w:r>
        <w:rPr>
          <w:b/>
          <w:snapToGrid w:val="0"/>
        </w:rPr>
        <w:tab/>
        <w:t>e)</w:t>
      </w:r>
      <w:r>
        <w:rPr>
          <w:b/>
          <w:snapToGrid w:val="0"/>
        </w:rPr>
        <w:tab/>
        <w:t>Acceso físico</w:t>
      </w:r>
    </w:p>
    <w:p w:rsidR="00EB0582" w:rsidRDefault="00EB0582" w:rsidP="00EB0582">
      <w:pPr>
        <w:adjustRightInd w:val="0"/>
        <w:snapToGrid w:val="0"/>
        <w:spacing w:after="240"/>
        <w:rPr>
          <w:snapToGrid w:val="0"/>
        </w:rPr>
      </w:pPr>
      <w:r>
        <w:rPr>
          <w:snapToGrid w:val="0"/>
        </w:rPr>
        <w:t>27.</w:t>
      </w:r>
      <w:r>
        <w:rPr>
          <w:snapToGrid w:val="0"/>
        </w:rPr>
        <w:tab/>
        <w:t xml:space="preserve">Las prestaciones deben concederse oportunamente, y los beneficiarios deben tener acceso físico a los servicios de seguridad social con el fin de obtener las prestaciones y la información, y hacer las </w:t>
      </w:r>
      <w:r w:rsidR="004A73DA">
        <w:rPr>
          <w:snapToGrid w:val="0"/>
        </w:rPr>
        <w:t>cotizaciones</w:t>
      </w:r>
      <w:r>
        <w:rPr>
          <w:snapToGrid w:val="0"/>
        </w:rPr>
        <w:t xml:space="preserve"> cuando corresponda.  Debe prestarse la debida atención a este respecto a las personas con discapacidades, los trabajadores migrantes y las personas que viven en zonas remotas o expuestas a desastres, así como en zonas en que tienen lugar conflictos armados, de forma que también ellas puedan tener acceso a estos servicios.</w:t>
      </w:r>
    </w:p>
    <w:p w:rsidR="00EB0582" w:rsidRDefault="00EB0582" w:rsidP="00EB0582">
      <w:pPr>
        <w:adjustRightInd w:val="0"/>
        <w:snapToGrid w:val="0"/>
        <w:spacing w:after="240"/>
        <w:rPr>
          <w:b/>
          <w:snapToGrid w:val="0"/>
        </w:rPr>
      </w:pPr>
      <w:r>
        <w:rPr>
          <w:b/>
          <w:snapToGrid w:val="0"/>
        </w:rPr>
        <w:t>5.</w:t>
      </w:r>
      <w:r>
        <w:rPr>
          <w:b/>
          <w:snapToGrid w:val="0"/>
        </w:rPr>
        <w:tab/>
        <w:t>Relación con otros derechos</w:t>
      </w:r>
    </w:p>
    <w:p w:rsidR="00EB0582" w:rsidRDefault="00EB0582" w:rsidP="00EB0582">
      <w:pPr>
        <w:adjustRightInd w:val="0"/>
        <w:snapToGrid w:val="0"/>
        <w:spacing w:after="240"/>
        <w:rPr>
          <w:snapToGrid w:val="0"/>
        </w:rPr>
      </w:pPr>
      <w:r>
        <w:rPr>
          <w:snapToGrid w:val="0"/>
        </w:rPr>
        <w:t>28.</w:t>
      </w:r>
      <w:r>
        <w:rPr>
          <w:snapToGrid w:val="0"/>
        </w:rPr>
        <w:tab/>
        <w:t>El derecho a la seguridad social contribuye en gran medida a reforzar el ejercicio de muchos de los derechos enunciados en el Pacto, pero son necesarias otras medidas para complementarlo.  Por ejemplo, los Estados Partes deben prestar servicios sociales para la rehabilitación de las personas lesionadas y personas con discapacidad de conformidad con el artículo 6 del Pacto; proporcionar cuidados a los niños y servicios para su bienestar; proporcionar asesoramiento y asistencia para la planificación de la familia, así como servicios especiales para las personas con discapacidad y personas de edad (art. 10); adoptar medidas para luchar contra la pobreza y la exclusión social y prestar servicios sociales de apoyo (art. 11); y adoptar medidas para prevenir las enfermedades y mejorar las instalaciones, los bienes y los servicios de salud (art. 12)</w:t>
      </w:r>
      <w:r>
        <w:rPr>
          <w:rStyle w:val="FootnoteReference"/>
          <w:snapToGrid w:val="0"/>
        </w:rPr>
        <w:footnoteReference w:id="21"/>
      </w:r>
      <w:r>
        <w:rPr>
          <w:snapToGrid w:val="0"/>
        </w:rPr>
        <w:t>.  Los Estados Partes deben también estudiar la posibilidad de establecer planes para brindar protección social a los grupos marginados y desfavorecidos, por ejemplo mediante el seguro agrícola, o contra los desastres naturales para los pequeños agricultores</w:t>
      </w:r>
      <w:r>
        <w:rPr>
          <w:rStyle w:val="FootnoteReference"/>
          <w:snapToGrid w:val="0"/>
        </w:rPr>
        <w:footnoteReference w:id="22"/>
      </w:r>
      <w:r>
        <w:rPr>
          <w:snapToGrid w:val="0"/>
        </w:rPr>
        <w:t>, o protección de los medios de subsistencia de las personas que trabajan por cuenta propia en el sector no estructurado.  Sin embargo, la adopción de medidas para el disfrute de otros derechos del Pacto no constituirá en sí misma un sustituto de la creación de sistemas de seguridad social.</w:t>
      </w:r>
    </w:p>
    <w:p w:rsidR="00EB0582" w:rsidRDefault="00EB0582" w:rsidP="00EB0582">
      <w:pPr>
        <w:adjustRightInd w:val="0"/>
        <w:snapToGrid w:val="0"/>
        <w:spacing w:after="240"/>
        <w:jc w:val="center"/>
        <w:rPr>
          <w:b/>
          <w:snapToGrid w:val="0"/>
        </w:rPr>
      </w:pPr>
      <w:r>
        <w:rPr>
          <w:b/>
          <w:snapToGrid w:val="0"/>
        </w:rPr>
        <w:t>B.  Temas especiales de aplicación amplia</w:t>
      </w:r>
    </w:p>
    <w:p w:rsidR="00EB0582" w:rsidRPr="004B40C0" w:rsidRDefault="00EB0582" w:rsidP="00EB0582">
      <w:pPr>
        <w:adjustRightInd w:val="0"/>
        <w:snapToGrid w:val="0"/>
        <w:spacing w:after="240"/>
        <w:rPr>
          <w:b/>
          <w:snapToGrid w:val="0"/>
        </w:rPr>
      </w:pPr>
      <w:r>
        <w:rPr>
          <w:b/>
          <w:snapToGrid w:val="0"/>
        </w:rPr>
        <w:t>1.</w:t>
      </w:r>
      <w:r>
        <w:rPr>
          <w:b/>
          <w:snapToGrid w:val="0"/>
        </w:rPr>
        <w:tab/>
        <w:t>No discriminación e igualdad</w:t>
      </w:r>
    </w:p>
    <w:p w:rsidR="00EB0582" w:rsidRDefault="00EB0582" w:rsidP="00EB0582">
      <w:pPr>
        <w:adjustRightInd w:val="0"/>
        <w:snapToGrid w:val="0"/>
        <w:spacing w:after="240"/>
        <w:rPr>
          <w:snapToGrid w:val="0"/>
        </w:rPr>
      </w:pPr>
      <w:r>
        <w:rPr>
          <w:snapToGrid w:val="0"/>
        </w:rPr>
        <w:t>29.</w:t>
      </w:r>
      <w:r>
        <w:rPr>
          <w:snapToGrid w:val="0"/>
        </w:rPr>
        <w:tab/>
        <w:t>La obligación de los Estados de garantizar que el derecho a la seguridad social se ejerza sin discriminación (párr</w:t>
      </w:r>
      <w:r w:rsidR="004A73DA">
        <w:rPr>
          <w:snapToGrid w:val="0"/>
        </w:rPr>
        <w:t>afo</w:t>
      </w:r>
      <w:r>
        <w:rPr>
          <w:snapToGrid w:val="0"/>
        </w:rPr>
        <w:t xml:space="preserve"> 2 del artículo 2 del Pacto) y en condiciones de igualdad entre hombres y mujeres (art. 3) se extiende a todas las obligaciones previstas en la parte III del Pacto.  El Pacto prohíbe toda discriminación, de hecho o de derecho, directa o indirectamente, por motivos de raza, color, sexo</w:t>
      </w:r>
      <w:r>
        <w:rPr>
          <w:rStyle w:val="FootnoteReference"/>
          <w:snapToGrid w:val="0"/>
        </w:rPr>
        <w:footnoteReference w:id="23"/>
      </w:r>
      <w:r>
        <w:rPr>
          <w:snapToGrid w:val="0"/>
        </w:rPr>
        <w:t>, edad</w:t>
      </w:r>
      <w:r>
        <w:rPr>
          <w:rStyle w:val="FootnoteReference"/>
          <w:snapToGrid w:val="0"/>
        </w:rPr>
        <w:footnoteReference w:id="24"/>
      </w:r>
      <w:r>
        <w:rPr>
          <w:snapToGrid w:val="0"/>
        </w:rPr>
        <w:t>, idioma, religión, opinión política o de otra índole, origen nacional o social, posición económica, nacimiento, discapacidad física o mental</w:t>
      </w:r>
      <w:r>
        <w:rPr>
          <w:rStyle w:val="FootnoteReference"/>
          <w:snapToGrid w:val="0"/>
        </w:rPr>
        <w:footnoteReference w:id="25"/>
      </w:r>
      <w:r>
        <w:rPr>
          <w:snapToGrid w:val="0"/>
        </w:rPr>
        <w:t>, estado de salud (incluido el VIH/SIDA), orientación sexual, estado civil o cualquier otra condición política, social o de otro tipo que pretenda o tenga por efecto anular o menoscabar el igual disfrute o el ejercicio del derecho a la seguridad social.</w:t>
      </w:r>
    </w:p>
    <w:p w:rsidR="00EB0582" w:rsidRDefault="00EB0582" w:rsidP="00EB0582">
      <w:pPr>
        <w:adjustRightInd w:val="0"/>
        <w:snapToGrid w:val="0"/>
        <w:spacing w:after="240"/>
        <w:rPr>
          <w:snapToGrid w:val="0"/>
        </w:rPr>
      </w:pPr>
      <w:r>
        <w:rPr>
          <w:snapToGrid w:val="0"/>
        </w:rPr>
        <w:t>30.</w:t>
      </w:r>
      <w:r>
        <w:rPr>
          <w:snapToGrid w:val="0"/>
        </w:rPr>
        <w:tab/>
        <w:t>Los Estados Partes deben también suprimir la discriminación de hecho por motivos prohibidos, en los casos en que personas o grupos se ven imposibilitados de acceder a una seguridad social adecuada.  Los Estados Partes deben asegurar que la legislación, las políticas, los programas y los recursos asignados faciliten el acceso a la seguridad social de todos los miembros de la sociedad, de conformidad con la parte III.  También deben revisarse las restricciones de acceso a los planes de seguridad social para cerciorarse de que no discriminan de hecho ni de derecho.</w:t>
      </w:r>
    </w:p>
    <w:p w:rsidR="00EB0582" w:rsidRDefault="00EB0582" w:rsidP="00EB0582">
      <w:pPr>
        <w:adjustRightInd w:val="0"/>
        <w:snapToGrid w:val="0"/>
        <w:spacing w:after="240"/>
        <w:rPr>
          <w:snapToGrid w:val="0"/>
        </w:rPr>
      </w:pPr>
      <w:r>
        <w:rPr>
          <w:snapToGrid w:val="0"/>
        </w:rPr>
        <w:t>31.</w:t>
      </w:r>
      <w:r>
        <w:rPr>
          <w:snapToGrid w:val="0"/>
        </w:rPr>
        <w:tab/>
        <w:t xml:space="preserve">Aunque toda persona tiene derecho a la seguridad social, los Estados Partes deben prestar especial atención a las personas y los grupos que tradicionalmente han tenido dificultades para ejercer este derecho, en particular las mujeres, los desempleados, los trabajadores insuficientemente protegidos por la seguridad social, las personas que trabajan en el sector no estructurado, los trabajadores enfermos o lesionados, las personas con discapacidad, las personas de edad, los niños y adultos a cargo, los </w:t>
      </w:r>
      <w:r w:rsidRPr="00C404C5">
        <w:rPr>
          <w:snapToGrid w:val="0"/>
        </w:rPr>
        <w:t>trabajadores domésticos</w:t>
      </w:r>
      <w:r w:rsidRPr="00C404C5">
        <w:rPr>
          <w:rStyle w:val="FootnoteReference"/>
          <w:snapToGrid w:val="0"/>
        </w:rPr>
        <w:footnoteReference w:id="26"/>
      </w:r>
      <w:r w:rsidRPr="00C404C5">
        <w:rPr>
          <w:snapToGrid w:val="0"/>
        </w:rPr>
        <w:t>, las personas</w:t>
      </w:r>
      <w:r>
        <w:rPr>
          <w:snapToGrid w:val="0"/>
        </w:rPr>
        <w:t xml:space="preserve"> que trabajan en su domicilio, los refugiados, los solicitantes de asilo, los desplazados internos, los repatriados, los no nacionales, los presos y los detenidos.</w:t>
      </w:r>
    </w:p>
    <w:p w:rsidR="00EB0582" w:rsidRDefault="00EB0582" w:rsidP="00EB0582">
      <w:pPr>
        <w:adjustRightInd w:val="0"/>
        <w:snapToGrid w:val="0"/>
        <w:spacing w:after="240"/>
        <w:rPr>
          <w:snapToGrid w:val="0"/>
        </w:rPr>
      </w:pPr>
      <w:r w:rsidRPr="004A73DA">
        <w:rPr>
          <w:b/>
          <w:snapToGrid w:val="0"/>
        </w:rPr>
        <w:t>2.</w:t>
      </w:r>
      <w:r>
        <w:rPr>
          <w:snapToGrid w:val="0"/>
        </w:rPr>
        <w:tab/>
      </w:r>
      <w:r w:rsidRPr="000C1D35">
        <w:rPr>
          <w:b/>
          <w:snapToGrid w:val="0"/>
        </w:rPr>
        <w:t>Igualdad de género</w:t>
      </w:r>
    </w:p>
    <w:p w:rsidR="00EB0582" w:rsidRDefault="00EB0582" w:rsidP="00EB0582">
      <w:pPr>
        <w:adjustRightInd w:val="0"/>
        <w:snapToGrid w:val="0"/>
        <w:spacing w:after="240"/>
        <w:rPr>
          <w:snapToGrid w:val="0"/>
        </w:rPr>
      </w:pPr>
      <w:r>
        <w:rPr>
          <w:snapToGrid w:val="0"/>
        </w:rPr>
        <w:t>32.</w:t>
      </w:r>
      <w:r>
        <w:rPr>
          <w:snapToGrid w:val="0"/>
        </w:rPr>
        <w:tab/>
        <w:t>En la Observación general Nº 16 (2005) sobre la igualdad de derechos del hombre y la mujer al disfrute de los derechos económicos, sociales y culturales (art. 3), el Comité tomó nota de que la aplicación del artículo 3 en relación con el artículo 9 exige, entre otras cosas, que la edad de jubilación obligatoria sea la misma para hombres y mujeres; que se garantice que las mujeres reciben las mismas prestaciones de los planes de pensiones, tanto públicos como privados; y que se garantice una licencia de maternidad para las mujeres, una licencia de paternidad para los hombres y una licencia compartida para ambos</w:t>
      </w:r>
      <w:r>
        <w:rPr>
          <w:rStyle w:val="FootnoteReference"/>
          <w:snapToGrid w:val="0"/>
        </w:rPr>
        <w:footnoteReference w:id="27"/>
      </w:r>
      <w:r>
        <w:rPr>
          <w:snapToGrid w:val="0"/>
        </w:rPr>
        <w:t>.  En los planes de seguridad social que condicionan las prestaciones a las cotizaciones, los Estados Partes deben adoptar medidas para corregir los factores que impiden a las mujeres cotizar a esos planes (por ejemplo, la participación intermitente en la fuerza de trabajo debido a las responsabilidades familiares y las diferencias de sueldos) o asegurar que los planes tengan en cuenta esos factores en la elaboración de las fórmulas de prestaciones (por ejemplo, teniendo en cuenta a los efectos de los derechos de pensión los períodos dedicados a criar a los hijos y a atender a los adultos a cargo).  Las diferencias en la esperanza media de vida de hombres y mujeres también pueden llevar, directa o indirectamente, a la discriminación en las prestaciones (en particular en el caso de las pensiones), por lo que deben tenerse en cuenta en la formulación de los planes.  En los planes no contributivos, también debe tenerse en cuenta el hecho de que las mujeres tienen más probabilidades de vivir en la pobreza que los hombres y que a menudo son las únicas responsables del cuidado de los hijos.</w:t>
      </w:r>
    </w:p>
    <w:p w:rsidR="00EB0582" w:rsidRDefault="00EB0582" w:rsidP="00EB0582">
      <w:pPr>
        <w:adjustRightInd w:val="0"/>
        <w:snapToGrid w:val="0"/>
        <w:spacing w:after="240"/>
        <w:ind w:left="567" w:hanging="567"/>
        <w:rPr>
          <w:b/>
          <w:snapToGrid w:val="0"/>
        </w:rPr>
      </w:pPr>
      <w:r>
        <w:rPr>
          <w:b/>
          <w:snapToGrid w:val="0"/>
        </w:rPr>
        <w:t>3.</w:t>
      </w:r>
      <w:r>
        <w:rPr>
          <w:b/>
          <w:snapToGrid w:val="0"/>
        </w:rPr>
        <w:tab/>
        <w:t>Trabajadores insuficientemente protegidos por la seguridad social (trabajadores a jornada parcial, trabajadores ocasionales, empleados por cuenta propia y personas que trabajan en su domicilio)</w:t>
      </w:r>
    </w:p>
    <w:p w:rsidR="00EB0582" w:rsidRDefault="00EB0582" w:rsidP="00EB0582">
      <w:pPr>
        <w:adjustRightInd w:val="0"/>
        <w:snapToGrid w:val="0"/>
        <w:spacing w:after="240"/>
        <w:rPr>
          <w:snapToGrid w:val="0"/>
        </w:rPr>
      </w:pPr>
      <w:r>
        <w:rPr>
          <w:snapToGrid w:val="0"/>
        </w:rPr>
        <w:t>33.</w:t>
      </w:r>
      <w:r>
        <w:rPr>
          <w:snapToGrid w:val="0"/>
        </w:rPr>
        <w:tab/>
        <w:t>Los Estados Partes deben tomar medidas, hasta el máximo de los recursos de que dispongan, para que los sistemas de seguridad social incluyan a los trabajadores insuficientemente protegidos por la seguridad social, incluido</w:t>
      </w:r>
      <w:r w:rsidR="004A73DA">
        <w:rPr>
          <w:snapToGrid w:val="0"/>
        </w:rPr>
        <w:t>s</w:t>
      </w:r>
      <w:r>
        <w:rPr>
          <w:snapToGrid w:val="0"/>
        </w:rPr>
        <w:t xml:space="preserve"> los trabajadores a jornada parcial, los trabajadores ocasionales, los empleados por cuenta propia y las personas que trabajan en su domicilio.  En los casos en que los planes de seguridad social para estos trabajadores se basen en una actividad profesional, estos planes deben adaptarse de manera que los trabajadores tengan condiciones equivalentes a las de los trabajadores a jornada completa comparables.  Salvo en el caso de los accidentes laborales, esas condiciones podrían determinarse en proporción a las horas de trabajo, a las cotizaciones o a los ingresos, u otro método apropiado.  Cuando los planes basados en la actividad profesional no proporcionen una cobertura adecuada a estos trabajadores, el Estado Parte tendrá que adoptar medidas complementarias.</w:t>
      </w:r>
    </w:p>
    <w:p w:rsidR="00EB0582" w:rsidRDefault="00EB0582" w:rsidP="00EB0582">
      <w:pPr>
        <w:keepNext/>
        <w:adjustRightInd w:val="0"/>
        <w:snapToGrid w:val="0"/>
        <w:spacing w:after="240"/>
        <w:rPr>
          <w:b/>
          <w:snapToGrid w:val="0"/>
        </w:rPr>
      </w:pPr>
      <w:r>
        <w:rPr>
          <w:b/>
          <w:snapToGrid w:val="0"/>
        </w:rPr>
        <w:t>4.</w:t>
      </w:r>
      <w:r>
        <w:rPr>
          <w:b/>
          <w:snapToGrid w:val="0"/>
        </w:rPr>
        <w:tab/>
        <w:t>Economía no estructurada</w:t>
      </w:r>
    </w:p>
    <w:p w:rsidR="00EB0582" w:rsidRDefault="00EB0582" w:rsidP="00EB0582">
      <w:pPr>
        <w:adjustRightInd w:val="0"/>
        <w:snapToGrid w:val="0"/>
        <w:spacing w:after="240"/>
        <w:rPr>
          <w:snapToGrid w:val="0"/>
        </w:rPr>
      </w:pPr>
      <w:r>
        <w:rPr>
          <w:snapToGrid w:val="0"/>
        </w:rPr>
        <w:t>34.</w:t>
      </w:r>
      <w:r>
        <w:rPr>
          <w:snapToGrid w:val="0"/>
        </w:rPr>
        <w:tab/>
        <w:t>Los Estados Partes deben adoptar medidas, hasta el máximo de los recursos de que dispongan, para que los sistemas de seguridad social incluyan a las personas que trabajan en la economía no estructurada.  La economía no estructurada ha sido definida por la Conferencia Internacional del Trabajo como "el conjunto de actividades económicas desarrolladas por los trabajadores y las unidades económicas que, tanto en la legislación como en la práctica, están insuficientemente contempladas por los sistemas estructurados o no lo están en absoluto"</w:t>
      </w:r>
      <w:r>
        <w:rPr>
          <w:rStyle w:val="FootnoteReference"/>
          <w:snapToGrid w:val="0"/>
        </w:rPr>
        <w:footnoteReference w:id="28"/>
      </w:r>
      <w:r>
        <w:rPr>
          <w:snapToGrid w:val="0"/>
        </w:rPr>
        <w:t>.  Este deber es particularmente importante en los casos en que los sistemas de seguridad social se basan en una relación laboral formal, una unidad empresarial o una residencia registrada.  Estas</w:t>
      </w:r>
      <w:r w:rsidR="004A73DA">
        <w:rPr>
          <w:snapToGrid w:val="0"/>
        </w:rPr>
        <w:t xml:space="preserve"> </w:t>
      </w:r>
      <w:r>
        <w:rPr>
          <w:snapToGrid w:val="0"/>
        </w:rPr>
        <w:t>medidas podrían incluir:  a) la eliminación de los obstáculos que impiden el acceso de esas personas a los planes de seguridad social no tradicionales, como el seguro comunitario;  b) el otorgamiento de un nivel mínimo de cobertura de riesgos e imprevistos con una expansión progresiva con el tiempo; y  c) el respeto y el apoyo a los planes de seguridad social desarrollados en el marco de la economía no estructurada, como los planes de microseguro y otros planes de microcrédito afines.  El Comité observa que en algunos Estados Partes con importantes sectores de economía no estructurada se han adoptado programas que atienden las necesidades del sector no estructurado, por ejemplo proporcionando planes de pensiones y de salud universales que incluyan a todas las personas.</w:t>
      </w:r>
    </w:p>
    <w:p w:rsidR="00EB0582" w:rsidRDefault="00EB0582" w:rsidP="00EB0582">
      <w:pPr>
        <w:adjustRightInd w:val="0"/>
        <w:snapToGrid w:val="0"/>
        <w:spacing w:after="240"/>
        <w:rPr>
          <w:b/>
          <w:snapToGrid w:val="0"/>
        </w:rPr>
      </w:pPr>
      <w:r>
        <w:rPr>
          <w:b/>
          <w:snapToGrid w:val="0"/>
        </w:rPr>
        <w:t>5.</w:t>
      </w:r>
      <w:r>
        <w:rPr>
          <w:b/>
          <w:snapToGrid w:val="0"/>
        </w:rPr>
        <w:tab/>
        <w:t>Poblaciones indígenas y grupos minoritarios</w:t>
      </w:r>
    </w:p>
    <w:p w:rsidR="00EB0582" w:rsidRPr="00C820BE" w:rsidRDefault="00EB0582" w:rsidP="00EB0582">
      <w:pPr>
        <w:adjustRightInd w:val="0"/>
        <w:snapToGrid w:val="0"/>
        <w:spacing w:after="240"/>
        <w:rPr>
          <w:snapToGrid w:val="0"/>
        </w:rPr>
      </w:pPr>
      <w:r>
        <w:rPr>
          <w:snapToGrid w:val="0"/>
        </w:rPr>
        <w:t>35.</w:t>
      </w:r>
      <w:r>
        <w:rPr>
          <w:snapToGrid w:val="0"/>
        </w:rPr>
        <w:tab/>
        <w:t>Los Estados Partes deben tratar en particular de que las poblaciones indígenas y las minorías raciales, étnicas y lingüísticas no queden excluidas de los sistemas de seguridad social por discriminación directa o indirecta, en particular debido a la imposición de condiciones de admisión poco razonables, o a la falta de información suficiente.</w:t>
      </w:r>
    </w:p>
    <w:p w:rsidR="00EE1DD7" w:rsidRPr="006C171D" w:rsidRDefault="00EE1DD7" w:rsidP="00EE1DD7">
      <w:pPr>
        <w:adjustRightInd w:val="0"/>
        <w:snapToGrid w:val="0"/>
        <w:spacing w:after="240"/>
        <w:ind w:left="567" w:hanging="567"/>
        <w:rPr>
          <w:b/>
          <w:snapToGrid w:val="0"/>
        </w:rPr>
      </w:pPr>
      <w:r>
        <w:rPr>
          <w:b/>
          <w:snapToGrid w:val="0"/>
        </w:rPr>
        <w:t>6.</w:t>
      </w:r>
      <w:r>
        <w:rPr>
          <w:b/>
          <w:snapToGrid w:val="0"/>
        </w:rPr>
        <w:tab/>
        <w:t>No nacionales (incluidos los trabajadores migratorios, los refugiados, los solicitantes</w:t>
      </w:r>
      <w:r>
        <w:rPr>
          <w:b/>
          <w:snapToGrid w:val="0"/>
        </w:rPr>
        <w:br/>
        <w:t>de asilo y los apátridas)</w:t>
      </w:r>
    </w:p>
    <w:p w:rsidR="00EE1DD7" w:rsidRDefault="00EE1DD7" w:rsidP="00EE1DD7">
      <w:pPr>
        <w:adjustRightInd w:val="0"/>
        <w:snapToGrid w:val="0"/>
        <w:spacing w:after="240"/>
        <w:rPr>
          <w:snapToGrid w:val="0"/>
        </w:rPr>
      </w:pPr>
      <w:r>
        <w:rPr>
          <w:snapToGrid w:val="0"/>
        </w:rPr>
        <w:t>36.</w:t>
      </w:r>
      <w:r>
        <w:rPr>
          <w:snapToGrid w:val="0"/>
        </w:rPr>
        <w:tab/>
        <w:t>El párrafo 2 del artículo 2 prohíbe la discriminación por motivos de nacionalidad, y el Comité observa que el Pacto no contiene ninguna limitación jurisdiccional expresa.  Cuando los no nacionales, entre ellos los trabajadores migratorios, han cotizado a un plan de seguridad social, deben poder beneficiarse de esa cotización o recuperarla si abandonan el país</w:t>
      </w:r>
      <w:r>
        <w:rPr>
          <w:rStyle w:val="FootnoteReference"/>
          <w:snapToGrid w:val="0"/>
        </w:rPr>
        <w:footnoteReference w:id="29"/>
      </w:r>
      <w:r>
        <w:rPr>
          <w:snapToGrid w:val="0"/>
        </w:rPr>
        <w:t>.  Los derechos de los trabajadores migratorios tampoco deben verse afectados por el cambio del lugar de trabajo.</w:t>
      </w:r>
    </w:p>
    <w:p w:rsidR="00EE1DD7" w:rsidRDefault="00EE1DD7" w:rsidP="00EE1DD7">
      <w:pPr>
        <w:adjustRightInd w:val="0"/>
        <w:snapToGrid w:val="0"/>
        <w:spacing w:after="240"/>
        <w:rPr>
          <w:snapToGrid w:val="0"/>
        </w:rPr>
      </w:pPr>
      <w:r>
        <w:rPr>
          <w:snapToGrid w:val="0"/>
        </w:rPr>
        <w:t>37.</w:t>
      </w:r>
      <w:r>
        <w:rPr>
          <w:snapToGrid w:val="0"/>
        </w:rPr>
        <w:tab/>
        <w:t>Los no nacionales deben poder tener acceso a planes no contributivos de apoyo a los ingresos, y acceso asequible a la atención de salud y el apoyo a la familia.  Cualquier restricción, incluido un período de carencia, debe ser proporcionada y razonable.  Todas las personas, independientemente de su nacionalidad, residencia o condición de inmigración, tienen derecho a atención médica primaria y de emergencia.</w:t>
      </w:r>
    </w:p>
    <w:p w:rsidR="00EE1DD7" w:rsidRDefault="00EE1DD7" w:rsidP="00EE1DD7">
      <w:pPr>
        <w:adjustRightInd w:val="0"/>
        <w:snapToGrid w:val="0"/>
        <w:spacing w:after="240"/>
        <w:rPr>
          <w:snapToGrid w:val="0"/>
        </w:rPr>
      </w:pPr>
      <w:r>
        <w:rPr>
          <w:snapToGrid w:val="0"/>
        </w:rPr>
        <w:t>38.</w:t>
      </w:r>
      <w:r>
        <w:rPr>
          <w:snapToGrid w:val="0"/>
        </w:rPr>
        <w:tab/>
        <w:t>Los refugiados, apátridas, solicitantes de asilo y otras personas o grupos desfavorecidos y marginados deben disfrutar del mismo trato para el acceso a los planes de seguridad social no contributivos, incluido un acceso razonable a la atención de la salud y el apoyo a la familia, de conformidad con las normas internacionales</w:t>
      </w:r>
      <w:r>
        <w:rPr>
          <w:rStyle w:val="FootnoteReference"/>
          <w:snapToGrid w:val="0"/>
        </w:rPr>
        <w:footnoteReference w:id="30"/>
      </w:r>
      <w:r>
        <w:rPr>
          <w:snapToGrid w:val="0"/>
        </w:rPr>
        <w:t>.</w:t>
      </w:r>
    </w:p>
    <w:p w:rsidR="00EE1DD7" w:rsidRPr="006C171D" w:rsidRDefault="00EE1DD7" w:rsidP="00EE1DD7">
      <w:pPr>
        <w:adjustRightInd w:val="0"/>
        <w:snapToGrid w:val="0"/>
        <w:spacing w:after="240"/>
        <w:ind w:left="567" w:hanging="567"/>
        <w:rPr>
          <w:b/>
          <w:snapToGrid w:val="0"/>
        </w:rPr>
      </w:pPr>
      <w:r>
        <w:rPr>
          <w:b/>
          <w:snapToGrid w:val="0"/>
        </w:rPr>
        <w:t>7.</w:t>
      </w:r>
      <w:r>
        <w:rPr>
          <w:b/>
          <w:snapToGrid w:val="0"/>
        </w:rPr>
        <w:tab/>
        <w:t>Desplazados internos e inmigrantes internos</w:t>
      </w:r>
    </w:p>
    <w:p w:rsidR="00EE1DD7" w:rsidRDefault="00EE1DD7" w:rsidP="00EE1DD7">
      <w:pPr>
        <w:adjustRightInd w:val="0"/>
        <w:snapToGrid w:val="0"/>
        <w:spacing w:after="480"/>
        <w:rPr>
          <w:snapToGrid w:val="0"/>
        </w:rPr>
      </w:pPr>
      <w:r>
        <w:rPr>
          <w:snapToGrid w:val="0"/>
        </w:rPr>
        <w:t>39.</w:t>
      </w:r>
      <w:r>
        <w:rPr>
          <w:snapToGrid w:val="0"/>
        </w:rPr>
        <w:tab/>
        <w:t>Los desplazados internos no deben sufrir ningún tipo de discriminación en el disfrute de su derecho a la seguridad social, y los Estados Partes deben tomar medidas proactivas para garantizar su acceso en igualdad de condiciones a los planes, por ejemplo eximiéndolos cuando corresponda de los requisitos de residencia y disponiendo que puedan recibir prestaciones u otros servicios afines en el lugar de desplazamiento.  Los migrantes internos deben poder tener acceso a la seguridad social en su lugar de residencia, y los sistemas de registro de residencia no deben restringir el acceso a la seguridad social de las personas que se desplazan a otro distrito en donde no están registrados.</w:t>
      </w:r>
    </w:p>
    <w:p w:rsidR="00EE1DD7" w:rsidRDefault="00EE1DD7" w:rsidP="00EE1DD7">
      <w:pPr>
        <w:adjustRightInd w:val="0"/>
        <w:snapToGrid w:val="0"/>
        <w:spacing w:before="480" w:after="240"/>
        <w:jc w:val="center"/>
        <w:rPr>
          <w:b/>
          <w:snapToGrid w:val="0"/>
        </w:rPr>
      </w:pPr>
      <w:r>
        <w:rPr>
          <w:b/>
          <w:snapToGrid w:val="0"/>
        </w:rPr>
        <w:t>III. OBLIGACIONES DE LOS ESTADOS PARTES</w:t>
      </w:r>
    </w:p>
    <w:p w:rsidR="00EE1DD7" w:rsidRPr="006C171D" w:rsidRDefault="00EE1DD7" w:rsidP="00EE1DD7">
      <w:pPr>
        <w:adjustRightInd w:val="0"/>
        <w:snapToGrid w:val="0"/>
        <w:spacing w:after="240"/>
        <w:jc w:val="center"/>
        <w:rPr>
          <w:b/>
          <w:snapToGrid w:val="0"/>
        </w:rPr>
      </w:pPr>
      <w:r>
        <w:rPr>
          <w:b/>
          <w:snapToGrid w:val="0"/>
        </w:rPr>
        <w:t>A.  Obligaciones jurídicas generales</w:t>
      </w:r>
    </w:p>
    <w:p w:rsidR="00EE1DD7" w:rsidRDefault="00EE1DD7" w:rsidP="00EE1DD7">
      <w:pPr>
        <w:adjustRightInd w:val="0"/>
        <w:snapToGrid w:val="0"/>
        <w:spacing w:after="240"/>
        <w:rPr>
          <w:snapToGrid w:val="0"/>
        </w:rPr>
      </w:pPr>
      <w:r>
        <w:rPr>
          <w:snapToGrid w:val="0"/>
        </w:rPr>
        <w:t>40.</w:t>
      </w:r>
      <w:r>
        <w:rPr>
          <w:snapToGrid w:val="0"/>
        </w:rPr>
        <w:tab/>
        <w:t>Si bien el Pacto prevé una aplicación progresiva y reconoce los obstáculos que plantean los limitados recursos disponibles, también impone a los Estados Partes diversas obligaciones de efecto inmediato.  Los Estados Partes tienen obligaciones inmediatas por lo que respecta al derecho a la seguridad social, como garantizar el ejercicio de ese derecho sin discriminación alguna (párrafo 2 del artículo 2); la igualdad de derechos de hombres y mujeres (art. 3); y la obligación de adoptar medidas (párrafo 1 del artículo 2) para lograr la cabal aplicación del párrafo 1 del artículo 11 y del artículo 12.  Estas medidas deben ser deliberadas y concretas y tener por finalidad la plena realización del derecho a la seguridad social.</w:t>
      </w:r>
    </w:p>
    <w:p w:rsidR="00EE1DD7" w:rsidRDefault="00EE1DD7" w:rsidP="00EE1DD7">
      <w:pPr>
        <w:adjustRightInd w:val="0"/>
        <w:snapToGrid w:val="0"/>
        <w:spacing w:after="240"/>
        <w:rPr>
          <w:snapToGrid w:val="0"/>
        </w:rPr>
      </w:pPr>
      <w:r>
        <w:rPr>
          <w:snapToGrid w:val="0"/>
        </w:rPr>
        <w:t>41.</w:t>
      </w:r>
      <w:r>
        <w:rPr>
          <w:snapToGrid w:val="0"/>
        </w:rPr>
        <w:tab/>
        <w:t>El Comité reconoce que el ejercicio del derecho a la seguridad social conlleva importantes consecuencias financieras para los Estados Partes, pero observa que la importancia fundamental de la seguridad social para la dignidad humana y el reconocimiento jurídico de este derecho por los Estados Partes supone que se le debe dar la prioridad adecuada en la legislación y en la política del Estado.  Los Estados Partes deben elaborar una estrategia nacional para lograr que se ponga plenamente en práctica el derecho a la seguridad social, y asignar suficientes recursos fiscales y de otro tipo a nivel nacional.  De ser necesario, deben tratar de obtener cooperación y asistencia técnica internacionales de conformidad con el párrafo 1 del artículo 2 del Pacto.</w:t>
      </w:r>
    </w:p>
    <w:p w:rsidR="00EE1DD7" w:rsidRDefault="00EE1DD7" w:rsidP="00EE1DD7">
      <w:pPr>
        <w:adjustRightInd w:val="0"/>
        <w:snapToGrid w:val="0"/>
        <w:spacing w:after="240"/>
        <w:rPr>
          <w:snapToGrid w:val="0"/>
        </w:rPr>
      </w:pPr>
      <w:r>
        <w:rPr>
          <w:snapToGrid w:val="0"/>
        </w:rPr>
        <w:t>42.</w:t>
      </w:r>
      <w:r>
        <w:rPr>
          <w:snapToGrid w:val="0"/>
        </w:rPr>
        <w:tab/>
        <w:t>Existe una fuerte presunción de que la adopción de medidas regresivas con respecto a la seguridad social está prohibida de conformidad con el Pacto.  Si se adoptan medidas deliberadamente regresivas, corresponde al Estado Parte la carga de la prueba de que estas medidas se han adoptado tras un examen minucioso de todas las alternativas posibles y de que están debidamente justificadas habida cuenta de todos los derechos previstos en el Pacto, en el contexto del pleno aprovechamiento del máximo de los recursos de que dispone el Estado Parte.  El Comité examinará detenidamente:  a) si hubo una justificación razonable de las medidas;  b) si se estudiaron exhaustivamente las posibles alternativas;  c) si hubo una verdadera participación de los grupos afectados en el examen de las medidas y alternativas propuestas;  d) si las medidas eran directa o indirectamente discriminatorias;  e) si las medidas tendrán una repercusión sostenida en el ejercicio del derecho a la seguridad social o un efecto injustificado en los derechos adquiridos en materia de seguridad social, o si se priva a alguna persona o grupo del acceso al nivel mínimo indispensable de seguridad social; y  f) si se hizo un examen independiente de las medidas a nivel nacional.</w:t>
      </w:r>
    </w:p>
    <w:p w:rsidR="00EE1DD7" w:rsidRPr="006C171D" w:rsidRDefault="00EE1DD7" w:rsidP="00EE1DD7">
      <w:pPr>
        <w:adjustRightInd w:val="0"/>
        <w:snapToGrid w:val="0"/>
        <w:spacing w:after="240"/>
        <w:jc w:val="center"/>
        <w:rPr>
          <w:b/>
          <w:snapToGrid w:val="0"/>
        </w:rPr>
      </w:pPr>
      <w:r>
        <w:rPr>
          <w:b/>
          <w:snapToGrid w:val="0"/>
        </w:rPr>
        <w:t>B.  Obligaciones jurídicas específicas</w:t>
      </w:r>
    </w:p>
    <w:p w:rsidR="00EE1DD7" w:rsidRDefault="00EE1DD7" w:rsidP="00EE1DD7">
      <w:pPr>
        <w:adjustRightInd w:val="0"/>
        <w:snapToGrid w:val="0"/>
        <w:spacing w:after="240"/>
        <w:rPr>
          <w:snapToGrid w:val="0"/>
        </w:rPr>
      </w:pPr>
      <w:r>
        <w:rPr>
          <w:snapToGrid w:val="0"/>
        </w:rPr>
        <w:t>43.</w:t>
      </w:r>
      <w:r>
        <w:rPr>
          <w:snapToGrid w:val="0"/>
        </w:rPr>
        <w:tab/>
        <w:t>El derecho a la seguridad social, al igual que todos los derechos humanos, impone tres tipos de obligaciones a los Estados Partes, a saber:  la obligación de respetar, la obligación de proteger y la obligación de cumplir.</w:t>
      </w:r>
    </w:p>
    <w:p w:rsidR="00EE1DD7" w:rsidRDefault="00EE1DD7" w:rsidP="00EE1DD7">
      <w:pPr>
        <w:adjustRightInd w:val="0"/>
        <w:snapToGrid w:val="0"/>
        <w:spacing w:after="240"/>
        <w:rPr>
          <w:b/>
          <w:snapToGrid w:val="0"/>
        </w:rPr>
      </w:pPr>
      <w:r>
        <w:rPr>
          <w:b/>
          <w:snapToGrid w:val="0"/>
        </w:rPr>
        <w:t>1.</w:t>
      </w:r>
      <w:r>
        <w:rPr>
          <w:b/>
          <w:snapToGrid w:val="0"/>
        </w:rPr>
        <w:tab/>
        <w:t>Obligación de respetar</w:t>
      </w:r>
    </w:p>
    <w:p w:rsidR="00EE1DD7" w:rsidRDefault="00EE1DD7" w:rsidP="00EE1DD7">
      <w:pPr>
        <w:adjustRightInd w:val="0"/>
        <w:snapToGrid w:val="0"/>
        <w:spacing w:after="240"/>
        <w:rPr>
          <w:snapToGrid w:val="0"/>
        </w:rPr>
      </w:pPr>
      <w:r>
        <w:rPr>
          <w:snapToGrid w:val="0"/>
        </w:rPr>
        <w:t>44.</w:t>
      </w:r>
      <w:r>
        <w:rPr>
          <w:snapToGrid w:val="0"/>
        </w:rPr>
        <w:tab/>
        <w:t>La obligación de respetar exige que los Estados Partes se abstengan de interferir directa o indirectamente en el ejercicio del derecho a la seguridad social.  Esta obligación supone, entre otras cosas, el abstenerse de toda práctica o actividad que, por ejemplo, deniegue o restrinja el acceso en igualdad de condiciones a una seguridad social adecuada; interfiera arbitraria o injustificadamente en los sistemas de seguridad social consuetudinarios, tradicionales, o basados en la autoayuda, o interfiera arbitraria o injustificadamente en las instituciones establecidas por personas físicas o jurídicas para suministrar seguridad social.</w:t>
      </w:r>
    </w:p>
    <w:p w:rsidR="00EE1DD7" w:rsidRPr="006C171D" w:rsidRDefault="00EE1DD7" w:rsidP="00EE1DD7">
      <w:pPr>
        <w:adjustRightInd w:val="0"/>
        <w:snapToGrid w:val="0"/>
        <w:spacing w:after="240"/>
        <w:rPr>
          <w:b/>
          <w:snapToGrid w:val="0"/>
        </w:rPr>
      </w:pPr>
      <w:r>
        <w:rPr>
          <w:b/>
          <w:snapToGrid w:val="0"/>
        </w:rPr>
        <w:t>2.</w:t>
      </w:r>
      <w:r>
        <w:rPr>
          <w:b/>
          <w:snapToGrid w:val="0"/>
        </w:rPr>
        <w:tab/>
        <w:t>Obligación de proteger</w:t>
      </w:r>
    </w:p>
    <w:p w:rsidR="00EE1DD7" w:rsidRDefault="00EE1DD7" w:rsidP="00EE1DD7">
      <w:pPr>
        <w:adjustRightInd w:val="0"/>
        <w:snapToGrid w:val="0"/>
        <w:spacing w:after="240"/>
        <w:rPr>
          <w:snapToGrid w:val="0"/>
        </w:rPr>
      </w:pPr>
      <w:r>
        <w:rPr>
          <w:snapToGrid w:val="0"/>
        </w:rPr>
        <w:t>45.</w:t>
      </w:r>
      <w:r>
        <w:rPr>
          <w:snapToGrid w:val="0"/>
        </w:rPr>
        <w:tab/>
        <w:t>La obligación de proteger exige que los Estados Partes impidan a terceras personas que interfieran en modo alguno en el disfrute del derecho a la seguridad social.  Por terceras partes se entienden los particulares, grupos, empresas y otras entidades, así como los agentes que actúen bajo su autoridad.  Esta obligación incluye, entre otras cosas, la de adoptar las medidas legislativas o de otra índole que sean necesarias y eficaces, por ejemplo, para impedir que terceras partes denieguen el acceso en condiciones de igualdad a los planes de seguridad social administrados por ellas o por otros y que impongan condiciones injustificadas de admisibilidad; interfieran arbitraria o injustificadamente en los sistemas de seguridad social consuetudinarios, tradicionales o basados en la autoayuda que sean compatibles con el derecho a la seguridad social; o no paguen al sistema de seguridad social las cotizaciones exigidas por la ley a los empleados u otros beneficiarios del sistema de seguridad social.</w:t>
      </w:r>
    </w:p>
    <w:p w:rsidR="00EE1DD7" w:rsidRDefault="00EE1DD7" w:rsidP="00EE1DD7">
      <w:pPr>
        <w:adjustRightInd w:val="0"/>
        <w:snapToGrid w:val="0"/>
        <w:spacing w:after="240"/>
        <w:rPr>
          <w:snapToGrid w:val="0"/>
        </w:rPr>
      </w:pPr>
      <w:r>
        <w:rPr>
          <w:snapToGrid w:val="0"/>
        </w:rPr>
        <w:t>46.</w:t>
      </w:r>
      <w:r>
        <w:rPr>
          <w:snapToGrid w:val="0"/>
        </w:rPr>
        <w:tab/>
        <w:t>Cuando los planes de seguridad social, ya sean contributivos o no contributivos, son administrados o controlados por terceras partes, los Estados Partes conservan la responsabilidad de administrar el sistema nacional de seguridad social y asegurar que los agentes del sector privado no pongan en peligro un sistema de seguridad social en condiciones de igualdad, suficiente, al alcance de todos y accesible.  Para impedir estos abusos, debe establecerse un sistema regulador eficaz, que incluya una legislación marco, una supervisión independiente, una auténtica participación pública y la imposición de sanciones en caso de incumplimiento.</w:t>
      </w:r>
    </w:p>
    <w:p w:rsidR="00EE1DD7" w:rsidRDefault="00EE1DD7" w:rsidP="00EE1DD7">
      <w:pPr>
        <w:adjustRightInd w:val="0"/>
        <w:snapToGrid w:val="0"/>
        <w:spacing w:after="240"/>
        <w:rPr>
          <w:b/>
          <w:snapToGrid w:val="0"/>
        </w:rPr>
      </w:pPr>
      <w:r>
        <w:rPr>
          <w:b/>
          <w:snapToGrid w:val="0"/>
        </w:rPr>
        <w:t>3.</w:t>
      </w:r>
      <w:r>
        <w:rPr>
          <w:b/>
          <w:snapToGrid w:val="0"/>
        </w:rPr>
        <w:tab/>
        <w:t>Obligación de cumplir</w:t>
      </w:r>
    </w:p>
    <w:p w:rsidR="00EE1DD7" w:rsidRDefault="00EE1DD7" w:rsidP="00EE1DD7">
      <w:pPr>
        <w:adjustRightInd w:val="0"/>
        <w:snapToGrid w:val="0"/>
        <w:spacing w:after="240"/>
        <w:rPr>
          <w:snapToGrid w:val="0"/>
        </w:rPr>
      </w:pPr>
      <w:r>
        <w:rPr>
          <w:snapToGrid w:val="0"/>
        </w:rPr>
        <w:t>47.</w:t>
      </w:r>
      <w:r>
        <w:rPr>
          <w:snapToGrid w:val="0"/>
        </w:rPr>
        <w:tab/>
        <w:t>La obligación de cumplir exige a los Estados Partes que adopten las medidas necesarias, incluido el establecimiento de un sistema de seguridad social dirigido a la plena realización del derecho a la seguridad social.  Esta obligación de cumplir se puede subdividir en las obligaciones de facilitar, promover y garantizar.</w:t>
      </w:r>
    </w:p>
    <w:p w:rsidR="00EE1DD7" w:rsidRDefault="00EE1DD7" w:rsidP="00EE1DD7">
      <w:pPr>
        <w:adjustRightInd w:val="0"/>
        <w:snapToGrid w:val="0"/>
        <w:spacing w:after="240"/>
        <w:rPr>
          <w:snapToGrid w:val="0"/>
        </w:rPr>
      </w:pPr>
      <w:r>
        <w:rPr>
          <w:snapToGrid w:val="0"/>
        </w:rPr>
        <w:t>48.</w:t>
      </w:r>
      <w:r>
        <w:rPr>
          <w:snapToGrid w:val="0"/>
        </w:rPr>
        <w:tab/>
        <w:t>La obligación de facilitar exige a los Estados Partes que adopten medidas positivas para ayudar a las personas y a las comunidades a ejercer el derecho a la seguridad social.  Esta obligación incluye, entre otras cosas, la de reconocer debidamente este derecho en el ordenamiento político y jurídico nacional, preferiblemente aprobando leyes para su aplicación; adoptando una estrategia nacional de seguridad social y un plan de acción para la realización de este derecho</w:t>
      </w:r>
      <w:r>
        <w:rPr>
          <w:rStyle w:val="FootnoteReference"/>
          <w:snapToGrid w:val="0"/>
        </w:rPr>
        <w:footnoteReference w:id="31"/>
      </w:r>
      <w:r>
        <w:rPr>
          <w:snapToGrid w:val="0"/>
        </w:rPr>
        <w:t>; y asegurando que el sistema de seguridad social sea adecuado, esté al alcance de todos y cubra los riesgos e imprevistos sociales</w:t>
      </w:r>
      <w:r>
        <w:rPr>
          <w:rStyle w:val="FootnoteReference"/>
          <w:snapToGrid w:val="0"/>
        </w:rPr>
        <w:footnoteReference w:id="32"/>
      </w:r>
      <w:r>
        <w:rPr>
          <w:snapToGrid w:val="0"/>
        </w:rPr>
        <w:t>.</w:t>
      </w:r>
    </w:p>
    <w:p w:rsidR="00EE1DD7" w:rsidRDefault="00EE1DD7" w:rsidP="00EE1DD7">
      <w:pPr>
        <w:adjustRightInd w:val="0"/>
        <w:snapToGrid w:val="0"/>
        <w:spacing w:after="240"/>
        <w:rPr>
          <w:snapToGrid w:val="0"/>
        </w:rPr>
      </w:pPr>
      <w:r>
        <w:rPr>
          <w:snapToGrid w:val="0"/>
        </w:rPr>
        <w:t>49.</w:t>
      </w:r>
      <w:r>
        <w:rPr>
          <w:snapToGrid w:val="0"/>
        </w:rPr>
        <w:tab/>
        <w:t xml:space="preserve">La obligación de promover obliga al Estado Parte a tomar medidas para garantizar que haya una educación y una sensibilización pública adecuadas sobre el acceso a los planes de seguridad social, en particular en las zonas rurales y en las zonas urbanas desfavorecidas, o entre las minorías lingüísticas y de otro tipo.  </w:t>
      </w:r>
    </w:p>
    <w:p w:rsidR="00EE1DD7" w:rsidRDefault="00EE1DD7" w:rsidP="00EE1DD7">
      <w:pPr>
        <w:adjustRightInd w:val="0"/>
        <w:snapToGrid w:val="0"/>
        <w:spacing w:after="240"/>
        <w:rPr>
          <w:snapToGrid w:val="0"/>
        </w:rPr>
      </w:pPr>
      <w:r>
        <w:rPr>
          <w:snapToGrid w:val="0"/>
        </w:rPr>
        <w:t>50.</w:t>
      </w:r>
      <w:r>
        <w:rPr>
          <w:snapToGrid w:val="0"/>
        </w:rPr>
        <w:tab/>
        <w:t>Los Estados Partes también tienen la obligación de hacer efectivo el derecho a la seguridad social en los casos en que las personas o los grupos no están en condiciones, por motivos que se consideren razonablemente ajenos a su voluntad, de ejercer por sí mismos ese derecho con los medios a su disposición dentro del sistema de seguridad social existente.  Los Estados Partes deberán adoptar planes no contributivos u otras medidas de asistencia social para prestar apoyo a las personas y los grupos que no puedan hacer suficientes cotizaciones para su propia protección.  Se debe velar especialmente por que el sistema de seguridad social pueda responder en las situaciones de emergencia, por ejemplo desastres naturales, conflictos armados y malas cosechas.</w:t>
      </w:r>
    </w:p>
    <w:p w:rsidR="00EE1DD7" w:rsidRDefault="00EE1DD7" w:rsidP="00EE1DD7">
      <w:pPr>
        <w:adjustRightInd w:val="0"/>
        <w:snapToGrid w:val="0"/>
        <w:spacing w:after="240"/>
        <w:rPr>
          <w:snapToGrid w:val="0"/>
        </w:rPr>
      </w:pPr>
      <w:r>
        <w:rPr>
          <w:snapToGrid w:val="0"/>
        </w:rPr>
        <w:t>51.</w:t>
      </w:r>
      <w:r>
        <w:rPr>
          <w:snapToGrid w:val="0"/>
        </w:rPr>
        <w:tab/>
        <w:t>Es importante que los planes de seguridad social incluyan a los grupos desfavorecidos y marginados, incluso cuando haya una capacidad limitada para financiar la seguridad social, ya sea con los ingresos fiscales o con las cotizaciones de los beneficiarios.  Se podrían desarrollar planes alternativos y de bajo costo para ofrecer una cobertura inmediata a los excluidos de la seguridad social, aunque el objetivo debe ser integrarlos en los planes ordinarios de seguridad social.  Se podrían adoptar políticas y un marco legislativo para incluir gradualmente a las personas que trabajan en el sector no estructurado o que por otras razones están excluidas del acceso a la seguridad social.</w:t>
      </w:r>
    </w:p>
    <w:p w:rsidR="00EE1DD7" w:rsidRDefault="00EE1DD7" w:rsidP="00EE1DD7">
      <w:pPr>
        <w:adjustRightInd w:val="0"/>
        <w:snapToGrid w:val="0"/>
        <w:spacing w:after="240"/>
        <w:rPr>
          <w:snapToGrid w:val="0"/>
        </w:rPr>
      </w:pPr>
      <w:r>
        <w:rPr>
          <w:b/>
          <w:snapToGrid w:val="0"/>
        </w:rPr>
        <w:t>4.</w:t>
      </w:r>
      <w:r>
        <w:rPr>
          <w:b/>
          <w:snapToGrid w:val="0"/>
        </w:rPr>
        <w:tab/>
        <w:t>Obligaciones internacionales</w:t>
      </w:r>
    </w:p>
    <w:p w:rsidR="00EE1DD7" w:rsidRDefault="00EE1DD7" w:rsidP="00EE1DD7">
      <w:pPr>
        <w:adjustRightInd w:val="0"/>
        <w:snapToGrid w:val="0"/>
        <w:spacing w:after="240"/>
        <w:rPr>
          <w:snapToGrid w:val="0"/>
        </w:rPr>
      </w:pPr>
      <w:r>
        <w:rPr>
          <w:snapToGrid w:val="0"/>
        </w:rPr>
        <w:t>52.</w:t>
      </w:r>
      <w:r>
        <w:rPr>
          <w:snapToGrid w:val="0"/>
        </w:rPr>
        <w:tab/>
        <w:t>El párrafo 1 del artículo 2, el párrafo 1 del artículo 11 y el artículo 23 del Pacto exigen a los Estados que reconozcan el papel fundamental de la cooperación y la asistencia internacionales y adopten medidas conjuntas o a título individual para lograr el pleno ejercicio de los derechos enunciados en el Pacto, con inclusión del derecho a la seguridad social.</w:t>
      </w:r>
    </w:p>
    <w:p w:rsidR="00EE1DD7" w:rsidRDefault="00EE1DD7" w:rsidP="00EE1DD7">
      <w:pPr>
        <w:adjustRightInd w:val="0"/>
        <w:snapToGrid w:val="0"/>
        <w:spacing w:after="240"/>
        <w:rPr>
          <w:snapToGrid w:val="0"/>
        </w:rPr>
      </w:pPr>
      <w:r>
        <w:rPr>
          <w:snapToGrid w:val="0"/>
        </w:rPr>
        <w:t>53.</w:t>
      </w:r>
      <w:r>
        <w:rPr>
          <w:snapToGrid w:val="0"/>
        </w:rPr>
        <w:tab/>
        <w:t>Para cumplir sus obligaciones internacionales en relación con el derecho a la seguridad social, los Estados Partes tienen que respetar el disfrute de ese derecho, absteniéndose de cualquier medida que interfiera, directa o indirectamente, en el disfrute del derecho a la seguridad social en otros países.</w:t>
      </w:r>
    </w:p>
    <w:p w:rsidR="00EE1DD7" w:rsidRDefault="00EE1DD7" w:rsidP="00EE1DD7">
      <w:pPr>
        <w:adjustRightInd w:val="0"/>
        <w:snapToGrid w:val="0"/>
        <w:spacing w:after="240"/>
        <w:rPr>
          <w:snapToGrid w:val="0"/>
        </w:rPr>
      </w:pPr>
      <w:r>
        <w:rPr>
          <w:snapToGrid w:val="0"/>
        </w:rPr>
        <w:t>54.</w:t>
      </w:r>
      <w:r>
        <w:rPr>
          <w:snapToGrid w:val="0"/>
        </w:rPr>
        <w:tab/>
        <w:t>Los Estados Partes deben proteger, con carácter extraterritorial el derecho a la seguridad social, impidiendo, que sus propios ciudadanos y empresas violen este derecho en otros países.  Cuando los Estados Partes puedan adoptar medidas para influir en terceras partes (agentes no estatales) dentro de su jurisdicción a fin de que respeten ese derecho, por medios legales o políticos, estas medidas deben adoptarse de conformidad con la Carta de las Naciones Unidas y el derecho internacional aplicable.</w:t>
      </w:r>
    </w:p>
    <w:p w:rsidR="00EE1DD7" w:rsidRDefault="00EE1DD7" w:rsidP="00EE1DD7">
      <w:pPr>
        <w:adjustRightInd w:val="0"/>
        <w:snapToGrid w:val="0"/>
        <w:spacing w:after="240"/>
        <w:rPr>
          <w:snapToGrid w:val="0"/>
        </w:rPr>
      </w:pPr>
      <w:r>
        <w:rPr>
          <w:snapToGrid w:val="0"/>
        </w:rPr>
        <w:t>55.</w:t>
      </w:r>
      <w:r>
        <w:rPr>
          <w:snapToGrid w:val="0"/>
        </w:rPr>
        <w:tab/>
        <w:t>En función de la disponibilidad de recursos, los Estados Partes deben facilitar el ejercicio del derecho a la seguridad social en otros países, por ejemplo prestando asistencia económica y técnica.  La asistencia internacional debe prestarse de manera compatible con el Pacto y las demás normas de derechos humanos, y deberá ser sostenible y culturalmente apropiada.  Los Estados Partes económicamente desarrollados tienen una responsabilidad y un interés especiales en ayudar a los Estados en desarrollo a este respecto.</w:t>
      </w:r>
    </w:p>
    <w:p w:rsidR="00EE1DD7" w:rsidRDefault="00EE1DD7" w:rsidP="00EE1DD7">
      <w:pPr>
        <w:adjustRightInd w:val="0"/>
        <w:snapToGrid w:val="0"/>
        <w:spacing w:after="240"/>
        <w:rPr>
          <w:snapToGrid w:val="0"/>
        </w:rPr>
      </w:pPr>
      <w:r>
        <w:rPr>
          <w:snapToGrid w:val="0"/>
        </w:rPr>
        <w:t>56.</w:t>
      </w:r>
      <w:r>
        <w:rPr>
          <w:snapToGrid w:val="0"/>
        </w:rPr>
        <w:tab/>
        <w:t>Los Estados Partes deben asegurar que en los acuerdos internacionales se preste la debida atención al derecho a la seguridad social y, con tal fin, deben considerar la posibilidad de elaborar nuevos instrumentos jurídicos.  El Comité toma nota de la importancia de establecer acuerdos u otros instrumentos internacionales bilaterales o multilaterales recíprocos para coordinar o armonizar los planes de seguridad social contributivos para los trabajadores migratorios</w:t>
      </w:r>
      <w:r>
        <w:rPr>
          <w:rStyle w:val="FootnoteReference"/>
          <w:snapToGrid w:val="0"/>
        </w:rPr>
        <w:footnoteReference w:id="33"/>
      </w:r>
      <w:r>
        <w:rPr>
          <w:snapToGrid w:val="0"/>
        </w:rPr>
        <w:t>.  Los trabajadores temporalmente destacados en otros países deben estar protegidos por el sistema de seguridad social de su país de origen.</w:t>
      </w:r>
    </w:p>
    <w:p w:rsidR="00EE1DD7" w:rsidRDefault="00EE1DD7" w:rsidP="00EE1DD7">
      <w:pPr>
        <w:adjustRightInd w:val="0"/>
        <w:snapToGrid w:val="0"/>
        <w:spacing w:after="240"/>
        <w:rPr>
          <w:snapToGrid w:val="0"/>
        </w:rPr>
      </w:pPr>
      <w:r>
        <w:rPr>
          <w:snapToGrid w:val="0"/>
        </w:rPr>
        <w:t>57.</w:t>
      </w:r>
      <w:r>
        <w:rPr>
          <w:snapToGrid w:val="0"/>
        </w:rPr>
        <w:tab/>
        <w:t>Con respecto a la celebración y aplicación de los acuerdos internacionales y regionales, los Estados Partes deben adoptar medidas para que esos instrumentos no menoscaben el derecho a la seguridad social.  Los acuerdos de liberalización del comercio no deben restringir ni menoscabar la capacidad del Estado Parte para garantizar el pleno ejercicio del derecho a la seguridad social.</w:t>
      </w:r>
    </w:p>
    <w:p w:rsidR="00EE1DD7" w:rsidRPr="006E01E9" w:rsidRDefault="00EE1DD7" w:rsidP="00EE1DD7">
      <w:pPr>
        <w:adjustRightInd w:val="0"/>
        <w:snapToGrid w:val="0"/>
        <w:spacing w:after="240"/>
        <w:rPr>
          <w:snapToGrid w:val="0"/>
        </w:rPr>
      </w:pPr>
      <w:r>
        <w:rPr>
          <w:snapToGrid w:val="0"/>
        </w:rPr>
        <w:t>58.</w:t>
      </w:r>
      <w:r>
        <w:rPr>
          <w:snapToGrid w:val="0"/>
        </w:rPr>
        <w:tab/>
        <w:t>Los Estados Partes deben asegurar que sus acciones como miembros de las organizaciones internacionales tengan debidamente en cuenta el derecho a la seguridad social.  En consecuencia, los Estados Partes que sean miembros de instituciones financieras internacionales, como el Fondo Monetario Internacional, el Banco Mundial y los bancos regionales de desarrollo, deben adoptar medidas para que en sus políticas crediticias, acuerdos de crédito y otras medidas internacionales, se tenga en cuenta el derecho a la seguridad social.  Los Estados Partes deben asegurar que las políticas y prácticas de las instituciones financieras internacionales y regionales, en particular las que se refieren a su papel en el ajuste estructural y en la concepción y aplicación de los sistemas de seguridad social, promuevan y no interfieran en el ejercicio del derecho a la seguridad social.</w:t>
      </w:r>
    </w:p>
    <w:p w:rsidR="00EE1DD7" w:rsidRDefault="00EE1DD7" w:rsidP="00EE1DD7">
      <w:pPr>
        <w:adjustRightInd w:val="0"/>
        <w:snapToGrid w:val="0"/>
        <w:spacing w:after="240"/>
        <w:rPr>
          <w:b/>
          <w:snapToGrid w:val="0"/>
        </w:rPr>
      </w:pPr>
      <w:r>
        <w:rPr>
          <w:b/>
          <w:snapToGrid w:val="0"/>
        </w:rPr>
        <w:t>5.</w:t>
      </w:r>
      <w:r>
        <w:rPr>
          <w:b/>
          <w:snapToGrid w:val="0"/>
        </w:rPr>
        <w:tab/>
        <w:t>Obligaciones básicas</w:t>
      </w:r>
    </w:p>
    <w:p w:rsidR="00EE1DD7" w:rsidRDefault="00EE1DD7" w:rsidP="00EE1DD7">
      <w:pPr>
        <w:adjustRightInd w:val="0"/>
        <w:snapToGrid w:val="0"/>
        <w:spacing w:after="240"/>
        <w:rPr>
          <w:snapToGrid w:val="0"/>
        </w:rPr>
      </w:pPr>
      <w:r>
        <w:rPr>
          <w:snapToGrid w:val="0"/>
        </w:rPr>
        <w:t>59.</w:t>
      </w:r>
      <w:r>
        <w:rPr>
          <w:snapToGrid w:val="0"/>
        </w:rPr>
        <w:tab/>
        <w:t>Los Estados Partes tienen una obligación básica de asegurar, al menos, la satisfacción de niveles mínimos indispensables de cada uno de los derechos enunciados en el Pacto</w:t>
      </w:r>
      <w:r>
        <w:rPr>
          <w:rStyle w:val="FootnoteReference"/>
          <w:snapToGrid w:val="0"/>
        </w:rPr>
        <w:footnoteReference w:id="34"/>
      </w:r>
      <w:r>
        <w:rPr>
          <w:snapToGrid w:val="0"/>
        </w:rPr>
        <w:t>.  En consecuencia, el Estado Parte deberá:</w:t>
      </w:r>
    </w:p>
    <w:p w:rsidR="00EE1DD7" w:rsidRDefault="00EE1DD7" w:rsidP="00EE1DD7">
      <w:pPr>
        <w:adjustRightInd w:val="0"/>
        <w:snapToGrid w:val="0"/>
        <w:spacing w:after="240"/>
        <w:ind w:left="1134" w:hanging="567"/>
        <w:rPr>
          <w:snapToGrid w:val="0"/>
        </w:rPr>
      </w:pPr>
      <w:r>
        <w:rPr>
          <w:snapToGrid w:val="0"/>
        </w:rPr>
        <w:t>a)</w:t>
      </w:r>
      <w:r>
        <w:rPr>
          <w:snapToGrid w:val="0"/>
        </w:rPr>
        <w:tab/>
        <w:t>Asegurar el acceso a un sistema de seguridad social que ofrezca a todas las personas y familias un nivel mínimo indispensable de prestaciones que les permita obtener por lo menos atención de salud esencial</w:t>
      </w:r>
      <w:r>
        <w:rPr>
          <w:rStyle w:val="FootnoteReference"/>
          <w:snapToGrid w:val="0"/>
        </w:rPr>
        <w:footnoteReference w:id="35"/>
      </w:r>
      <w:r>
        <w:rPr>
          <w:snapToGrid w:val="0"/>
        </w:rPr>
        <w:t>, alojamiento y vivienda básicos, agua y saneamiento, alimentos y las formas más elementales de educación.  Si un Estado Parte no puede proporcionar ese nivel mínimo para todos los riesgos e imprevistos hasta el máximo de los recursos de que dispone, el Comité recomienda que el Estado Parte, tras celebrar amplias consultas, seleccione un grupo básico de riesgos e imprevistos sociales;</w:t>
      </w:r>
    </w:p>
    <w:p w:rsidR="00EE1DD7" w:rsidRDefault="00EE1DD7" w:rsidP="00EE1DD7">
      <w:pPr>
        <w:adjustRightInd w:val="0"/>
        <w:snapToGrid w:val="0"/>
        <w:spacing w:after="240"/>
        <w:ind w:left="1134" w:hanging="567"/>
        <w:rPr>
          <w:snapToGrid w:val="0"/>
        </w:rPr>
      </w:pPr>
      <w:r>
        <w:rPr>
          <w:snapToGrid w:val="0"/>
        </w:rPr>
        <w:t>b)</w:t>
      </w:r>
      <w:r>
        <w:rPr>
          <w:snapToGrid w:val="0"/>
        </w:rPr>
        <w:tab/>
        <w:t>Asegurar el derecho de acceso a los sistemas o planes de seguridad social sin discriminación alguna, en especial para las personas y los grupos desfavorecidos y marginados</w:t>
      </w:r>
      <w:r>
        <w:rPr>
          <w:rStyle w:val="FootnoteReference"/>
          <w:snapToGrid w:val="0"/>
        </w:rPr>
        <w:footnoteReference w:id="36"/>
      </w:r>
      <w:r>
        <w:rPr>
          <w:snapToGrid w:val="0"/>
        </w:rPr>
        <w:t>;</w:t>
      </w:r>
    </w:p>
    <w:p w:rsidR="00EE1DD7" w:rsidRDefault="00EE1DD7" w:rsidP="00EE1DD7">
      <w:pPr>
        <w:adjustRightInd w:val="0"/>
        <w:snapToGrid w:val="0"/>
        <w:spacing w:after="240"/>
        <w:ind w:left="1134" w:hanging="567"/>
        <w:rPr>
          <w:snapToGrid w:val="0"/>
        </w:rPr>
      </w:pPr>
      <w:r>
        <w:rPr>
          <w:snapToGrid w:val="0"/>
        </w:rPr>
        <w:t>c)</w:t>
      </w:r>
      <w:r>
        <w:rPr>
          <w:snapToGrid w:val="0"/>
        </w:rPr>
        <w:tab/>
        <w:t>Respetar y proteger los regímenes de seguridad social existentes de injerencias injustificadas</w:t>
      </w:r>
      <w:r>
        <w:rPr>
          <w:rStyle w:val="FootnoteReference"/>
          <w:snapToGrid w:val="0"/>
        </w:rPr>
        <w:footnoteReference w:id="37"/>
      </w:r>
      <w:r>
        <w:rPr>
          <w:snapToGrid w:val="0"/>
        </w:rPr>
        <w:t>;</w:t>
      </w:r>
    </w:p>
    <w:p w:rsidR="00EE1DD7" w:rsidRDefault="00EE1DD7" w:rsidP="00EE1DD7">
      <w:pPr>
        <w:adjustRightInd w:val="0"/>
        <w:snapToGrid w:val="0"/>
        <w:spacing w:after="240"/>
        <w:ind w:left="1134" w:hanging="567"/>
        <w:rPr>
          <w:snapToGrid w:val="0"/>
        </w:rPr>
      </w:pPr>
      <w:r>
        <w:rPr>
          <w:snapToGrid w:val="0"/>
        </w:rPr>
        <w:t>d)</w:t>
      </w:r>
      <w:r>
        <w:rPr>
          <w:snapToGrid w:val="0"/>
        </w:rPr>
        <w:tab/>
        <w:t>Adoptar y aplicar una estrategia y un plan de acción nacionales en materia de seguridad social</w:t>
      </w:r>
      <w:r>
        <w:rPr>
          <w:rStyle w:val="FootnoteReference"/>
          <w:snapToGrid w:val="0"/>
        </w:rPr>
        <w:footnoteReference w:id="38"/>
      </w:r>
      <w:r>
        <w:rPr>
          <w:snapToGrid w:val="0"/>
        </w:rPr>
        <w:t>;</w:t>
      </w:r>
    </w:p>
    <w:p w:rsidR="00EE1DD7" w:rsidRDefault="00EE1DD7" w:rsidP="00EE1DD7">
      <w:pPr>
        <w:adjustRightInd w:val="0"/>
        <w:snapToGrid w:val="0"/>
        <w:spacing w:after="240"/>
        <w:ind w:left="1134" w:hanging="567"/>
        <w:rPr>
          <w:snapToGrid w:val="0"/>
        </w:rPr>
      </w:pPr>
      <w:r>
        <w:rPr>
          <w:snapToGrid w:val="0"/>
        </w:rPr>
        <w:t>e)</w:t>
      </w:r>
      <w:r>
        <w:rPr>
          <w:snapToGrid w:val="0"/>
        </w:rPr>
        <w:tab/>
        <w:t>Adoptar medidas para aplicar planes de seguridad social, en particular los destinados a proteger a las personas y los grupos desfavorecidos y marginados</w:t>
      </w:r>
      <w:r>
        <w:rPr>
          <w:rStyle w:val="FootnoteReference"/>
          <w:snapToGrid w:val="0"/>
        </w:rPr>
        <w:footnoteReference w:id="39"/>
      </w:r>
      <w:r>
        <w:rPr>
          <w:snapToGrid w:val="0"/>
        </w:rPr>
        <w:t>;</w:t>
      </w:r>
    </w:p>
    <w:p w:rsidR="00EE1DD7" w:rsidRDefault="00EE1DD7" w:rsidP="00EE1DD7">
      <w:pPr>
        <w:adjustRightInd w:val="0"/>
        <w:snapToGrid w:val="0"/>
        <w:spacing w:after="240"/>
        <w:ind w:left="1134" w:hanging="567"/>
        <w:rPr>
          <w:snapToGrid w:val="0"/>
        </w:rPr>
      </w:pPr>
      <w:r>
        <w:rPr>
          <w:snapToGrid w:val="0"/>
        </w:rPr>
        <w:t>f)</w:t>
      </w:r>
      <w:r>
        <w:rPr>
          <w:snapToGrid w:val="0"/>
        </w:rPr>
        <w:tab/>
        <w:t>Vigilar hasta qué punto se ejerce el derecho a la seguridad social</w:t>
      </w:r>
      <w:r>
        <w:rPr>
          <w:rStyle w:val="FootnoteReference"/>
          <w:snapToGrid w:val="0"/>
        </w:rPr>
        <w:footnoteReference w:id="40"/>
      </w:r>
      <w:r>
        <w:rPr>
          <w:snapToGrid w:val="0"/>
        </w:rPr>
        <w:t>.</w:t>
      </w:r>
    </w:p>
    <w:p w:rsidR="00EE1DD7" w:rsidRDefault="00EE1DD7" w:rsidP="00EE1DD7">
      <w:pPr>
        <w:adjustRightInd w:val="0"/>
        <w:snapToGrid w:val="0"/>
        <w:spacing w:after="240"/>
        <w:rPr>
          <w:snapToGrid w:val="0"/>
        </w:rPr>
      </w:pPr>
      <w:r>
        <w:rPr>
          <w:snapToGrid w:val="0"/>
        </w:rPr>
        <w:t>60.</w:t>
      </w:r>
      <w:r>
        <w:rPr>
          <w:snapToGrid w:val="0"/>
        </w:rPr>
        <w:tab/>
        <w:t>Para que un Estado Parte pueda atribuir el incumplimiento de sus obligaciones mínimas a la falta de recursos disponibles, deberá demostrar que ha hecho todo lo que está a su alcance para utilizar todos los recursos a su disposición, en un esfuerzo por satisfacer, con carácter prioritario, estas obligaciones mínimas</w:t>
      </w:r>
      <w:r>
        <w:rPr>
          <w:rStyle w:val="FootnoteReference"/>
          <w:snapToGrid w:val="0"/>
        </w:rPr>
        <w:footnoteReference w:id="41"/>
      </w:r>
      <w:r>
        <w:rPr>
          <w:snapToGrid w:val="0"/>
        </w:rPr>
        <w:t>.</w:t>
      </w:r>
    </w:p>
    <w:p w:rsidR="00EE1DD7" w:rsidRDefault="00EE1DD7" w:rsidP="00EE1DD7">
      <w:pPr>
        <w:adjustRightInd w:val="0"/>
        <w:snapToGrid w:val="0"/>
        <w:spacing w:after="480"/>
        <w:rPr>
          <w:snapToGrid w:val="0"/>
        </w:rPr>
      </w:pPr>
      <w:r>
        <w:rPr>
          <w:snapToGrid w:val="0"/>
        </w:rPr>
        <w:t>61.</w:t>
      </w:r>
      <w:r>
        <w:rPr>
          <w:snapToGrid w:val="0"/>
        </w:rPr>
        <w:tab/>
        <w:t>El Comité desea destacar que incumbe especialmente a los Estados Partes, así como a otros agentes que estén en condiciones de ayudar, el prestar asistencia y cooperación internacionales, en especial económica y técnica, que permita a los países en desarrollo cumplir sus obligaciones básicas.</w:t>
      </w:r>
    </w:p>
    <w:p w:rsidR="00EE1DD7" w:rsidRDefault="00EE1DD7" w:rsidP="00EE1DD7">
      <w:pPr>
        <w:adjustRightInd w:val="0"/>
        <w:snapToGrid w:val="0"/>
        <w:spacing w:after="240"/>
        <w:jc w:val="center"/>
        <w:rPr>
          <w:snapToGrid w:val="0"/>
        </w:rPr>
      </w:pPr>
      <w:r>
        <w:rPr>
          <w:b/>
          <w:snapToGrid w:val="0"/>
        </w:rPr>
        <w:t>IV.  VIOLACIONES</w:t>
      </w:r>
    </w:p>
    <w:p w:rsidR="00EE1DD7" w:rsidRDefault="00EE1DD7" w:rsidP="00EE1DD7">
      <w:pPr>
        <w:adjustRightInd w:val="0"/>
        <w:snapToGrid w:val="0"/>
        <w:spacing w:after="240"/>
        <w:rPr>
          <w:snapToGrid w:val="0"/>
        </w:rPr>
      </w:pPr>
      <w:r>
        <w:rPr>
          <w:snapToGrid w:val="0"/>
        </w:rPr>
        <w:t>62.</w:t>
      </w:r>
      <w:r>
        <w:rPr>
          <w:snapToGrid w:val="0"/>
        </w:rPr>
        <w:tab/>
        <w:t>Para probar el cumplimiento de sus obligaciones generales y particulares, los Estados Partes deben demostrar que han tomado las medidas necesarias a fin de asegurar el ejercicio efectivo del derecho a la seguridad social hasta el máximo de los recursos de que disponen y que han garantizado el disfrute de ese derecho sin discriminación tanto por los hombres como por las mujeres por igual (artículos 2 y 3 del Pacto), de conformidad con el derecho internacional, el no actuar de buena fe para tomar estas medidas constituye una violación del Pacto</w:t>
      </w:r>
      <w:r>
        <w:rPr>
          <w:rStyle w:val="FootnoteReference"/>
          <w:snapToGrid w:val="0"/>
        </w:rPr>
        <w:footnoteReference w:id="42"/>
      </w:r>
      <w:r>
        <w:rPr>
          <w:snapToGrid w:val="0"/>
        </w:rPr>
        <w:t>.</w:t>
      </w:r>
    </w:p>
    <w:p w:rsidR="00EE1DD7" w:rsidRDefault="00EE1DD7" w:rsidP="00EE1DD7">
      <w:pPr>
        <w:adjustRightInd w:val="0"/>
        <w:snapToGrid w:val="0"/>
        <w:spacing w:after="240"/>
        <w:rPr>
          <w:snapToGrid w:val="0"/>
        </w:rPr>
      </w:pPr>
      <w:r>
        <w:rPr>
          <w:snapToGrid w:val="0"/>
        </w:rPr>
        <w:t>63.</w:t>
      </w:r>
      <w:r>
        <w:rPr>
          <w:snapToGrid w:val="0"/>
        </w:rPr>
        <w:tab/>
        <w:t>Para evaluar si los Estados Partes han cumplido su obligación de adoptar medidas, el Comité examina si dicho cumplimiento es razonable o proporcionado habida cuenta del ejercicio de los derechos, si se ajusta a los principios de derechos humanos y los principios democráticos y si está sometido a un marco adecuado de control y rendición de cuentas.</w:t>
      </w:r>
    </w:p>
    <w:p w:rsidR="00EE1DD7" w:rsidRDefault="00EE1DD7" w:rsidP="00EE1DD7">
      <w:pPr>
        <w:adjustRightInd w:val="0"/>
        <w:snapToGrid w:val="0"/>
        <w:spacing w:after="240"/>
        <w:rPr>
          <w:snapToGrid w:val="0"/>
        </w:rPr>
      </w:pPr>
      <w:r>
        <w:rPr>
          <w:snapToGrid w:val="0"/>
        </w:rPr>
        <w:t>64.</w:t>
      </w:r>
      <w:r>
        <w:rPr>
          <w:snapToGrid w:val="0"/>
        </w:rPr>
        <w:tab/>
        <w:t>Las violaciones del derecho a la seguridad social pueden producirse mediante actos de comisión, es decir por la acción directa de Estados Partes o de otras entidades que no esté</w:t>
      </w:r>
      <w:r w:rsidR="005C068B">
        <w:rPr>
          <w:snapToGrid w:val="0"/>
        </w:rPr>
        <w:t>n</w:t>
      </w:r>
      <w:r>
        <w:rPr>
          <w:snapToGrid w:val="0"/>
        </w:rPr>
        <w:t xml:space="preserve"> suficientemente reglamentadas por los Estados.  Las violaciones pueden consistir, por ejemplo, en la adopción de medidas deliberadamente regresivas, incompatibles con las obligaciones básicas descritas en el párrafo 42 </w:t>
      </w:r>
      <w:r>
        <w:rPr>
          <w:i/>
          <w:snapToGrid w:val="0"/>
        </w:rPr>
        <w:t>supra</w:t>
      </w:r>
      <w:r>
        <w:rPr>
          <w:snapToGrid w:val="0"/>
        </w:rPr>
        <w:t>; la revocación o la suspensión formal de la legislación necesaria para seguir disfrutando del derecho a la seguridad social; el apoyo activo a medidas adoptadas por terceras partes que sean incompatibles con el derecho a la seguridad social; el establecimiento de condiciones de admisibilidad diferentes para las prestaciones de asistencia social destinadas a las personas desfavorecidas y marginadas en función del lugar de residencia; o la denegación activa de los derechos de las mujeres o de determinados grupos o personas.</w:t>
      </w:r>
    </w:p>
    <w:p w:rsidR="00EE1DD7" w:rsidRDefault="00EE1DD7" w:rsidP="00EE1DD7">
      <w:pPr>
        <w:adjustRightInd w:val="0"/>
        <w:snapToGrid w:val="0"/>
        <w:spacing w:after="480"/>
        <w:rPr>
          <w:snapToGrid w:val="0"/>
        </w:rPr>
      </w:pPr>
      <w:r>
        <w:rPr>
          <w:snapToGrid w:val="0"/>
        </w:rPr>
        <w:t>65.</w:t>
      </w:r>
      <w:r>
        <w:rPr>
          <w:snapToGrid w:val="0"/>
        </w:rPr>
        <w:tab/>
        <w:t xml:space="preserve">Las violaciones por actos de omisión pueden ocurrir cuando el Estado Parte no adopta medidas suficientes y apropiadas para garantizar el ejercicio del derecho a la seguridad social.  En el contexto de la seguridad social, algunos ejemplos de esas violaciones son la no adopción de medidas apropiadas para lograr el pleno ejercicio por todos del derecho a la seguridad social; la no aplicación de la legislación pertinente o de las políticas destinadas a garantizar el ejercicio efectivo del derecho a la seguridad social; el no garantizar la sostenibilidad financiera de los planes de pensiones; el no reformar o derogar la legislación manifiestamente incompatible con el derecho a la seguridad social; la no regulación de las actividades de determinados grupos o personas para impedirles que violen los derechos económicos, sociales y culturales; el no suprimir con prontitud los obstáculos que el Estado Parte tiene la obligación de eliminar para permitir el ejercicio inmediato de un derecho garantizado por el Pacto; el no cumplir sus obligaciones básicas (véase el párrafo 59 </w:t>
      </w:r>
      <w:r>
        <w:rPr>
          <w:i/>
          <w:snapToGrid w:val="0"/>
        </w:rPr>
        <w:t>supra</w:t>
      </w:r>
      <w:r>
        <w:rPr>
          <w:snapToGrid w:val="0"/>
        </w:rPr>
        <w:t>); el hecho de que el Estado Parte no tenga en cuenta sus obligaciones en virtud del Pacto al celebrar acuerdos bilaterales o multilaterales con otros Estados, organizaciones internacionales o empresas multinacionales.</w:t>
      </w:r>
    </w:p>
    <w:p w:rsidR="00EE1DD7" w:rsidRPr="007E00A4" w:rsidRDefault="00EE1DD7" w:rsidP="00EE1DD7">
      <w:pPr>
        <w:adjustRightInd w:val="0"/>
        <w:snapToGrid w:val="0"/>
        <w:spacing w:after="240"/>
        <w:jc w:val="center"/>
        <w:rPr>
          <w:b/>
          <w:snapToGrid w:val="0"/>
        </w:rPr>
      </w:pPr>
      <w:r w:rsidRPr="007E00A4">
        <w:rPr>
          <w:b/>
          <w:snapToGrid w:val="0"/>
        </w:rPr>
        <w:t>V.  CUMPLIMIENTO EN EL PLANO NACIONAL</w:t>
      </w:r>
    </w:p>
    <w:p w:rsidR="00EE1DD7" w:rsidRDefault="00EE1DD7" w:rsidP="00EE1DD7">
      <w:pPr>
        <w:adjustRightInd w:val="0"/>
        <w:snapToGrid w:val="0"/>
        <w:spacing w:after="240"/>
        <w:rPr>
          <w:snapToGrid w:val="0"/>
        </w:rPr>
      </w:pPr>
      <w:r>
        <w:rPr>
          <w:snapToGrid w:val="0"/>
        </w:rPr>
        <w:t>66.</w:t>
      </w:r>
      <w:r>
        <w:rPr>
          <w:snapToGrid w:val="0"/>
        </w:rPr>
        <w:tab/>
        <w:t>En aplicación de sus obligaciones en virtud del Pacto y de conformidad con el párrafo 1 del artículo 2 del Pacto, los Estados Partes deberán recurrir a "todos los medios apropiados, inclusive en particular la adopción de medidas legislativas".  Todo Estado Parte tiene un margen de discreción para determinar qué medidas son las más convenientes para hacer frente a sus circunstancias específicas</w:t>
      </w:r>
      <w:r>
        <w:rPr>
          <w:rStyle w:val="FootnoteReference"/>
          <w:snapToGrid w:val="0"/>
        </w:rPr>
        <w:footnoteReference w:id="43"/>
      </w:r>
      <w:r>
        <w:rPr>
          <w:snapToGrid w:val="0"/>
        </w:rPr>
        <w:t>.  No obstante, el Pacto impone claramente a cada Estado Parte la obligación de adoptar las medidas que sean necesarias para que toda persona disfrute del derecho a la seguridad social lo antes posible.</w:t>
      </w:r>
    </w:p>
    <w:p w:rsidR="00EE1DD7" w:rsidRPr="00A0166A" w:rsidRDefault="00EE1DD7" w:rsidP="00EE1DD7">
      <w:pPr>
        <w:keepNext/>
        <w:adjustRightInd w:val="0"/>
        <w:snapToGrid w:val="0"/>
        <w:spacing w:after="240"/>
        <w:jc w:val="center"/>
        <w:rPr>
          <w:b/>
          <w:snapToGrid w:val="0"/>
        </w:rPr>
      </w:pPr>
      <w:r>
        <w:rPr>
          <w:b/>
          <w:snapToGrid w:val="0"/>
        </w:rPr>
        <w:t>A.  Legislación, estrategias y políticas</w:t>
      </w:r>
    </w:p>
    <w:p w:rsidR="00EE1DD7" w:rsidRDefault="00EE1DD7" w:rsidP="00EE1DD7">
      <w:pPr>
        <w:keepNext/>
        <w:adjustRightInd w:val="0"/>
        <w:snapToGrid w:val="0"/>
        <w:spacing w:after="240"/>
        <w:rPr>
          <w:snapToGrid w:val="0"/>
        </w:rPr>
      </w:pPr>
      <w:r>
        <w:rPr>
          <w:snapToGrid w:val="0"/>
        </w:rPr>
        <w:t>67.</w:t>
      </w:r>
      <w:r>
        <w:rPr>
          <w:snapToGrid w:val="0"/>
        </w:rPr>
        <w:tab/>
        <w:t>Los Estados Partes tienen la obligación de adoptar todas las medidas apropiadas, tales como leyes, estrategias, políticas o programas para asegurar que se cumplan las obligaciones específicas en materia de derecho de seguridad social.  Es preciso examinar la legislación, las estrategias y las políticas en vigor para cerciorarse de que son compatibles con las obligaciones relativas al derecho a la seguridad social, y deberán derogarse, enmendarse o cambiarse las que sean incompatibles con los requisitos del Pacto.  También deberá verificarse periódicamente la sostenibilidad de los sistemas de seguridad social.</w:t>
      </w:r>
    </w:p>
    <w:p w:rsidR="00EE1DD7" w:rsidRDefault="00EE1DD7" w:rsidP="00EE1DD7">
      <w:pPr>
        <w:adjustRightInd w:val="0"/>
        <w:snapToGrid w:val="0"/>
        <w:spacing w:after="240"/>
        <w:rPr>
          <w:snapToGrid w:val="0"/>
        </w:rPr>
      </w:pPr>
      <w:r>
        <w:rPr>
          <w:snapToGrid w:val="0"/>
        </w:rPr>
        <w:t>68.</w:t>
      </w:r>
      <w:r>
        <w:rPr>
          <w:snapToGrid w:val="0"/>
        </w:rPr>
        <w:tab/>
        <w:t xml:space="preserve">El deber de adoptar medidas impone claramente a los Estados Partes la obligación de adoptar una estrategia y un plan de acción nacionales para asegurar el ejercicio del derecho a la seguridad social, a menos que el Estado Parte pueda demostrar claramente que dispone de un sistema de seguridad social completo y que lo revisa periódicamente para que sea compatible con el derecho a la seguridad social.  La estrategia y el plan de acción deben concebirse razonablemente en función de las circunstancias; tener en cuenta la igualdad de derechos de hombres y mujeres y los derechos de los grupos más marginados y desfavorecidos; basarse en los principios y normas de derechos humanos; abarcar todos los aspectos del derecho a la seguridad social; establecer los objetivos o metas que han de alcanzarse y los plazos para su consecución, junto con los correspondientes elementos de referencia e indicadores para vigilarlos; y contener mecanismos para obtener recursos financieros y humanos.  Al formular y aplicar las estrategias nacionales relativas al derecho a la seguridad social, los Estados Partes, en caso necesario, deberán recurrir a la asistencia técnica y la cooperación de los organismos especializados de las Naciones Unidas (véase la parte VI </w:t>
      </w:r>
      <w:r>
        <w:rPr>
          <w:i/>
          <w:snapToGrid w:val="0"/>
        </w:rPr>
        <w:t>infra</w:t>
      </w:r>
      <w:r>
        <w:rPr>
          <w:snapToGrid w:val="0"/>
        </w:rPr>
        <w:t>).</w:t>
      </w:r>
    </w:p>
    <w:p w:rsidR="00EE1DD7" w:rsidRDefault="00EE1DD7" w:rsidP="00EE1DD7">
      <w:pPr>
        <w:adjustRightInd w:val="0"/>
        <w:snapToGrid w:val="0"/>
        <w:spacing w:after="240"/>
        <w:rPr>
          <w:snapToGrid w:val="0"/>
        </w:rPr>
      </w:pPr>
      <w:r>
        <w:rPr>
          <w:snapToGrid w:val="0"/>
        </w:rPr>
        <w:t>69.</w:t>
      </w:r>
      <w:r>
        <w:rPr>
          <w:snapToGrid w:val="0"/>
        </w:rPr>
        <w:tab/>
        <w:t>La formulación y aplicación de las estrategias y planes de acción nacionales de seguridad social deberán respetar, en particular, los principios de no discriminación, igualdad entre los géneros y participación popular.  El derecho de las personas y los grupos a participar en la adopción de decisiones que puedan afectar su ejercicio del derecho a la seguridad social debe ser parte integrante de todo programa, política o estrategia en materia de seguridad social.</w:t>
      </w:r>
    </w:p>
    <w:p w:rsidR="00EE1DD7" w:rsidRDefault="00EE1DD7" w:rsidP="00EE1DD7">
      <w:pPr>
        <w:adjustRightInd w:val="0"/>
        <w:snapToGrid w:val="0"/>
        <w:spacing w:after="240"/>
        <w:rPr>
          <w:snapToGrid w:val="0"/>
        </w:rPr>
      </w:pPr>
      <w:r>
        <w:rPr>
          <w:snapToGrid w:val="0"/>
        </w:rPr>
        <w:t>70.</w:t>
      </w:r>
      <w:r>
        <w:rPr>
          <w:snapToGrid w:val="0"/>
        </w:rPr>
        <w:tab/>
        <w:t>La estrategia y los planes de acción nacionales en materia de seguridad social y su aplicación deben basarse también en los principios de rendición de cuentas y transparencia.  La independencia del poder judicial y el buen gobierno son también esenciales para la aplicación efectiva de todos los derechos humanos.</w:t>
      </w:r>
    </w:p>
    <w:p w:rsidR="00EE1DD7" w:rsidRDefault="00EE1DD7" w:rsidP="00EE1DD7">
      <w:pPr>
        <w:adjustRightInd w:val="0"/>
        <w:snapToGrid w:val="0"/>
        <w:spacing w:after="240"/>
        <w:rPr>
          <w:snapToGrid w:val="0"/>
        </w:rPr>
      </w:pPr>
      <w:r>
        <w:rPr>
          <w:snapToGrid w:val="0"/>
        </w:rPr>
        <w:t>71.</w:t>
      </w:r>
      <w:r>
        <w:rPr>
          <w:snapToGrid w:val="0"/>
        </w:rPr>
        <w:tab/>
        <w:t>A fin de crear un clima propicio para el ejercicio del derecho a la seguridad social, los Estados Partes deben adoptar las medidas apropiadas para que la empresa privada y la sociedad civil, en el desarrollo de sus actividades</w:t>
      </w:r>
      <w:r w:rsidR="005C068B">
        <w:rPr>
          <w:snapToGrid w:val="0"/>
        </w:rPr>
        <w:t>,</w:t>
      </w:r>
      <w:r>
        <w:rPr>
          <w:snapToGrid w:val="0"/>
        </w:rPr>
        <w:t xml:space="preserve"> tengan presente el derecho a la seguridad social y su importancia.</w:t>
      </w:r>
    </w:p>
    <w:p w:rsidR="00EE1DD7" w:rsidRDefault="00EE1DD7" w:rsidP="00EE1DD7">
      <w:pPr>
        <w:adjustRightInd w:val="0"/>
        <w:snapToGrid w:val="0"/>
        <w:spacing w:after="240"/>
        <w:rPr>
          <w:snapToGrid w:val="0"/>
        </w:rPr>
      </w:pPr>
      <w:r>
        <w:rPr>
          <w:snapToGrid w:val="0"/>
        </w:rPr>
        <w:t>72.</w:t>
      </w:r>
      <w:r>
        <w:rPr>
          <w:snapToGrid w:val="0"/>
        </w:rPr>
        <w:tab/>
        <w:t>Los Estados Partes podrían considera</w:t>
      </w:r>
      <w:r w:rsidR="005C068B">
        <w:rPr>
          <w:snapToGrid w:val="0"/>
        </w:rPr>
        <w:t>r</w:t>
      </w:r>
      <w:r>
        <w:rPr>
          <w:snapToGrid w:val="0"/>
        </w:rPr>
        <w:t xml:space="preserve"> conveniente aprobar una legislación marco para hacer efectivo el derecho a la seguridad social.  Esta legislación podría incluir:  a) los objetivos o metas que han de alcanzarse y los plazos para lograrlo</w:t>
      </w:r>
      <w:r w:rsidR="005C068B">
        <w:rPr>
          <w:snapToGrid w:val="0"/>
        </w:rPr>
        <w:t>s</w:t>
      </w:r>
      <w:r>
        <w:rPr>
          <w:snapToGrid w:val="0"/>
        </w:rPr>
        <w:t>;  b) los medios que podrían utilizarse para alcanzar este fin;  c) la colaboración prevista con la sociedad civil, el sector privado y las organizaciones internacionales;  d) las instituciones encargadas del proceso;  e) los mecanismos nacionales para la vigilancia del proceso; y  f) los procedimientos de reparación y recurso.</w:t>
      </w:r>
    </w:p>
    <w:p w:rsidR="00EE1DD7" w:rsidRPr="00F232A9" w:rsidRDefault="00EE1DD7" w:rsidP="00EE1DD7">
      <w:pPr>
        <w:adjustRightInd w:val="0"/>
        <w:snapToGrid w:val="0"/>
        <w:spacing w:after="240"/>
        <w:jc w:val="center"/>
        <w:rPr>
          <w:b/>
          <w:snapToGrid w:val="0"/>
        </w:rPr>
      </w:pPr>
      <w:r>
        <w:rPr>
          <w:b/>
          <w:snapToGrid w:val="0"/>
        </w:rPr>
        <w:t>B.  Descentralización y derecho a la seguridad social</w:t>
      </w:r>
    </w:p>
    <w:p w:rsidR="00EE1DD7" w:rsidRDefault="00EE1DD7" w:rsidP="00EE1DD7">
      <w:pPr>
        <w:adjustRightInd w:val="0"/>
        <w:snapToGrid w:val="0"/>
        <w:spacing w:after="240"/>
        <w:rPr>
          <w:snapToGrid w:val="0"/>
        </w:rPr>
      </w:pPr>
      <w:r>
        <w:rPr>
          <w:snapToGrid w:val="0"/>
        </w:rPr>
        <w:t>73.</w:t>
      </w:r>
      <w:r>
        <w:rPr>
          <w:snapToGrid w:val="0"/>
        </w:rPr>
        <w:tab/>
        <w:t>Cuando la responsabilidad de hacer efectivo el derecho a la seguridad social se haya delegado en organismos regionales o locales, o dependa de la autoridad constitucional de una unidad federal, el Estado Parte seguirá siendo responsable del cumplimiento de sus obligaciones en virtud del Pacto, y por lo tanto deberá tratar de que esos organismos tengan a su disposición suficiente</w:t>
      </w:r>
      <w:r w:rsidR="005C068B">
        <w:rPr>
          <w:snapToGrid w:val="0"/>
        </w:rPr>
        <w:t>s</w:t>
      </w:r>
      <w:r>
        <w:rPr>
          <w:snapToGrid w:val="0"/>
        </w:rPr>
        <w:t xml:space="preserve"> recursos para mantener, ampliar y controlar los servicios y las infraestructuras de seguridad social necesarios, así como vigilar el funcionamiento efectivo del sistema.  Además, los Estados Partes deberán asegurar que dichos organismos no nieguen el acceso a los servicios y prestaciones sobre una base discriminatoria, directa o indirectamente.</w:t>
      </w:r>
    </w:p>
    <w:p w:rsidR="00EE1DD7" w:rsidRPr="00543EB1" w:rsidRDefault="00EE1DD7" w:rsidP="00EE1DD7">
      <w:pPr>
        <w:adjustRightInd w:val="0"/>
        <w:snapToGrid w:val="0"/>
        <w:spacing w:after="240"/>
        <w:jc w:val="center"/>
        <w:rPr>
          <w:b/>
          <w:snapToGrid w:val="0"/>
        </w:rPr>
      </w:pPr>
      <w:r>
        <w:rPr>
          <w:b/>
          <w:snapToGrid w:val="0"/>
        </w:rPr>
        <w:t>C.  Vigilancia, indicadores y elementos de referencia</w:t>
      </w:r>
    </w:p>
    <w:p w:rsidR="00EE1DD7" w:rsidRDefault="00EE1DD7" w:rsidP="00EE1DD7">
      <w:pPr>
        <w:adjustRightInd w:val="0"/>
        <w:snapToGrid w:val="0"/>
        <w:spacing w:after="240"/>
        <w:rPr>
          <w:snapToGrid w:val="0"/>
        </w:rPr>
      </w:pPr>
      <w:r>
        <w:rPr>
          <w:snapToGrid w:val="0"/>
        </w:rPr>
        <w:t>74.</w:t>
      </w:r>
      <w:r>
        <w:rPr>
          <w:snapToGrid w:val="0"/>
        </w:rPr>
        <w:tab/>
        <w:t>Los Estados Partes están obligados a vigilar eficazmente el ejercicio del derecho a la seguridad social y deben establecer los mecanismos o instituciones necesarios para tal fin.  En el seguimiento de los progresos alcanzados en el ejercicio del derecho a la seguridad social, los Estados Partes deben determinar los factores y dificultades que obstaculicen el cumplimiento de sus obligaciones.</w:t>
      </w:r>
    </w:p>
    <w:p w:rsidR="00EE1DD7" w:rsidRDefault="00EE1DD7" w:rsidP="00EE1DD7">
      <w:pPr>
        <w:adjustRightInd w:val="0"/>
        <w:snapToGrid w:val="0"/>
        <w:spacing w:after="240"/>
        <w:rPr>
          <w:snapToGrid w:val="0"/>
        </w:rPr>
      </w:pPr>
      <w:r>
        <w:rPr>
          <w:snapToGrid w:val="0"/>
        </w:rPr>
        <w:t>75.</w:t>
      </w:r>
      <w:r>
        <w:rPr>
          <w:snapToGrid w:val="0"/>
        </w:rPr>
        <w:tab/>
        <w:t>Para facilitar este proceso de seguimiento, las estrategias o los planes de acción nacionales deben contener indicadores sobre el derecho a la seguridad social a fin de que el cumplimiento de las obligaciones del Estado Parte en virtud del artículo 9 pueda vigilarse a nivel nacional e internacional.  Los indicadores deben referirse a los distintos elementos de la seguridad social (como la suficiencia, la cobertura de riesgos e imprevistos sociales, la asequibilidad y la accesibilidad), desglosarse según los motivos de discriminación prohibidos e incluir a todas las personas que residan en la jurisdicción territorial del Estado Parte o estén bajo su control.  Para obtener orientación respecto de los indicadores apropiados, los Estados Partes podrán referirse a la labor que llevan a cabo la OIT, la OMS y la Asociación Internacional de la Seguridad Social (AISS).</w:t>
      </w:r>
    </w:p>
    <w:p w:rsidR="00EE1DD7" w:rsidRDefault="00EE1DD7" w:rsidP="00EE1DD7">
      <w:pPr>
        <w:adjustRightInd w:val="0"/>
        <w:snapToGrid w:val="0"/>
        <w:spacing w:after="240"/>
        <w:rPr>
          <w:snapToGrid w:val="0"/>
        </w:rPr>
      </w:pPr>
      <w:r>
        <w:rPr>
          <w:snapToGrid w:val="0"/>
        </w:rPr>
        <w:t>76.</w:t>
      </w:r>
      <w:r>
        <w:rPr>
          <w:snapToGrid w:val="0"/>
        </w:rPr>
        <w:tab/>
        <w:t>Una vez determinados los indicadores pertinentes del derecho a la seguridad social, se invita a los Estados Partes a que establezcan elementos de referencia nacionales apropiados.  Durante el período de presentación de informes periódicos, el Comité llevará a cabo, junto con el Estado Parte, un proceso de determinación de objetivos concretos.  Este proceso entraña el examen conjunto por el Estado Parte y el Comité de los indicadores y criterios de referencia nacionales, lo que a su vez permitirá determinar los objetivos que deben alcanzarse durante el siguiente período objeto del informe.  En los cinco años siguientes, los Estados Partes utilizarán estos criterios de referencia nacionales para verificar hasta qué punto se ha hecho efectivo el derecho a la seguridad social.  Posteriormente, durante el subsiguiente proceso de presentación de informes, los Estados Partes y el Comité considerarán si se han cumplido o no esos criterios de referencia, así como las razones de las dificultades que hayan podido surgir</w:t>
      </w:r>
      <w:r>
        <w:rPr>
          <w:rStyle w:val="FootnoteReference"/>
          <w:snapToGrid w:val="0"/>
        </w:rPr>
        <w:footnoteReference w:id="44"/>
      </w:r>
      <w:r>
        <w:rPr>
          <w:snapToGrid w:val="0"/>
        </w:rPr>
        <w:t>.  Al fijar los criterios de referencia y preparar sus informes, los Estados Partes deben utilizar la amplia información y los servicios de asesoramiento de los organismos especializados y programas de las Naciones Unidas.</w:t>
      </w:r>
    </w:p>
    <w:p w:rsidR="00EE1DD7" w:rsidRDefault="00EE1DD7" w:rsidP="00EE1DD7">
      <w:pPr>
        <w:adjustRightInd w:val="0"/>
        <w:snapToGrid w:val="0"/>
        <w:spacing w:after="240"/>
        <w:jc w:val="center"/>
        <w:rPr>
          <w:b/>
          <w:snapToGrid w:val="0"/>
        </w:rPr>
      </w:pPr>
      <w:r>
        <w:rPr>
          <w:b/>
          <w:snapToGrid w:val="0"/>
        </w:rPr>
        <w:t>D.  Recursos y rendición de cuentas</w:t>
      </w:r>
    </w:p>
    <w:p w:rsidR="00EE1DD7" w:rsidRDefault="00EE1DD7" w:rsidP="00EE1DD7">
      <w:pPr>
        <w:adjustRightInd w:val="0"/>
        <w:snapToGrid w:val="0"/>
        <w:spacing w:after="240"/>
        <w:rPr>
          <w:snapToGrid w:val="0"/>
        </w:rPr>
      </w:pPr>
      <w:r>
        <w:rPr>
          <w:snapToGrid w:val="0"/>
        </w:rPr>
        <w:t>77.</w:t>
      </w:r>
      <w:r>
        <w:rPr>
          <w:snapToGrid w:val="0"/>
        </w:rPr>
        <w:tab/>
        <w:t>Todas las personas o grupos que hayan sido víctimas de una violación de su derecho a la seguridad social deben tener acceso a recursos judiciales o de otro tipo eficaces, tanto en el plano nacional como internacional</w:t>
      </w:r>
      <w:r>
        <w:rPr>
          <w:rStyle w:val="FootnoteReference"/>
          <w:snapToGrid w:val="0"/>
        </w:rPr>
        <w:footnoteReference w:id="45"/>
      </w:r>
      <w:r>
        <w:rPr>
          <w:snapToGrid w:val="0"/>
        </w:rPr>
        <w:t>.  Todas las víctimas de violaciones del derecho a la seguridad social deben tener derecho a una reparación adecuada que podrá consistir en restitución, indemnización, satisfacción o garantía de que no se repetirán los hechos.  Se debe permitir que los defensores del pueblo, las comisiones de derechos humanos y las instituciones análogas de cada país se ocupen de las violaciones de este derecho.  Debe prestarse asistencia letrada para obtener reparación hasta el máximo de los recursos disponibles.</w:t>
      </w:r>
    </w:p>
    <w:p w:rsidR="00EE1DD7" w:rsidRDefault="00EE1DD7" w:rsidP="00EE1DD7">
      <w:pPr>
        <w:adjustRightInd w:val="0"/>
        <w:snapToGrid w:val="0"/>
        <w:spacing w:after="240"/>
        <w:rPr>
          <w:snapToGrid w:val="0"/>
        </w:rPr>
      </w:pPr>
      <w:r>
        <w:rPr>
          <w:snapToGrid w:val="0"/>
        </w:rPr>
        <w:t>78.</w:t>
      </w:r>
      <w:r>
        <w:rPr>
          <w:snapToGrid w:val="0"/>
        </w:rPr>
        <w:tab/>
        <w:t>Antes de que el Estado o una tercera parte lleven a cabo cualquier medida que interfiera en el derecho de una persona a la seguridad social, las autoridades competentes deberán garantizar que esas medidas se apliquen de conformidad con la ley y con el Pacto, lo cual supondrá:  a) la posibilidad de consultar efectivamente a los afectados;  b) la publicidad oportuna y completa de información sobre las medidas propuestas;  c) el aviso previo con tiempo razonable de las medidas propuestas;  d) recursos y reparaciones legales para los afectados; y  e) asistencia letrada para interponer recursos judiciales.  Cuando estas medidas se basen en la capacidad de una persona para hacer aportaciones a un plan de seguridad social, deberá tenerse en cuenta su capacidad de pago.  En ninguna circunstancia se debe privar a una persona de una prestación por motivos de discriminación, ni del nivel mínimo indispensable de prestaciones mencionado en el apartado a) del párrafo 59.</w:t>
      </w:r>
    </w:p>
    <w:p w:rsidR="00EE1DD7" w:rsidRDefault="00EE1DD7" w:rsidP="00EE1DD7">
      <w:pPr>
        <w:adjustRightInd w:val="0"/>
        <w:snapToGrid w:val="0"/>
        <w:spacing w:after="240"/>
        <w:rPr>
          <w:snapToGrid w:val="0"/>
        </w:rPr>
      </w:pPr>
      <w:r>
        <w:rPr>
          <w:snapToGrid w:val="0"/>
        </w:rPr>
        <w:t>79.</w:t>
      </w:r>
      <w:r>
        <w:rPr>
          <w:snapToGrid w:val="0"/>
        </w:rPr>
        <w:tab/>
        <w:t>La incorporación en el ordenamiento jurídico nacional de los instrumentos internacionales en los que se reconoce el derecho a la seguridad social puede ampliar considerablemente el alcance y la eficacia de las medidas correctivas, por lo que debe fomentarse.  Esta incorporación permite que los tribunales juzguen los casos de violación del derecho a la seguridad social invocando directamente el Pacto.</w:t>
      </w:r>
    </w:p>
    <w:p w:rsidR="00EE1DD7" w:rsidRDefault="00EE1DD7" w:rsidP="00EE1DD7">
      <w:pPr>
        <w:adjustRightInd w:val="0"/>
        <w:snapToGrid w:val="0"/>
        <w:spacing w:after="240"/>
        <w:rPr>
          <w:snapToGrid w:val="0"/>
        </w:rPr>
      </w:pPr>
      <w:r>
        <w:rPr>
          <w:snapToGrid w:val="0"/>
        </w:rPr>
        <w:t>80.</w:t>
      </w:r>
      <w:r>
        <w:rPr>
          <w:snapToGrid w:val="0"/>
        </w:rPr>
        <w:tab/>
        <w:t>Los Estados Partes deben alentar a los jueces, árbitros y otros profesionales del derecho a que, en el desempeño de sus funciones, presten más atención a las violaciones del derecho a la seguridad social.</w:t>
      </w:r>
    </w:p>
    <w:p w:rsidR="00EE1DD7" w:rsidRDefault="00EE1DD7" w:rsidP="00EE1DD7">
      <w:pPr>
        <w:adjustRightInd w:val="0"/>
        <w:snapToGrid w:val="0"/>
        <w:spacing w:after="480"/>
        <w:rPr>
          <w:snapToGrid w:val="0"/>
        </w:rPr>
      </w:pPr>
      <w:r>
        <w:rPr>
          <w:snapToGrid w:val="0"/>
        </w:rPr>
        <w:t>81.</w:t>
      </w:r>
      <w:r>
        <w:rPr>
          <w:snapToGrid w:val="0"/>
        </w:rPr>
        <w:tab/>
        <w:t>Los Estados Partes deben respetar, proteger, facilitar y promover la labor realizada por los defensores de derechos humanos y otros miembros de la sociedad civil, con miras a ayudar a las personas y los grupos desfavorecidos y marginados a realizar su derecho a la seguridad social.</w:t>
      </w:r>
    </w:p>
    <w:p w:rsidR="00EE1DD7" w:rsidRDefault="00EE1DD7" w:rsidP="00EE1DD7">
      <w:pPr>
        <w:adjustRightInd w:val="0"/>
        <w:snapToGrid w:val="0"/>
        <w:spacing w:after="240"/>
        <w:ind w:left="357" w:hanging="357"/>
        <w:jc w:val="center"/>
        <w:rPr>
          <w:b/>
          <w:snapToGrid w:val="0"/>
        </w:rPr>
      </w:pPr>
      <w:r>
        <w:rPr>
          <w:b/>
          <w:snapToGrid w:val="0"/>
        </w:rPr>
        <w:t>VI.  OBLIGACIONES DE LOS AGENTES DISTINTOS</w:t>
      </w:r>
      <w:r>
        <w:rPr>
          <w:b/>
          <w:snapToGrid w:val="0"/>
        </w:rPr>
        <w:br/>
        <w:t>DE LOS ESTADOS PARTES</w:t>
      </w:r>
    </w:p>
    <w:p w:rsidR="00EE1DD7" w:rsidRDefault="00EE1DD7" w:rsidP="00EE1DD7">
      <w:pPr>
        <w:adjustRightInd w:val="0"/>
        <w:snapToGrid w:val="0"/>
        <w:spacing w:after="240"/>
        <w:rPr>
          <w:snapToGrid w:val="0"/>
        </w:rPr>
      </w:pPr>
      <w:r>
        <w:rPr>
          <w:snapToGrid w:val="0"/>
        </w:rPr>
        <w:t>82.</w:t>
      </w:r>
      <w:r>
        <w:rPr>
          <w:snapToGrid w:val="0"/>
        </w:rPr>
        <w:tab/>
        <w:t>Los organismos especializados de las Naciones Unidas y otras organizaciones internacionales que se ocupan de la seguridad social, como la OIT, la OMS, la Organización de las Naciones Unidas para la Agricultura y la Alimentación, el Fondo de las Naciones Unidas para la Infancia (UNICEF), el Programa de las Naciones Unidas para los Asentamientos Humanos, el Programa de Desarrollo de las Naciones Unidas y la Asociación Internacional de la Seguridad Social (AISS), así como las organizaciones internacionales que se ocupan del comercio, como la Organización Mundial del Comercio, deben cooperar efectivamente con los Estados Partes aprovechando sus respectivos conocimientos especializados por lo que respecta a la aplicación del derecho a la seguridad social.</w:t>
      </w:r>
    </w:p>
    <w:p w:rsidR="00EE1DD7" w:rsidRDefault="00EE1DD7" w:rsidP="00EE1DD7">
      <w:pPr>
        <w:adjustRightInd w:val="0"/>
        <w:snapToGrid w:val="0"/>
        <w:spacing w:after="240"/>
        <w:rPr>
          <w:snapToGrid w:val="0"/>
        </w:rPr>
      </w:pPr>
      <w:r>
        <w:rPr>
          <w:snapToGrid w:val="0"/>
        </w:rPr>
        <w:t>83.</w:t>
      </w:r>
      <w:r>
        <w:rPr>
          <w:snapToGrid w:val="0"/>
        </w:rPr>
        <w:tab/>
        <w:t>Las instituciones financieras internacionales, en particular el Fondo Monetario Internacional y el Banco Mundial, deben tener en cuenta el derecho a la seguridad social en sus políticas de préstamos, acuerdos crediticios, programas de ajuste estructural y proyectos similares</w:t>
      </w:r>
      <w:r>
        <w:rPr>
          <w:rStyle w:val="FootnoteReference"/>
          <w:snapToGrid w:val="0"/>
        </w:rPr>
        <w:footnoteReference w:id="46"/>
      </w:r>
      <w:r>
        <w:rPr>
          <w:snapToGrid w:val="0"/>
        </w:rPr>
        <w:t>, de manera que se promueva y no se ponga en peligro el disfrute del derecho a la seguridad social, en particular por las personas y grupos desfavorecidos y marginados.</w:t>
      </w:r>
    </w:p>
    <w:p w:rsidR="00EE1DD7" w:rsidRDefault="00EE1DD7" w:rsidP="00EE1DD7">
      <w:pPr>
        <w:adjustRightInd w:val="0"/>
        <w:snapToGrid w:val="0"/>
        <w:spacing w:after="240"/>
        <w:rPr>
          <w:snapToGrid w:val="0"/>
        </w:rPr>
      </w:pPr>
      <w:r>
        <w:rPr>
          <w:snapToGrid w:val="0"/>
        </w:rPr>
        <w:t>84.</w:t>
      </w:r>
      <w:r>
        <w:rPr>
          <w:snapToGrid w:val="0"/>
        </w:rPr>
        <w:tab/>
        <w:t>Al examinar los informes de los Estados Partes y su capacidad para cumplir la obligación de hacer efectivo el derecho a la seguridad social, el Comité considerará los efectos de la asistencia prestada por todos los demás agentes.  La incorporación de los principios y normas de derechos humanos en los programas y políticas de las organizaciones internacionales facilitará considerablemente la aplicación del derecho a la seguridad social.</w:t>
      </w:r>
    </w:p>
    <w:p w:rsidR="00EE1DD7" w:rsidRPr="00C820BE" w:rsidRDefault="00EE1DD7" w:rsidP="00EE1DD7">
      <w:pPr>
        <w:adjustRightInd w:val="0"/>
        <w:snapToGrid w:val="0"/>
        <w:spacing w:after="240" w:line="840" w:lineRule="auto"/>
        <w:jc w:val="center"/>
        <w:rPr>
          <w:snapToGrid w:val="0"/>
        </w:rPr>
      </w:pPr>
      <w:r>
        <w:rPr>
          <w:snapToGrid w:val="0"/>
        </w:rPr>
        <w:t>-----</w:t>
      </w:r>
    </w:p>
    <w:p w:rsidR="00EB0582" w:rsidRDefault="00EB0582"/>
    <w:p w:rsidR="00941D4E" w:rsidRPr="00C820BE" w:rsidRDefault="00941D4E" w:rsidP="00493B79">
      <w:pPr>
        <w:adjustRightInd w:val="0"/>
        <w:snapToGrid w:val="0"/>
        <w:spacing w:after="240"/>
        <w:rPr>
          <w:snapToGrid w:val="0"/>
        </w:rPr>
      </w:pPr>
    </w:p>
    <w:sectPr w:rsidR="00941D4E" w:rsidRPr="00C820BE" w:rsidSect="00EB0582">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4BD" w:rsidRDefault="004F44BD">
      <w:r>
        <w:separator/>
      </w:r>
    </w:p>
  </w:endnote>
  <w:endnote w:type="continuationSeparator" w:id="0">
    <w:p w:rsidR="004F44BD" w:rsidRDefault="004F4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4BD" w:rsidRDefault="004F44BD">
      <w:r>
        <w:separator/>
      </w:r>
    </w:p>
  </w:footnote>
  <w:footnote w:type="continuationSeparator" w:id="0">
    <w:p w:rsidR="004F44BD" w:rsidRDefault="004F44BD">
      <w:r>
        <w:continuationSeparator/>
      </w:r>
    </w:p>
  </w:footnote>
  <w:footnote w:id="1">
    <w:p w:rsidR="00EB0582" w:rsidRDefault="00EB0582" w:rsidP="00EB0582">
      <w:pPr>
        <w:pStyle w:val="FootnoteText"/>
        <w:spacing w:after="360" w:line="240" w:lineRule="auto"/>
      </w:pPr>
      <w:r>
        <w:rPr>
          <w:rStyle w:val="FootnoteReference"/>
        </w:rPr>
        <w:footnoteRef/>
      </w:r>
      <w:r>
        <w:t xml:space="preserve"> Aprobada el 23 de noviembre de 2007.</w:t>
      </w:r>
    </w:p>
    <w:p w:rsidR="00EB0582" w:rsidRPr="00396728" w:rsidRDefault="00EB0582" w:rsidP="00EB0582">
      <w:pPr>
        <w:pStyle w:val="FootnoteText"/>
        <w:spacing w:after="0" w:line="240" w:lineRule="auto"/>
      </w:pPr>
      <w:r>
        <w:t xml:space="preserve">GE.08-40400  (S)    200208    </w:t>
      </w:r>
      <w:r w:rsidR="005F3230">
        <w:t>2</w:t>
      </w:r>
      <w:r w:rsidR="002D3367">
        <w:t>2</w:t>
      </w:r>
      <w:r w:rsidR="005F3230">
        <w:t>02</w:t>
      </w:r>
      <w:r>
        <w:t>08</w:t>
      </w:r>
    </w:p>
  </w:footnote>
  <w:footnote w:id="2">
    <w:p w:rsidR="00EB0582" w:rsidRDefault="00EB0582" w:rsidP="00EB0582">
      <w:pPr>
        <w:pStyle w:val="FootnoteText"/>
        <w:spacing w:line="240" w:lineRule="auto"/>
      </w:pPr>
      <w:r>
        <w:rPr>
          <w:rStyle w:val="FootnoteReference"/>
        </w:rPr>
        <w:footnoteRef/>
      </w:r>
      <w:r>
        <w:t xml:space="preserve"> Declaración relativa a los fines y objetivos de la Organización Internacional del Trabajo (OIT), anexo a la Constitución de la OIT, sec. III f).</w:t>
      </w:r>
    </w:p>
  </w:footnote>
  <w:footnote w:id="3">
    <w:p w:rsidR="00EB0582" w:rsidRDefault="00EB0582" w:rsidP="00EB0582">
      <w:pPr>
        <w:pStyle w:val="FootnoteText"/>
        <w:spacing w:line="240" w:lineRule="auto"/>
      </w:pPr>
      <w:r>
        <w:rPr>
          <w:rStyle w:val="FootnoteReference"/>
        </w:rPr>
        <w:footnoteRef/>
      </w:r>
      <w:r>
        <w:t xml:space="preserve"> Artículo 5 e) iv) de la Convención Internacional sobre la Eliminación de todas las Formas de Discriminación Racial; artículos 11.1 e) y 14.2 c) de la Convención sobre la eliminación de todas las formas de discriminación contra la mujer; y artículo 26 de la Convención sobre los Derechos del Niño.</w:t>
      </w:r>
    </w:p>
  </w:footnote>
  <w:footnote w:id="4">
    <w:p w:rsidR="00EB0582" w:rsidRDefault="00EB0582" w:rsidP="00EB0582">
      <w:pPr>
        <w:pStyle w:val="FootnoteText"/>
        <w:spacing w:line="240" w:lineRule="auto"/>
      </w:pPr>
      <w:r>
        <w:rPr>
          <w:rStyle w:val="FootnoteReference"/>
        </w:rPr>
        <w:footnoteRef/>
      </w:r>
      <w:r>
        <w:t xml:space="preserve"> Véase una mención explícita del derecho a la seguridad social en el artículo XVI de la Declaración americana de los derechos y deberes del hombre; en el artículo 9 del Protocolo Adicional a la Convención americana sobre derechos humanos en materia de derechos económicos, sociales y culturales (Protocolo del Salvador); y en los artículos 12, 13 y 14 de la Carta Social Europea (versión revisada de 1996).</w:t>
      </w:r>
    </w:p>
  </w:footnote>
  <w:footnote w:id="5">
    <w:p w:rsidR="00EB0582" w:rsidRDefault="00EB0582" w:rsidP="00EB0582">
      <w:pPr>
        <w:pStyle w:val="FootnoteText"/>
        <w:spacing w:line="240" w:lineRule="auto"/>
      </w:pPr>
      <w:r>
        <w:rPr>
          <w:rStyle w:val="FootnoteReference"/>
        </w:rPr>
        <w:footnoteRef/>
      </w:r>
      <w:r>
        <w:t xml:space="preserve"> Conferencia Internacional del Trabajo, 89ª reunión, informe del Comité de Seguridad Social, resoluciones y conclusiones relativas a la seguridad social.</w:t>
      </w:r>
    </w:p>
  </w:footnote>
  <w:footnote w:id="6">
    <w:p w:rsidR="00EB0582" w:rsidRPr="00EB0582" w:rsidRDefault="00EB0582" w:rsidP="00EB0582">
      <w:pPr>
        <w:pStyle w:val="FootnoteText"/>
        <w:spacing w:line="240" w:lineRule="auto"/>
      </w:pPr>
      <w:r>
        <w:rPr>
          <w:rStyle w:val="FootnoteReference"/>
        </w:rPr>
        <w:footnoteRef/>
      </w:r>
      <w:r w:rsidRPr="006C1CC6">
        <w:rPr>
          <w:lang w:val="en-GB"/>
        </w:rPr>
        <w:t xml:space="preserve"> Michael Cichon y Krzysztof Hagemejer, </w:t>
      </w:r>
      <w:r w:rsidRPr="005E4AA0">
        <w:rPr>
          <w:i/>
          <w:lang w:val="en-GB"/>
        </w:rPr>
        <w:t xml:space="preserve">"Social Security for All:  Investing in Global and Economic Development.  </w:t>
      </w:r>
      <w:r w:rsidRPr="00EB0582">
        <w:rPr>
          <w:i/>
        </w:rPr>
        <w:t>A Consultation", Issues in Social Protection Series, Discussion Paper 16,</w:t>
      </w:r>
      <w:r w:rsidRPr="00EB0582">
        <w:t xml:space="preserve"> Departamento de Seguridad Social de la OIT, Ginebra, 2006.</w:t>
      </w:r>
    </w:p>
  </w:footnote>
  <w:footnote w:id="7">
    <w:p w:rsidR="00EB0582" w:rsidRDefault="00EB0582" w:rsidP="00EB0582">
      <w:pPr>
        <w:pStyle w:val="FootnoteText"/>
        <w:spacing w:line="240" w:lineRule="auto"/>
      </w:pPr>
      <w:r>
        <w:rPr>
          <w:rStyle w:val="FootnoteReference"/>
        </w:rPr>
        <w:footnoteRef/>
      </w:r>
      <w:r>
        <w:t xml:space="preserve"> </w:t>
      </w:r>
      <w:r>
        <w:rPr>
          <w:snapToGrid w:val="0"/>
        </w:rPr>
        <w:t xml:space="preserve">Véanse las Observaciones generales Nº 5 (1994) sobre las personas con discapacidad; Nº 6 (1995) sobre los derechos económicos, sociales y culturales de las personas mayores; Nº 12 (1999) sobre el derecho a una alimentación adecuada (art. 11); Nº 14 (2000) sobre el derecho a disfrutar del más alto nivel posible de salud (art. 12); Nº 15 (2002) sobre el derecho al agua (arts. 11 y 12); Nº 16 (2005) sobre la igualdad de derechos del hombre y la mujer al disfrute de los derechos económicos, sociales y culturales (art. 3); y Nº 18 (2005) sobre el derecho al trabajo (art. 6).  Véase también </w:t>
      </w:r>
      <w:r w:rsidR="004A73DA">
        <w:rPr>
          <w:snapToGrid w:val="0"/>
        </w:rPr>
        <w:t xml:space="preserve">la </w:t>
      </w:r>
      <w:r>
        <w:rPr>
          <w:snapToGrid w:val="0"/>
        </w:rPr>
        <w:t>Declaración del Comité:  Evaluación de la obligación de adoptar medidas hasta el "máximo de los recursos de que disponga" de conformidad con un Protocolo Facultativo del Pacto (E/C.12/2007/1).</w:t>
      </w:r>
    </w:p>
  </w:footnote>
  <w:footnote w:id="8">
    <w:p w:rsidR="00EB0582" w:rsidRDefault="00EB0582" w:rsidP="00EB0582">
      <w:pPr>
        <w:pStyle w:val="FootnoteText"/>
        <w:spacing w:line="240" w:lineRule="auto"/>
      </w:pPr>
      <w:r>
        <w:rPr>
          <w:rStyle w:val="FootnoteReference"/>
        </w:rPr>
        <w:footnoteRef/>
      </w:r>
      <w:r>
        <w:t xml:space="preserve"> Véase en particular el Convenio Nº 102 (1952) sobre la seguridad social (normas mínimas) que fue confirmado por el Consejo de Administración de la OIT en 2002 como instrumento que correspondía a las necesidades y circunstancias actuales.  Estas categorías fueron también afirmadas por los representantes de los Estados</w:t>
      </w:r>
      <w:r w:rsidR="004A73DA">
        <w:t>,</w:t>
      </w:r>
      <w:r>
        <w:t xml:space="preserve"> de los sindicatos y de los empleadores en el Convenio de la OIT sobre el trabajo marítimo (2006), art. 4.5, norma A4.5.  El mismo criterio se sigue en las directrices generales revisadas del Comité para la presentación de informes por los Estados de 1991.  Véase también la Convención sobre la eliminación de todas las formas de discriminación contra la mujer (CEDAW), arts. 11 </w:t>
      </w:r>
      <w:r w:rsidR="004A73DA">
        <w:t>a</w:t>
      </w:r>
      <w:r>
        <w:t xml:space="preserve"> 13.</w:t>
      </w:r>
    </w:p>
  </w:footnote>
  <w:footnote w:id="9">
    <w:p w:rsidR="00EB0582" w:rsidRDefault="00EB0582" w:rsidP="00EB0582">
      <w:pPr>
        <w:pStyle w:val="FootnoteText"/>
        <w:spacing w:line="240" w:lineRule="auto"/>
      </w:pPr>
      <w:r>
        <w:rPr>
          <w:rStyle w:val="FootnoteReference"/>
        </w:rPr>
        <w:footnoteRef/>
      </w:r>
      <w:r>
        <w:t xml:space="preserve"> Observación general Nº 14 (2000) sobre el derecho al disfrute del más alto nivel posible de salud (art. 12).  La cobertura debe incluir cualquier condición de morbilidad, con independencia de sus causas, el embarazo y el parto y sus consecuencias, la atención médica general y práctica y la hospitalización.</w:t>
      </w:r>
    </w:p>
  </w:footnote>
  <w:footnote w:id="10">
    <w:p w:rsidR="00EB0582" w:rsidRPr="0003781B" w:rsidRDefault="00EB0582" w:rsidP="00EB0582">
      <w:pPr>
        <w:pStyle w:val="FootnoteText"/>
        <w:spacing w:line="240" w:lineRule="auto"/>
      </w:pPr>
      <w:r>
        <w:rPr>
          <w:rStyle w:val="FootnoteReference"/>
        </w:rPr>
        <w:footnoteRef/>
      </w:r>
      <w:r>
        <w:t xml:space="preserve"> Véase el párrafo 4 </w:t>
      </w:r>
      <w:r w:rsidRPr="0003781B">
        <w:rPr>
          <w:i/>
        </w:rPr>
        <w:t>supra</w:t>
      </w:r>
      <w:r>
        <w:t xml:space="preserve"> y los párrafos 23 a 27 </w:t>
      </w:r>
      <w:r>
        <w:rPr>
          <w:i/>
        </w:rPr>
        <w:t>infra</w:t>
      </w:r>
      <w:r>
        <w:t>.</w:t>
      </w:r>
    </w:p>
  </w:footnote>
  <w:footnote w:id="11">
    <w:p w:rsidR="00EB0582" w:rsidRDefault="00EB0582" w:rsidP="00EB0582">
      <w:pPr>
        <w:pStyle w:val="FootnoteText"/>
        <w:spacing w:line="240" w:lineRule="auto"/>
      </w:pPr>
      <w:r>
        <w:rPr>
          <w:rStyle w:val="FootnoteReference"/>
        </w:rPr>
        <w:footnoteRef/>
      </w:r>
      <w:r>
        <w:t xml:space="preserve"> Véase la Observación general Nº 6 (1995) sobre los derechos económicos, sociales y culturales de las personas mayores.</w:t>
      </w:r>
    </w:p>
  </w:footnote>
  <w:footnote w:id="12">
    <w:p w:rsidR="00EB0582" w:rsidRPr="00B518F2" w:rsidRDefault="00EB0582" w:rsidP="00EB0582">
      <w:pPr>
        <w:pStyle w:val="FootnoteText"/>
        <w:spacing w:line="240" w:lineRule="auto"/>
        <w:rPr>
          <w:i/>
        </w:rPr>
      </w:pPr>
      <w:r>
        <w:rPr>
          <w:rStyle w:val="FootnoteReference"/>
        </w:rPr>
        <w:footnoteRef/>
      </w:r>
      <w:r>
        <w:t xml:space="preserve"> Tal como se define en los párrafos 29 a 39 </w:t>
      </w:r>
      <w:r>
        <w:rPr>
          <w:i/>
        </w:rPr>
        <w:t>infra.</w:t>
      </w:r>
    </w:p>
  </w:footnote>
  <w:footnote w:id="13">
    <w:p w:rsidR="00EB0582" w:rsidRDefault="00EB0582" w:rsidP="00EB0582">
      <w:pPr>
        <w:pStyle w:val="FootnoteText"/>
        <w:spacing w:line="240" w:lineRule="auto"/>
      </w:pPr>
      <w:r>
        <w:rPr>
          <w:rStyle w:val="FootnoteReference"/>
        </w:rPr>
        <w:footnoteRef/>
      </w:r>
      <w:r>
        <w:t xml:space="preserve"> Véase el Convenio Nº 121 (1964) de la OIT sobre las prestaciones en caso de accidentes del trabajo y enfermedades profesionales.</w:t>
      </w:r>
    </w:p>
  </w:footnote>
  <w:footnote w:id="14">
    <w:p w:rsidR="00EB0582" w:rsidRDefault="00EB0582" w:rsidP="00EB0582">
      <w:pPr>
        <w:pStyle w:val="FootnoteText"/>
        <w:spacing w:line="240" w:lineRule="auto"/>
      </w:pPr>
      <w:r>
        <w:rPr>
          <w:rStyle w:val="FootnoteReference"/>
        </w:rPr>
        <w:footnoteRef/>
      </w:r>
      <w:r>
        <w:t xml:space="preserve"> Véase la Convención sobre los Derechos del Niño, art. 26.</w:t>
      </w:r>
    </w:p>
  </w:footnote>
  <w:footnote w:id="15">
    <w:p w:rsidR="00EB0582" w:rsidRDefault="00EB0582" w:rsidP="00EB0582">
      <w:pPr>
        <w:pStyle w:val="FootnoteText"/>
        <w:spacing w:line="240" w:lineRule="auto"/>
      </w:pPr>
      <w:r>
        <w:rPr>
          <w:rStyle w:val="FootnoteReference"/>
        </w:rPr>
        <w:footnoteRef/>
      </w:r>
      <w:r>
        <w:t xml:space="preserve"> El Comité observa que el Convenio Nº 183 (2000) de la OIT, sobre la protección de la maternidad</w:t>
      </w:r>
      <w:r w:rsidR="004A73DA">
        <w:t>,</w:t>
      </w:r>
      <w:r>
        <w:t xml:space="preserve"> dispone que la licencia por maternidad debe ser por un período no inferior a las 14 semanas, incluido un período de 6 semanas de licencia obligatoria posterior al parto.</w:t>
      </w:r>
    </w:p>
  </w:footnote>
  <w:footnote w:id="16">
    <w:p w:rsidR="00EB0582" w:rsidRDefault="00EB0582" w:rsidP="00EB0582">
      <w:pPr>
        <w:pStyle w:val="FootnoteText"/>
        <w:spacing w:line="240" w:lineRule="auto"/>
      </w:pPr>
      <w:r>
        <w:rPr>
          <w:rStyle w:val="FootnoteReference"/>
        </w:rPr>
        <w:footnoteRef/>
      </w:r>
      <w:r>
        <w:t xml:space="preserve"> Convención sobre la eliminación de todas las formas de discriminación contra la mujer, art. 11, párr. 2 b).</w:t>
      </w:r>
    </w:p>
  </w:footnote>
  <w:footnote w:id="17">
    <w:p w:rsidR="00EB0582" w:rsidRDefault="00EB0582" w:rsidP="00EB0582">
      <w:pPr>
        <w:pStyle w:val="FootnoteText"/>
        <w:spacing w:line="240" w:lineRule="auto"/>
      </w:pPr>
      <w:r>
        <w:rPr>
          <w:rStyle w:val="FootnoteReference"/>
        </w:rPr>
        <w:footnoteRef/>
      </w:r>
      <w:r>
        <w:t xml:space="preserve"> El ingreso en instituciones de las personas con discapacidades, a menos que sea necesario por otros motivos, no puede considerarse como un sustituto suficiente de los derechos de seguridad social y de apoyo a los ingresos de esas personas o del apoyo para rehabilitación y empleo a fin de ayudar a esas personas a encontrar trabajo, como se dispone en los artículos 6 y 7 del Pacto.</w:t>
      </w:r>
    </w:p>
  </w:footnote>
  <w:footnote w:id="18">
    <w:p w:rsidR="00EB0582" w:rsidRDefault="00EB0582" w:rsidP="00EB0582">
      <w:pPr>
        <w:pStyle w:val="FootnoteText"/>
        <w:spacing w:line="240" w:lineRule="auto"/>
      </w:pPr>
      <w:r>
        <w:rPr>
          <w:rStyle w:val="FootnoteReference"/>
        </w:rPr>
        <w:footnoteRef/>
      </w:r>
      <w:r>
        <w:t xml:space="preserve"> El Comité observa también que los niños tienen derecho a la seguridad social.  Véase el artículo 26 de la Convención sobre los Derechos del Niño.</w:t>
      </w:r>
    </w:p>
  </w:footnote>
  <w:footnote w:id="19">
    <w:p w:rsidR="00EB0582" w:rsidRDefault="00EB0582" w:rsidP="00EB0582">
      <w:pPr>
        <w:pStyle w:val="FootnoteText"/>
        <w:spacing w:line="240" w:lineRule="auto"/>
      </w:pPr>
      <w:r>
        <w:rPr>
          <w:rStyle w:val="FootnoteReference"/>
        </w:rPr>
        <w:footnoteRef/>
      </w:r>
      <w:r>
        <w:t xml:space="preserve"> El Comité observó que en virtud del Convenio Nº 168 (1988) de la OIT sobre el fomento del empleo y la protección contra el desempleo, tal medida sólo puede adoptarse en determinadas circunstancias:  ausencia del territorio del Estado, si una autoridad competente ha determinado que la persona interesada contribuyó deliberadamente a su propio despido o dejó el empleo voluntariamente sin causa justa; si durante un período, una persona dejó de trabajar debido a una diferencia labora</w:t>
      </w:r>
      <w:r w:rsidR="004A73DA">
        <w:t>l</w:t>
      </w:r>
      <w:r>
        <w:t>; si la persona ha tratado de obtener o ha obtenido beneficios fraudulentamente; si la persona sin causa justa, no ha utilizado los servicios disponibles de colocación, orientación profesional, capacitación, perfeccionamiento o traslado en un trabajo adecuado; o si la persona recibe otra prestación de mantenimiento del ingreso prevista en la legislación del Estado pertinente, salvo que sea una prestación familiar, siempre que la parte de la prestación que se suspende no supere la de la otra prestación.</w:t>
      </w:r>
    </w:p>
  </w:footnote>
  <w:footnote w:id="20">
    <w:p w:rsidR="00EB0582" w:rsidRDefault="00EB0582" w:rsidP="00EB0582">
      <w:pPr>
        <w:pStyle w:val="FootnoteText"/>
        <w:spacing w:line="240" w:lineRule="auto"/>
      </w:pPr>
      <w:r>
        <w:rPr>
          <w:rStyle w:val="FootnoteReference"/>
        </w:rPr>
        <w:footnoteRef/>
      </w:r>
      <w:r>
        <w:t xml:space="preserve"> Los artículos 71 y 72 del Convenio </w:t>
      </w:r>
      <w:r w:rsidR="004A73DA">
        <w:t xml:space="preserve">Nº </w:t>
      </w:r>
      <w:r>
        <w:t>102 (1952) de la OIT sobre la seguridad social (normas mínimas) contiene requisitos similares.</w:t>
      </w:r>
    </w:p>
  </w:footnote>
  <w:footnote w:id="21">
    <w:p w:rsidR="00EB0582" w:rsidRDefault="00EB0582" w:rsidP="00EB0582">
      <w:pPr>
        <w:pStyle w:val="FootnoteText"/>
        <w:spacing w:line="240" w:lineRule="auto"/>
      </w:pPr>
      <w:r>
        <w:rPr>
          <w:rStyle w:val="FootnoteReference"/>
        </w:rPr>
        <w:footnoteRef/>
      </w:r>
      <w:r>
        <w:t xml:space="preserve"> Véase Principios de </w:t>
      </w:r>
      <w:r>
        <w:rPr>
          <w:snapToGrid w:val="0"/>
        </w:rPr>
        <w:t>seguridad social, OIT (1998) pág</w:t>
      </w:r>
      <w:r w:rsidR="004A73DA">
        <w:rPr>
          <w:snapToGrid w:val="0"/>
        </w:rPr>
        <w:t>.</w:t>
      </w:r>
      <w:r>
        <w:rPr>
          <w:snapToGrid w:val="0"/>
        </w:rPr>
        <w:t xml:space="preserve"> 14, y las Observaciones generales Nº 5 (1</w:t>
      </w:r>
      <w:r w:rsidR="004A73DA">
        <w:rPr>
          <w:snapToGrid w:val="0"/>
        </w:rPr>
        <w:t>994</w:t>
      </w:r>
      <w:r>
        <w:rPr>
          <w:snapToGrid w:val="0"/>
        </w:rPr>
        <w:t>)</w:t>
      </w:r>
      <w:r w:rsidR="00BB69A9">
        <w:rPr>
          <w:snapToGrid w:val="0"/>
        </w:rPr>
        <w:t xml:space="preserve"> </w:t>
      </w:r>
      <w:r>
        <w:rPr>
          <w:snapToGrid w:val="0"/>
        </w:rPr>
        <w:t>sobre las personas con discapacidad</w:t>
      </w:r>
      <w:r w:rsidR="004A73DA">
        <w:rPr>
          <w:snapToGrid w:val="0"/>
        </w:rPr>
        <w:t>;</w:t>
      </w:r>
      <w:r>
        <w:rPr>
          <w:snapToGrid w:val="0"/>
        </w:rPr>
        <w:t xml:space="preserve"> Nº 6 (1995) sobre los derechos económicos, sociales y culturales de las personas mayores; Nº 12 (1999) sobre el derecho a una alimentación adecuada (art. 11); Nº 13 (1999) sobre el derecho a la educación (art. 13); Nº 14 (2000) sobre el derecho al disfrute del más alto nivel posible de salud (art. 12); Nº 15 (2002) sobre el derecho al agua (arts.</w:t>
      </w:r>
      <w:r w:rsidR="004A73DA">
        <w:rPr>
          <w:snapToGrid w:val="0"/>
        </w:rPr>
        <w:t> </w:t>
      </w:r>
      <w:r>
        <w:rPr>
          <w:snapToGrid w:val="0"/>
        </w:rPr>
        <w:t>11 y 12); y Nº 18 (2005) sobre el derecho al trabajo (art. 6).</w:t>
      </w:r>
    </w:p>
  </w:footnote>
  <w:footnote w:id="22">
    <w:p w:rsidR="00EB0582" w:rsidRDefault="00EB0582" w:rsidP="00EB0582">
      <w:pPr>
        <w:pStyle w:val="FootnoteText"/>
        <w:spacing w:line="240" w:lineRule="auto"/>
      </w:pPr>
      <w:r>
        <w:rPr>
          <w:rStyle w:val="FootnoteReference"/>
        </w:rPr>
        <w:footnoteRef/>
      </w:r>
      <w:r>
        <w:t xml:space="preserve"> Véanse Principios de la </w:t>
      </w:r>
      <w:r>
        <w:rPr>
          <w:snapToGrid w:val="0"/>
        </w:rPr>
        <w:t xml:space="preserve">seguridad social, </w:t>
      </w:r>
      <w:r>
        <w:rPr>
          <w:i/>
          <w:snapToGrid w:val="0"/>
        </w:rPr>
        <w:t>Social Security Series</w:t>
      </w:r>
      <w:r w:rsidRPr="0081725A">
        <w:rPr>
          <w:snapToGrid w:val="0"/>
        </w:rPr>
        <w:t>,</w:t>
      </w:r>
      <w:r w:rsidRPr="0081725A">
        <w:rPr>
          <w:i/>
          <w:snapToGrid w:val="0"/>
        </w:rPr>
        <w:t xml:space="preserve"> </w:t>
      </w:r>
      <w:r w:rsidRPr="0081725A">
        <w:rPr>
          <w:snapToGrid w:val="0"/>
        </w:rPr>
        <w:t>Nº 1,</w:t>
      </w:r>
      <w:r>
        <w:rPr>
          <w:snapToGrid w:val="0"/>
        </w:rPr>
        <w:t xml:space="preserve"> </w:t>
      </w:r>
      <w:r w:rsidRPr="0038286F">
        <w:rPr>
          <w:snapToGrid w:val="0"/>
        </w:rPr>
        <w:t>OIT</w:t>
      </w:r>
      <w:r>
        <w:rPr>
          <w:snapToGrid w:val="0"/>
        </w:rPr>
        <w:t>, pág. 29.</w:t>
      </w:r>
    </w:p>
  </w:footnote>
  <w:footnote w:id="23">
    <w:p w:rsidR="00EB0582" w:rsidRDefault="00EB0582" w:rsidP="00EB0582">
      <w:pPr>
        <w:pStyle w:val="FootnoteText"/>
        <w:spacing w:line="240" w:lineRule="auto"/>
      </w:pPr>
      <w:r>
        <w:rPr>
          <w:rStyle w:val="FootnoteReference"/>
        </w:rPr>
        <w:footnoteRef/>
      </w:r>
      <w:r>
        <w:t xml:space="preserve"> Véase la Observación general Nº 16 (2005) sobre la igualdad de derechos del hombre y la mujer al disfrute de los derechos económicos, sociales y culturales (art. 3).</w:t>
      </w:r>
    </w:p>
  </w:footnote>
  <w:footnote w:id="24">
    <w:p w:rsidR="00EB0582" w:rsidRDefault="00EB0582" w:rsidP="00EB0582">
      <w:pPr>
        <w:pStyle w:val="FootnoteText"/>
        <w:spacing w:line="240" w:lineRule="auto"/>
      </w:pPr>
      <w:r>
        <w:rPr>
          <w:rStyle w:val="FootnoteReference"/>
        </w:rPr>
        <w:footnoteRef/>
      </w:r>
      <w:r>
        <w:t xml:space="preserve"> Veáse la Observación general Nº 6.  El Comité observa que pueden hacerse algunas distinciones en razón de la edad, por ejemplo en el caso del derecho a una pensión.  El principio fundamental es que cualquier distinción basada en motivos prohibidos debe ser razonable y justificada habida cuenta de las circunstancias.</w:t>
      </w:r>
    </w:p>
  </w:footnote>
  <w:footnote w:id="25">
    <w:p w:rsidR="00EB0582" w:rsidRDefault="00EB0582" w:rsidP="00EB0582">
      <w:pPr>
        <w:pStyle w:val="FootnoteText"/>
        <w:spacing w:line="240" w:lineRule="auto"/>
      </w:pPr>
      <w:r>
        <w:rPr>
          <w:rStyle w:val="FootnoteReference"/>
        </w:rPr>
        <w:footnoteRef/>
      </w:r>
      <w:r>
        <w:t xml:space="preserve"> Véase la Observación general Nº 5.</w:t>
      </w:r>
    </w:p>
  </w:footnote>
  <w:footnote w:id="26">
    <w:p w:rsidR="00EB0582" w:rsidRPr="00EB0582" w:rsidRDefault="00EB0582" w:rsidP="00EB0582">
      <w:pPr>
        <w:pStyle w:val="FootnoteText"/>
        <w:spacing w:line="240" w:lineRule="auto"/>
      </w:pPr>
      <w:r>
        <w:rPr>
          <w:rStyle w:val="FootnoteReference"/>
        </w:rPr>
        <w:footnoteRef/>
      </w:r>
      <w:r w:rsidRPr="00EB0582">
        <w:t xml:space="preserve"> Los trabajadores domésticos son aquellos que trabajan desde su hogar, mediante remuneración, para un empleador o empresa o actividad similar.  Véase el Convenio Nº 177 (1996) de la OIT sobre el trabajo a domicilio.</w:t>
      </w:r>
    </w:p>
  </w:footnote>
  <w:footnote w:id="27">
    <w:p w:rsidR="00EB0582" w:rsidRDefault="00EB0582" w:rsidP="00EB0582">
      <w:pPr>
        <w:pStyle w:val="FootnoteText"/>
        <w:spacing w:line="240" w:lineRule="auto"/>
      </w:pPr>
      <w:r>
        <w:rPr>
          <w:rStyle w:val="FootnoteReference"/>
        </w:rPr>
        <w:footnoteRef/>
      </w:r>
      <w:r>
        <w:t xml:space="preserve"> El artículo 10 del Pacto estipula expresamente que "a las madres que trabajen se les debe conceder licencia con remuneración o con prestaciones adecuadas de seguridad social".</w:t>
      </w:r>
    </w:p>
  </w:footnote>
  <w:footnote w:id="28">
    <w:p w:rsidR="00EB0582" w:rsidRDefault="00EB0582" w:rsidP="00EB0582">
      <w:pPr>
        <w:pStyle w:val="FootnoteText"/>
        <w:spacing w:line="240" w:lineRule="auto"/>
      </w:pPr>
      <w:r>
        <w:rPr>
          <w:rStyle w:val="FootnoteReference"/>
        </w:rPr>
        <w:footnoteRef/>
      </w:r>
      <w:r>
        <w:t xml:space="preserve"> Conclusiones relativas al trabajo decente y la economía informal, Conferencia General de la Organización Internacional del Trabajo, 90ª reunión, párr. 3.</w:t>
      </w:r>
    </w:p>
  </w:footnote>
  <w:footnote w:id="29">
    <w:p w:rsidR="00EE1DD7" w:rsidRDefault="00EE1DD7" w:rsidP="00EE1DD7">
      <w:pPr>
        <w:pStyle w:val="FootnoteText"/>
        <w:spacing w:line="240" w:lineRule="auto"/>
      </w:pPr>
      <w:r>
        <w:rPr>
          <w:rStyle w:val="FootnoteReference"/>
        </w:rPr>
        <w:footnoteRef/>
      </w:r>
      <w:r>
        <w:t xml:space="preserve"> Véase el informe del Secretario General de las Naciones Unidas sobre migración internacional y desarrollo (A/60/871), párr. 98.</w:t>
      </w:r>
    </w:p>
  </w:footnote>
  <w:footnote w:id="30">
    <w:p w:rsidR="00EE1DD7" w:rsidRDefault="00EE1DD7" w:rsidP="00EE1DD7">
      <w:pPr>
        <w:pStyle w:val="FootnoteText"/>
        <w:spacing w:line="240" w:lineRule="auto"/>
      </w:pPr>
      <w:r>
        <w:rPr>
          <w:rStyle w:val="FootnoteReference"/>
        </w:rPr>
        <w:footnoteRef/>
      </w:r>
      <w:r>
        <w:t xml:space="preserve"> Véanse los artículos 23 y 24 de la Convención sobre el Estatuto de los Refugiados y los artículos 23 y 24 de la Convención sobre el Estatuto de los Apátridas.</w:t>
      </w:r>
    </w:p>
  </w:footnote>
  <w:footnote w:id="31">
    <w:p w:rsidR="00EE1DD7" w:rsidRPr="006E01E9" w:rsidRDefault="00EE1DD7" w:rsidP="00EE1DD7">
      <w:pPr>
        <w:pStyle w:val="FootnoteText"/>
        <w:spacing w:line="240" w:lineRule="auto"/>
      </w:pPr>
      <w:r>
        <w:rPr>
          <w:rStyle w:val="FootnoteReference"/>
        </w:rPr>
        <w:footnoteRef/>
      </w:r>
      <w:r>
        <w:t xml:space="preserve"> Véanse los párrafos 59 d) y 68 a 70 </w:t>
      </w:r>
      <w:r>
        <w:rPr>
          <w:i/>
        </w:rPr>
        <w:t>infra</w:t>
      </w:r>
      <w:r>
        <w:t>.</w:t>
      </w:r>
    </w:p>
  </w:footnote>
  <w:footnote w:id="32">
    <w:p w:rsidR="00EE1DD7" w:rsidRPr="006E01E9" w:rsidRDefault="00EE1DD7" w:rsidP="00EE1DD7">
      <w:pPr>
        <w:pStyle w:val="FootnoteText"/>
        <w:spacing w:line="240" w:lineRule="auto"/>
      </w:pPr>
      <w:r>
        <w:rPr>
          <w:rStyle w:val="FootnoteReference"/>
        </w:rPr>
        <w:footnoteRef/>
      </w:r>
      <w:r>
        <w:t xml:space="preserve"> Véanse los párrafos 12 a 21 </w:t>
      </w:r>
      <w:r>
        <w:rPr>
          <w:i/>
        </w:rPr>
        <w:t>supra</w:t>
      </w:r>
      <w:r>
        <w:t>.</w:t>
      </w:r>
    </w:p>
  </w:footnote>
  <w:footnote w:id="33">
    <w:p w:rsidR="00EE1DD7" w:rsidRDefault="00EE1DD7" w:rsidP="00EE1DD7">
      <w:pPr>
        <w:pStyle w:val="FootnoteText"/>
        <w:spacing w:line="240" w:lineRule="auto"/>
      </w:pPr>
      <w:r>
        <w:rPr>
          <w:rStyle w:val="FootnoteReference"/>
        </w:rPr>
        <w:footnoteRef/>
      </w:r>
      <w:r>
        <w:t xml:space="preserve"> Véase el artículo 27 de la Convención Internacional sobre la protección de los derechos de todos los trabajadores migratorios y de sus familiares.</w:t>
      </w:r>
    </w:p>
  </w:footnote>
  <w:footnote w:id="34">
    <w:p w:rsidR="00EE1DD7" w:rsidRDefault="00EE1DD7" w:rsidP="00EE1DD7">
      <w:pPr>
        <w:pStyle w:val="FootnoteText"/>
        <w:spacing w:line="240" w:lineRule="auto"/>
      </w:pPr>
      <w:r>
        <w:rPr>
          <w:rStyle w:val="FootnoteReference"/>
        </w:rPr>
        <w:footnoteRef/>
      </w:r>
      <w:r>
        <w:t xml:space="preserve"> Véase la Observación general Nº 3 (1990) sobre la índole de las obligaciones de los Estados (párrafo 1 del artículo 2 del Pacto).</w:t>
      </w:r>
    </w:p>
  </w:footnote>
  <w:footnote w:id="35">
    <w:p w:rsidR="00EE1DD7" w:rsidRDefault="00EE1DD7" w:rsidP="00EE1DD7">
      <w:pPr>
        <w:pStyle w:val="FootnoteText"/>
        <w:spacing w:line="240" w:lineRule="auto"/>
      </w:pPr>
      <w:r>
        <w:rPr>
          <w:rStyle w:val="FootnoteReference"/>
        </w:rPr>
        <w:footnoteRef/>
      </w:r>
      <w:r>
        <w:t xml:space="preserve"> Leído juntamente con la Observación general Nº 14 (2000) sobre el derecho al disfrute del más alto nivel posible de salud (párrafos 43 y 44 del artículo 12), este derecho incluiría el acceso a los establecimientos, bienes y servicios de salud sin discriminación alguna, el suministro de medicamentos indispensables, el acceso a la atención de salud reproductiva materna (prenatal y posnatal) e infantil, y la inmunización contra las principales enfermedades infecciosas que afectan a la comunidad.</w:t>
      </w:r>
    </w:p>
  </w:footnote>
  <w:footnote w:id="36">
    <w:p w:rsidR="00EE1DD7" w:rsidRPr="00247A03" w:rsidRDefault="00EE1DD7" w:rsidP="00EE1DD7">
      <w:pPr>
        <w:pStyle w:val="FootnoteText"/>
        <w:spacing w:line="240" w:lineRule="auto"/>
      </w:pPr>
      <w:r>
        <w:rPr>
          <w:rStyle w:val="FootnoteReference"/>
        </w:rPr>
        <w:footnoteRef/>
      </w:r>
      <w:r>
        <w:t xml:space="preserve"> Véanse los párrafos 29 a 31 </w:t>
      </w:r>
      <w:r>
        <w:rPr>
          <w:i/>
        </w:rPr>
        <w:t>supra</w:t>
      </w:r>
      <w:r>
        <w:t>.</w:t>
      </w:r>
    </w:p>
  </w:footnote>
  <w:footnote w:id="37">
    <w:p w:rsidR="00EE1DD7" w:rsidRPr="00247A03" w:rsidRDefault="00EE1DD7" w:rsidP="00EE1DD7">
      <w:pPr>
        <w:pStyle w:val="FootnoteText"/>
        <w:spacing w:line="240" w:lineRule="auto"/>
      </w:pPr>
      <w:r>
        <w:rPr>
          <w:rStyle w:val="FootnoteReference"/>
        </w:rPr>
        <w:footnoteRef/>
      </w:r>
      <w:r>
        <w:t xml:space="preserve"> Véanse los párrafos 44 a 46 </w:t>
      </w:r>
      <w:r>
        <w:rPr>
          <w:i/>
        </w:rPr>
        <w:t>supra</w:t>
      </w:r>
      <w:r>
        <w:t>.</w:t>
      </w:r>
    </w:p>
  </w:footnote>
  <w:footnote w:id="38">
    <w:p w:rsidR="00EE1DD7" w:rsidRPr="00247A03" w:rsidRDefault="00EE1DD7" w:rsidP="00EE1DD7">
      <w:pPr>
        <w:pStyle w:val="FootnoteText"/>
        <w:spacing w:line="240" w:lineRule="auto"/>
      </w:pPr>
      <w:r>
        <w:rPr>
          <w:rStyle w:val="FootnoteReference"/>
        </w:rPr>
        <w:footnoteRef/>
      </w:r>
      <w:r>
        <w:t xml:space="preserve"> Véanse los párrafos 68 a 70 </w:t>
      </w:r>
      <w:r>
        <w:rPr>
          <w:i/>
        </w:rPr>
        <w:t>infra</w:t>
      </w:r>
      <w:r>
        <w:t>.</w:t>
      </w:r>
    </w:p>
  </w:footnote>
  <w:footnote w:id="39">
    <w:p w:rsidR="00EE1DD7" w:rsidRDefault="00EE1DD7" w:rsidP="00EE1DD7">
      <w:pPr>
        <w:pStyle w:val="FootnoteText"/>
        <w:spacing w:line="240" w:lineRule="auto"/>
      </w:pPr>
      <w:r>
        <w:rPr>
          <w:rStyle w:val="FootnoteReference"/>
        </w:rPr>
        <w:footnoteRef/>
      </w:r>
      <w:r>
        <w:t xml:space="preserve"> Véanse, por ejemplo, los párrafos 31 a 39 </w:t>
      </w:r>
      <w:r w:rsidRPr="00247A03">
        <w:rPr>
          <w:i/>
        </w:rPr>
        <w:t>supra</w:t>
      </w:r>
      <w:r>
        <w:t>.</w:t>
      </w:r>
    </w:p>
  </w:footnote>
  <w:footnote w:id="40">
    <w:p w:rsidR="00EE1DD7" w:rsidRPr="00247A03" w:rsidRDefault="00EE1DD7" w:rsidP="00EE1DD7">
      <w:pPr>
        <w:pStyle w:val="FootnoteText"/>
        <w:spacing w:line="240" w:lineRule="auto"/>
      </w:pPr>
      <w:r>
        <w:rPr>
          <w:rStyle w:val="FootnoteReference"/>
        </w:rPr>
        <w:footnoteRef/>
      </w:r>
      <w:r>
        <w:t xml:space="preserve"> Véase el párrafo 74 </w:t>
      </w:r>
      <w:r>
        <w:rPr>
          <w:i/>
        </w:rPr>
        <w:t>infra</w:t>
      </w:r>
      <w:r>
        <w:t>.</w:t>
      </w:r>
    </w:p>
  </w:footnote>
  <w:footnote w:id="41">
    <w:p w:rsidR="00EE1DD7" w:rsidRDefault="00EE1DD7" w:rsidP="00EE1DD7">
      <w:pPr>
        <w:pStyle w:val="FootnoteText"/>
        <w:spacing w:line="240" w:lineRule="auto"/>
      </w:pPr>
      <w:r>
        <w:rPr>
          <w:rStyle w:val="FootnoteReference"/>
        </w:rPr>
        <w:footnoteRef/>
      </w:r>
      <w:r>
        <w:t xml:space="preserve"> Véase la Observación general Nº 3, párr. 10.</w:t>
      </w:r>
    </w:p>
  </w:footnote>
  <w:footnote w:id="42">
    <w:p w:rsidR="00EE1DD7" w:rsidRDefault="00EE1DD7" w:rsidP="00EE1DD7">
      <w:pPr>
        <w:pStyle w:val="FootnoteText"/>
        <w:spacing w:line="240" w:lineRule="auto"/>
      </w:pPr>
      <w:r>
        <w:rPr>
          <w:rStyle w:val="FootnoteReference"/>
        </w:rPr>
        <w:footnoteRef/>
      </w:r>
      <w:r>
        <w:t xml:space="preserve"> Véase la Convención de Viena sobre el Derecho de los Tratados, art. 26.</w:t>
      </w:r>
    </w:p>
  </w:footnote>
  <w:footnote w:id="43">
    <w:p w:rsidR="00EE1DD7" w:rsidRDefault="00EE1DD7" w:rsidP="00EE1DD7">
      <w:pPr>
        <w:pStyle w:val="FootnoteText"/>
        <w:spacing w:line="240" w:lineRule="auto"/>
      </w:pPr>
      <w:r>
        <w:rPr>
          <w:rStyle w:val="FootnoteReference"/>
        </w:rPr>
        <w:footnoteRef/>
      </w:r>
      <w:r>
        <w:t xml:space="preserve"> Véase </w:t>
      </w:r>
      <w:r w:rsidR="005C068B">
        <w:t xml:space="preserve">la </w:t>
      </w:r>
      <w:r>
        <w:t>Declaración del Comité:  Evaluación de la obligación de adoptar medidas hasta el "máximo de los recursos de que disponga" de conformidad con un Protocolo Facultativo del Pacto (E/C.12/2007/1).</w:t>
      </w:r>
    </w:p>
  </w:footnote>
  <w:footnote w:id="44">
    <w:p w:rsidR="00EE1DD7" w:rsidRDefault="00EE1DD7" w:rsidP="00EE1DD7">
      <w:pPr>
        <w:pStyle w:val="FootnoteText"/>
        <w:spacing w:line="240" w:lineRule="auto"/>
      </w:pPr>
      <w:r>
        <w:rPr>
          <w:rStyle w:val="FootnoteReference"/>
        </w:rPr>
        <w:footnoteRef/>
      </w:r>
      <w:r>
        <w:t xml:space="preserve"> Véase la </w:t>
      </w:r>
      <w:r w:rsidR="005C068B">
        <w:t>O</w:t>
      </w:r>
      <w:r>
        <w:t>bservación general Nº 14 (2000) sobre el derecho al disfrute del más alto nivel posible de salud (art. 12), párr. 58.</w:t>
      </w:r>
    </w:p>
  </w:footnote>
  <w:footnote w:id="45">
    <w:p w:rsidR="00EE1DD7" w:rsidRDefault="00EE1DD7" w:rsidP="00EE1DD7">
      <w:pPr>
        <w:pStyle w:val="FootnoteText"/>
        <w:spacing w:line="240" w:lineRule="auto"/>
      </w:pPr>
      <w:r>
        <w:rPr>
          <w:rStyle w:val="FootnoteReference"/>
        </w:rPr>
        <w:footnoteRef/>
      </w:r>
      <w:r>
        <w:t xml:space="preserve"> Véase la </w:t>
      </w:r>
      <w:r w:rsidR="005C068B">
        <w:t>O</w:t>
      </w:r>
      <w:r>
        <w:t>bservación general Nº 9 (1998) sobre la aplicación interna del Pacto, párr. 4.</w:t>
      </w:r>
    </w:p>
  </w:footnote>
  <w:footnote w:id="46">
    <w:p w:rsidR="00EE1DD7" w:rsidRDefault="00EE1DD7" w:rsidP="00EE1DD7">
      <w:pPr>
        <w:pStyle w:val="FootnoteText"/>
        <w:spacing w:line="240" w:lineRule="auto"/>
      </w:pPr>
      <w:r>
        <w:rPr>
          <w:rStyle w:val="FootnoteReference"/>
        </w:rPr>
        <w:footnoteRef/>
      </w:r>
      <w:r>
        <w:t xml:space="preserve"> Véase la Observación general Nº 2 (1990) sobre medidas internacionales de asistencia técnica (artículo 22 del Pacto).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582" w:rsidRDefault="00EB0582">
    <w:pPr>
      <w:pStyle w:val="Header"/>
    </w:pPr>
    <w:r>
      <w:t>E/C.12/GC/19</w:t>
    </w:r>
  </w:p>
  <w:p w:rsidR="00EB0582" w:rsidRDefault="00EB0582">
    <w:pPr>
      <w:pStyle w:val="Header"/>
    </w:pPr>
    <w:r>
      <w:t xml:space="preserve">página </w:t>
    </w:r>
    <w:r>
      <w:fldChar w:fldCharType="begin"/>
    </w:r>
    <w:r>
      <w:instrText xml:space="preserve"> PAGE  \* MERGEFORMAT </w:instrText>
    </w:r>
    <w:r>
      <w:fldChar w:fldCharType="separate"/>
    </w:r>
    <w:r w:rsidR="00BF049B">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582" w:rsidRDefault="00EB0582" w:rsidP="00EE1DD7">
    <w:pPr>
      <w:pStyle w:val="Header"/>
      <w:tabs>
        <w:tab w:val="clear" w:pos="4252"/>
        <w:tab w:val="left" w:pos="7920"/>
      </w:tabs>
    </w:pPr>
    <w:r>
      <w:tab/>
      <w:t>E/C.12/GC/19</w:t>
    </w:r>
  </w:p>
  <w:p w:rsidR="00EB0582" w:rsidRDefault="00EB0582" w:rsidP="00EE1DD7">
    <w:pPr>
      <w:pStyle w:val="Header"/>
      <w:tabs>
        <w:tab w:val="clear" w:pos="4252"/>
        <w:tab w:val="left" w:pos="7920"/>
      </w:tabs>
    </w:pPr>
    <w:r>
      <w:tab/>
      <w:t xml:space="preserve">página </w:t>
    </w:r>
    <w:r>
      <w:fldChar w:fldCharType="begin"/>
    </w:r>
    <w:r>
      <w:instrText xml:space="preserve"> PAGE  \* MERGEFORMAT </w:instrText>
    </w:r>
    <w:r>
      <w:fldChar w:fldCharType="separate"/>
    </w:r>
    <w:r w:rsidR="00BF049B">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6F74"/>
    <w:rsid w:val="000F18F3"/>
    <w:rsid w:val="001E79FD"/>
    <w:rsid w:val="001E7D80"/>
    <w:rsid w:val="002009CB"/>
    <w:rsid w:val="002426E2"/>
    <w:rsid w:val="00273020"/>
    <w:rsid w:val="002D3367"/>
    <w:rsid w:val="002D3845"/>
    <w:rsid w:val="00493B79"/>
    <w:rsid w:val="004A73DA"/>
    <w:rsid w:val="004F44BD"/>
    <w:rsid w:val="005A29DD"/>
    <w:rsid w:val="005C068B"/>
    <w:rsid w:val="005F3230"/>
    <w:rsid w:val="006541BE"/>
    <w:rsid w:val="006669B8"/>
    <w:rsid w:val="006C222A"/>
    <w:rsid w:val="00716E4C"/>
    <w:rsid w:val="0077727F"/>
    <w:rsid w:val="007E1504"/>
    <w:rsid w:val="007E7BD0"/>
    <w:rsid w:val="008C2547"/>
    <w:rsid w:val="00941D4E"/>
    <w:rsid w:val="00AA0CDD"/>
    <w:rsid w:val="00AE40CB"/>
    <w:rsid w:val="00BB69A9"/>
    <w:rsid w:val="00BF049B"/>
    <w:rsid w:val="00C820BE"/>
    <w:rsid w:val="00D66F74"/>
    <w:rsid w:val="00E01E15"/>
    <w:rsid w:val="00EB0582"/>
    <w:rsid w:val="00EE1DD7"/>
    <w:rsid w:val="00F17191"/>
    <w:rsid w:val="00F7742E"/>
    <w:rsid w:val="00F82B34"/>
    <w:rsid w:val="00FC4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B0582"/>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23</Pages>
  <Words>8780</Words>
  <Characters>48293</Characters>
  <Application>Microsoft Office Word</Application>
  <DocSecurity>4</DocSecurity>
  <Lines>402</Lines>
  <Paragraphs>113</Paragraphs>
  <ScaleCrop>false</ScaleCrop>
  <HeadingPairs>
    <vt:vector size="2" baseType="variant">
      <vt:variant>
        <vt:lpstr>Título</vt:lpstr>
      </vt:variant>
      <vt:variant>
        <vt:i4>1</vt:i4>
      </vt:variant>
    </vt:vector>
  </HeadingPairs>
  <TitlesOfParts>
    <vt:vector size="1" baseType="lpstr">
      <vt:lpstr>E/C.12/GC/19</vt:lpstr>
    </vt:vector>
  </TitlesOfParts>
  <Company>CSD</Company>
  <LinksUpToDate>false</LinksUpToDate>
  <CharactersWithSpaces>56960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E/C.12/GC/19</dc:title>
  <dc:subject>Final</dc:subject>
  <dc:creator>Carlos Bragunde</dc:creator>
  <cp:keywords/>
  <dc:description/>
  <cp:lastModifiedBy>Admieng</cp:lastModifiedBy>
  <cp:revision>2</cp:revision>
  <cp:lastPrinted>2008-02-22T11:21:00Z</cp:lastPrinted>
  <dcterms:created xsi:type="dcterms:W3CDTF">2008-02-22T11:50:00Z</dcterms:created>
  <dcterms:modified xsi:type="dcterms:W3CDTF">2008-02-22T11:50:00Z</dcterms:modified>
</cp:coreProperties>
</file>