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305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E/1990/5/Add.67</w:t>
              </w:r>
            </w:fldSimple>
            <w:r>
              <w:br/>
            </w:r>
            <w:fldSimple w:instr=" FILLIN &quot;Date&quot; \* MERGEFORMAT ">
              <w:r>
                <w:t>11 April 2005</w:t>
              </w:r>
            </w:fldSimple>
          </w:p>
          <w:p w:rsidR="00000000" w:rsidRDefault="00000000">
            <w:r>
              <w:t xml:space="preserve">Original:  </w:t>
            </w:r>
            <w:fldSimple w:instr=" FILLIN &quot;Orig. Lang.&quot; \* MERGEFORMAT ">
              <w:r>
                <w:t>ENGLISH</w:t>
              </w:r>
            </w:fldSimple>
          </w:p>
        </w:tc>
      </w:tr>
    </w:tbl>
    <w:p w:rsidR="00000000" w:rsidRDefault="00000000">
      <w:pPr>
        <w:spacing w:after="1200"/>
      </w:pPr>
      <w:r>
        <w:br/>
        <w:t>Substantive session of 2005</w:t>
      </w:r>
    </w:p>
    <w:p w:rsidR="00000000" w:rsidRDefault="00000000">
      <w:pPr>
        <w:pStyle w:val="Heading1"/>
      </w:pPr>
      <w:r>
        <w:t>IMPLEMENTATION OF THE INTERNATIONAL COVENANT on</w:t>
      </w:r>
      <w:r>
        <w:br/>
        <w:t>ECONOMIC, SOCIAL AND CULTURAL RIGHTS</w:t>
      </w:r>
    </w:p>
    <w:p w:rsidR="00000000" w:rsidRDefault="00000000">
      <w:pPr>
        <w:pStyle w:val="Heading2"/>
      </w:pPr>
      <w:r>
        <w:t xml:space="preserve">Initial reports submitted by States parties under </w:t>
      </w:r>
      <w:r>
        <w:br/>
        <w:t>articles 16 and 17 of the Covenant</w:t>
      </w:r>
    </w:p>
    <w:p w:rsidR="00000000" w:rsidRDefault="00000000">
      <w:pPr>
        <w:pStyle w:val="Heading2"/>
      </w:pPr>
      <w:r>
        <w:t>Addendum</w:t>
      </w:r>
    </w:p>
    <w:p w:rsidR="00000000" w:rsidRDefault="00000000">
      <w:pPr>
        <w:pStyle w:val="Heading1"/>
      </w:pPr>
      <w:r>
        <w:t>ALBANIA</w:t>
      </w:r>
      <w:r>
        <w:rPr>
          <w:rStyle w:val="FootnoteReference"/>
          <w:vertAlign w:val="baseline"/>
        </w:rPr>
        <w:footnoteReference w:customMarkFollows="1" w:id="2"/>
        <w:t>*</w:t>
      </w:r>
    </w:p>
    <w:p w:rsidR="00000000" w:rsidRDefault="00000000">
      <w:pPr>
        <w:jc w:val="right"/>
      </w:pPr>
      <w:r>
        <w:t>[5 January 2005]</w:t>
      </w:r>
    </w:p>
    <w:p w:rsidR="00000000" w:rsidRDefault="00000000">
      <w:pPr>
        <w:pStyle w:val="Heading1"/>
        <w:rPr>
          <w:bCs/>
          <w:caps w:val="0"/>
          <w:szCs w:val="24"/>
        </w:rPr>
      </w:pPr>
      <w:r>
        <w:rPr>
          <w:bCs/>
          <w:caps w:val="0"/>
          <w:szCs w:val="24"/>
        </w:rPr>
        <w:br w:type="page"/>
        <w:t>CONTENTS</w:t>
      </w:r>
    </w:p>
    <w:p w:rsidR="00000000" w:rsidRDefault="00000000">
      <w:pPr>
        <w:rPr>
          <w:bCs/>
          <w:szCs w:val="24"/>
        </w:rPr>
      </w:pP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i/>
          <w:szCs w:val="24"/>
        </w:rPr>
        <w:t>Paragraphs</w:t>
      </w:r>
      <w:r>
        <w:rPr>
          <w:bCs/>
          <w:szCs w:val="24"/>
        </w:rPr>
        <w:tab/>
      </w:r>
      <w:r>
        <w:rPr>
          <w:bCs/>
          <w:i/>
          <w:szCs w:val="24"/>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Introduction </w:t>
      </w:r>
      <w:r>
        <w:rPr>
          <w:bCs/>
          <w:szCs w:val="24"/>
        </w:rPr>
        <w:tab/>
      </w:r>
      <w:r>
        <w:rPr>
          <w:bCs/>
          <w:szCs w:val="24"/>
        </w:rPr>
        <w:tab/>
        <w:t xml:space="preserve">1 </w:t>
      </w:r>
      <w:r>
        <w:rPr>
          <w:bCs/>
          <w:szCs w:val="24"/>
        </w:rPr>
        <w:noBreakHyphen/>
        <w:t xml:space="preserve"> 3</w:t>
      </w:r>
      <w:r>
        <w:rPr>
          <w:bCs/>
          <w:szCs w:val="24"/>
        </w:rPr>
        <w:tab/>
        <w:t>3</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 </w:t>
      </w:r>
      <w:r>
        <w:rPr>
          <w:bCs/>
          <w:szCs w:val="24"/>
        </w:rPr>
        <w:tab/>
      </w:r>
      <w:r>
        <w:rPr>
          <w:bCs/>
          <w:szCs w:val="24"/>
        </w:rPr>
        <w:tab/>
        <w:t xml:space="preserve">4 </w:t>
      </w:r>
      <w:r>
        <w:rPr>
          <w:bCs/>
          <w:szCs w:val="24"/>
        </w:rPr>
        <w:noBreakHyphen/>
        <w:t xml:space="preserve"> 9</w:t>
      </w:r>
      <w:r>
        <w:rPr>
          <w:bCs/>
          <w:szCs w:val="24"/>
        </w:rPr>
        <w:tab/>
        <w:t>3</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2 </w:t>
      </w:r>
      <w:r>
        <w:rPr>
          <w:bCs/>
          <w:szCs w:val="24"/>
        </w:rPr>
        <w:tab/>
      </w:r>
      <w:r>
        <w:rPr>
          <w:bCs/>
          <w:szCs w:val="24"/>
        </w:rPr>
        <w:tab/>
        <w:t xml:space="preserve">10 </w:t>
      </w:r>
      <w:r>
        <w:rPr>
          <w:bCs/>
          <w:szCs w:val="24"/>
        </w:rPr>
        <w:noBreakHyphen/>
        <w:t xml:space="preserve"> 34</w:t>
      </w:r>
      <w:r>
        <w:rPr>
          <w:bCs/>
          <w:szCs w:val="24"/>
        </w:rPr>
        <w:tab/>
        <w:t>11</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3 </w:t>
      </w:r>
      <w:r>
        <w:rPr>
          <w:bCs/>
          <w:szCs w:val="24"/>
        </w:rPr>
        <w:tab/>
      </w:r>
      <w:r>
        <w:rPr>
          <w:bCs/>
          <w:szCs w:val="24"/>
        </w:rPr>
        <w:tab/>
        <w:t xml:space="preserve">35 </w:t>
      </w:r>
      <w:r>
        <w:rPr>
          <w:bCs/>
          <w:szCs w:val="24"/>
        </w:rPr>
        <w:noBreakHyphen/>
        <w:t xml:space="preserve"> 44</w:t>
      </w:r>
      <w:r>
        <w:rPr>
          <w:bCs/>
          <w:szCs w:val="24"/>
        </w:rPr>
        <w:tab/>
        <w:t>14</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6 </w:t>
      </w:r>
      <w:r>
        <w:rPr>
          <w:bCs/>
          <w:szCs w:val="24"/>
        </w:rPr>
        <w:tab/>
      </w:r>
      <w:r>
        <w:rPr>
          <w:bCs/>
          <w:szCs w:val="24"/>
        </w:rPr>
        <w:tab/>
        <w:t xml:space="preserve">45 </w:t>
      </w:r>
      <w:r>
        <w:rPr>
          <w:bCs/>
          <w:szCs w:val="24"/>
        </w:rPr>
        <w:noBreakHyphen/>
        <w:t xml:space="preserve"> 100</w:t>
      </w:r>
      <w:r>
        <w:rPr>
          <w:bCs/>
          <w:szCs w:val="24"/>
        </w:rPr>
        <w:tab/>
        <w:t>16</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7 </w:t>
      </w:r>
      <w:r>
        <w:rPr>
          <w:bCs/>
          <w:szCs w:val="24"/>
        </w:rPr>
        <w:tab/>
      </w:r>
      <w:r>
        <w:rPr>
          <w:bCs/>
          <w:szCs w:val="24"/>
        </w:rPr>
        <w:tab/>
        <w:t xml:space="preserve">101 </w:t>
      </w:r>
      <w:r>
        <w:rPr>
          <w:bCs/>
          <w:szCs w:val="24"/>
        </w:rPr>
        <w:noBreakHyphen/>
        <w:t xml:space="preserve"> 154</w:t>
      </w:r>
      <w:r>
        <w:rPr>
          <w:bCs/>
          <w:szCs w:val="24"/>
        </w:rPr>
        <w:tab/>
        <w:t>27</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8 </w:t>
      </w:r>
      <w:r>
        <w:rPr>
          <w:bCs/>
          <w:szCs w:val="24"/>
        </w:rPr>
        <w:tab/>
      </w:r>
      <w:r>
        <w:rPr>
          <w:bCs/>
          <w:szCs w:val="24"/>
        </w:rPr>
        <w:tab/>
        <w:t xml:space="preserve">155 </w:t>
      </w:r>
      <w:r>
        <w:rPr>
          <w:bCs/>
          <w:szCs w:val="24"/>
        </w:rPr>
        <w:noBreakHyphen/>
        <w:t xml:space="preserve"> 175</w:t>
      </w:r>
      <w:r>
        <w:rPr>
          <w:bCs/>
          <w:szCs w:val="24"/>
        </w:rPr>
        <w:tab/>
        <w:t>38</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9 </w:t>
      </w:r>
      <w:r>
        <w:rPr>
          <w:bCs/>
          <w:szCs w:val="24"/>
        </w:rPr>
        <w:tab/>
      </w:r>
      <w:r>
        <w:rPr>
          <w:bCs/>
          <w:szCs w:val="24"/>
        </w:rPr>
        <w:tab/>
        <w:t xml:space="preserve">176 </w:t>
      </w:r>
      <w:r>
        <w:rPr>
          <w:bCs/>
          <w:szCs w:val="24"/>
        </w:rPr>
        <w:noBreakHyphen/>
        <w:t xml:space="preserve"> 226</w:t>
      </w:r>
      <w:r>
        <w:rPr>
          <w:bCs/>
          <w:szCs w:val="24"/>
        </w:rPr>
        <w:tab/>
        <w:t>40</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10 </w:t>
      </w:r>
      <w:r>
        <w:rPr>
          <w:bCs/>
          <w:szCs w:val="24"/>
        </w:rPr>
        <w:tab/>
      </w:r>
      <w:r>
        <w:rPr>
          <w:bCs/>
          <w:szCs w:val="24"/>
        </w:rPr>
        <w:tab/>
        <w:t xml:space="preserve">227 </w:t>
      </w:r>
      <w:r>
        <w:rPr>
          <w:bCs/>
          <w:szCs w:val="24"/>
        </w:rPr>
        <w:noBreakHyphen/>
        <w:t xml:space="preserve"> 268</w:t>
      </w:r>
      <w:r>
        <w:rPr>
          <w:bCs/>
          <w:szCs w:val="24"/>
        </w:rPr>
        <w:tab/>
        <w:t>54</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11 </w:t>
      </w:r>
      <w:r>
        <w:rPr>
          <w:bCs/>
          <w:szCs w:val="24"/>
        </w:rPr>
        <w:tab/>
      </w:r>
      <w:r>
        <w:rPr>
          <w:bCs/>
          <w:szCs w:val="24"/>
        </w:rPr>
        <w:tab/>
        <w:t xml:space="preserve">269 </w:t>
      </w:r>
      <w:r>
        <w:rPr>
          <w:bCs/>
          <w:szCs w:val="24"/>
        </w:rPr>
        <w:noBreakHyphen/>
        <w:t xml:space="preserve"> 376</w:t>
      </w:r>
      <w:r>
        <w:rPr>
          <w:bCs/>
          <w:szCs w:val="24"/>
        </w:rPr>
        <w:tab/>
        <w:t>61</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12 </w:t>
      </w:r>
      <w:r>
        <w:rPr>
          <w:bCs/>
          <w:szCs w:val="24"/>
        </w:rPr>
        <w:tab/>
      </w:r>
      <w:r>
        <w:rPr>
          <w:bCs/>
          <w:szCs w:val="24"/>
        </w:rPr>
        <w:tab/>
        <w:t xml:space="preserve">377 </w:t>
      </w:r>
      <w:r>
        <w:rPr>
          <w:bCs/>
          <w:szCs w:val="24"/>
        </w:rPr>
        <w:noBreakHyphen/>
        <w:t xml:space="preserve"> 505</w:t>
      </w:r>
      <w:r>
        <w:rPr>
          <w:bCs/>
          <w:szCs w:val="24"/>
        </w:rPr>
        <w:tab/>
        <w:t>94</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13 </w:t>
      </w:r>
      <w:r>
        <w:rPr>
          <w:bCs/>
          <w:szCs w:val="24"/>
        </w:rPr>
        <w:tab/>
      </w:r>
      <w:r>
        <w:rPr>
          <w:bCs/>
          <w:szCs w:val="24"/>
        </w:rPr>
        <w:tab/>
        <w:t xml:space="preserve">506 </w:t>
      </w:r>
      <w:r>
        <w:rPr>
          <w:bCs/>
          <w:szCs w:val="24"/>
        </w:rPr>
        <w:noBreakHyphen/>
        <w:t xml:space="preserve"> 565</w:t>
      </w:r>
      <w:r>
        <w:rPr>
          <w:bCs/>
          <w:szCs w:val="24"/>
        </w:rPr>
        <w:tab/>
        <w:t>126</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14 </w:t>
      </w:r>
      <w:r>
        <w:rPr>
          <w:bCs/>
          <w:szCs w:val="24"/>
        </w:rPr>
        <w:tab/>
      </w:r>
      <w:r>
        <w:rPr>
          <w:bCs/>
          <w:szCs w:val="24"/>
        </w:rPr>
        <w:tab/>
      </w:r>
      <w:r>
        <w:rPr>
          <w:bCs/>
          <w:szCs w:val="24"/>
        </w:rPr>
        <w:tab/>
        <w:t>566</w:t>
      </w:r>
      <w:r>
        <w:rPr>
          <w:bCs/>
          <w:szCs w:val="24"/>
        </w:rPr>
        <w:tab/>
        <w:t>145</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rPr>
      </w:pPr>
      <w:r>
        <w:rPr>
          <w:bCs/>
          <w:szCs w:val="24"/>
        </w:rPr>
        <w:t xml:space="preserve">Article 15 </w:t>
      </w:r>
      <w:r>
        <w:rPr>
          <w:bCs/>
          <w:szCs w:val="24"/>
        </w:rPr>
        <w:tab/>
      </w:r>
      <w:r>
        <w:rPr>
          <w:bCs/>
          <w:szCs w:val="24"/>
        </w:rPr>
        <w:tab/>
        <w:t xml:space="preserve">567 </w:t>
      </w:r>
      <w:r>
        <w:rPr>
          <w:bCs/>
          <w:szCs w:val="24"/>
        </w:rPr>
        <w:noBreakHyphen/>
        <w:t xml:space="preserve"> 610</w:t>
      </w:r>
      <w:r>
        <w:rPr>
          <w:bCs/>
          <w:szCs w:val="24"/>
        </w:rPr>
        <w:tab/>
        <w:t>145</w:t>
      </w:r>
    </w:p>
    <w:p w:rsidR="00000000" w:rsidRDefault="00000000">
      <w:pPr>
        <w:pStyle w:val="Heading2"/>
      </w:pPr>
      <w:r>
        <w:br w:type="page"/>
        <w:t>Introduction</w:t>
      </w:r>
    </w:p>
    <w:p w:rsidR="00000000" w:rsidRDefault="00000000">
      <w:pPr>
        <w:pStyle w:val="ParaNo"/>
        <w:tabs>
          <w:tab w:val="clear" w:pos="360"/>
          <w:tab w:val="clear" w:pos="737"/>
        </w:tabs>
        <w:ind w:left="0" w:firstLine="0"/>
        <w:rPr>
          <w:lang w:val="en-GB"/>
        </w:rPr>
      </w:pPr>
      <w:r>
        <w:rPr>
          <w:lang w:val="en-GB"/>
        </w:rPr>
        <w:t>The Republic of Albania adhered to the International Covenant on Economic, Social and Cultural Rights with Law No. 7511 of 8 August 1991, proclaimed by the President of the Republic by Decree No. 18 of 13 August 1991.  The Covenant was ratified on 4 October 1991 and entered into force with respect to Albania pursuant to article 27, paragraph 2, of the Covenant on 4 January 1992.</w:t>
      </w:r>
    </w:p>
    <w:p w:rsidR="00000000" w:rsidRDefault="00000000">
      <w:pPr>
        <w:pStyle w:val="ParaNo"/>
        <w:tabs>
          <w:tab w:val="clear" w:pos="360"/>
          <w:tab w:val="clear" w:pos="737"/>
        </w:tabs>
        <w:ind w:left="0" w:firstLine="0"/>
        <w:rPr>
          <w:lang w:val="en-GB"/>
        </w:rPr>
      </w:pPr>
      <w:r>
        <w:rPr>
          <w:lang w:val="en-GB"/>
        </w:rPr>
        <w:t xml:space="preserve">This report has been compiled by the Ministry of Foreign Affairs on the basis of contributions from the relevant ministries and NGOs through its permanent group of </w:t>
      </w:r>
      <w:r>
        <w:rPr>
          <w:lang w:val="en-GB"/>
        </w:rPr>
        <w:br/>
        <w:t>experts.</w:t>
      </w:r>
    </w:p>
    <w:p w:rsidR="00000000" w:rsidRDefault="00000000">
      <w:pPr>
        <w:pStyle w:val="ParaNo"/>
        <w:tabs>
          <w:tab w:val="clear" w:pos="360"/>
          <w:tab w:val="clear" w:pos="737"/>
        </w:tabs>
        <w:ind w:left="0" w:firstLine="0"/>
        <w:rPr>
          <w:lang w:val="en-GB"/>
        </w:rPr>
      </w:pPr>
      <w:r>
        <w:rPr>
          <w:lang w:val="en-GB"/>
        </w:rPr>
        <w:t>With slight exceptions, the report contains information on legislation and practices relevant to the Covenant as of 31 December 2003.  The information about the later developments will be given in the next periodic report.</w:t>
      </w:r>
    </w:p>
    <w:p w:rsidR="00000000" w:rsidRDefault="00000000">
      <w:pPr>
        <w:pStyle w:val="Heading2"/>
      </w:pPr>
      <w:r>
        <w:t>Article 1</w:t>
      </w:r>
    </w:p>
    <w:p w:rsidR="00000000" w:rsidRDefault="00000000">
      <w:pPr>
        <w:pStyle w:val="Heading2"/>
      </w:pPr>
      <w:r>
        <w:t>Right to self</w:t>
      </w:r>
      <w:r>
        <w:noBreakHyphen/>
        <w:t>determination</w:t>
      </w:r>
    </w:p>
    <w:p w:rsidR="00000000" w:rsidRDefault="00000000">
      <w:pPr>
        <w:pStyle w:val="ParaNo"/>
        <w:tabs>
          <w:tab w:val="clear" w:pos="360"/>
          <w:tab w:val="clear" w:pos="737"/>
        </w:tabs>
        <w:ind w:left="0" w:firstLine="0"/>
        <w:rPr>
          <w:lang w:val="en-GB"/>
        </w:rPr>
      </w:pPr>
      <w:r>
        <w:rPr>
          <w:lang w:val="en-GB"/>
        </w:rPr>
        <w:t>The right to self</w:t>
      </w:r>
      <w:r>
        <w:rPr>
          <w:lang w:val="en-GB"/>
        </w:rPr>
        <w:noBreakHyphen/>
        <w:t>determination has been fully implemented in the Republic of Albania.  Albania is an independent State and a parliamentary republic.  It is a united and undivided State and g</w:t>
      </w:r>
      <w:r>
        <w:rPr>
          <w:szCs w:val="26"/>
          <w:lang w:val="en-GB"/>
        </w:rPr>
        <w:t xml:space="preserve">overnance is based on a system of elections that are free, equal, general and periodic.  </w:t>
      </w:r>
      <w:r>
        <w:rPr>
          <w:lang w:val="en-GB"/>
        </w:rPr>
        <w:t>The independence of the State and the integrity of its territory, dignity of the individual, human rights and freedoms, social justice, constitutional order, pluralism, national identity and inheritance, religious coexistence, as well as coexistence with, and understanding of, minorities are the bases of the State, which has the duty of respecting and protecting them.</w:t>
      </w:r>
    </w:p>
    <w:p w:rsidR="00000000" w:rsidRDefault="00000000">
      <w:pPr>
        <w:pStyle w:val="ParaNo"/>
        <w:tabs>
          <w:tab w:val="clear" w:pos="360"/>
          <w:tab w:val="clear" w:pos="737"/>
        </w:tabs>
        <w:ind w:left="0" w:firstLine="0"/>
        <w:rPr>
          <w:szCs w:val="26"/>
          <w:lang w:val="en-GB"/>
        </w:rPr>
      </w:pPr>
      <w:r>
        <w:rPr>
          <w:lang w:val="en-GB"/>
        </w:rPr>
        <w:t xml:space="preserve">These principles have been embodied in the provisions of the </w:t>
      </w:r>
      <w:r>
        <w:rPr>
          <w:szCs w:val="26"/>
          <w:lang w:val="en-GB"/>
        </w:rPr>
        <w:t xml:space="preserve">new Constitution </w:t>
      </w:r>
      <w:r>
        <w:rPr>
          <w:szCs w:val="26"/>
          <w:lang w:val="en-GB"/>
        </w:rPr>
        <w:br/>
        <w:t xml:space="preserve">that was approved by the Parliament (Kuvendi) on 21 October 1998, after people’s </w:t>
      </w:r>
      <w:r>
        <w:rPr>
          <w:szCs w:val="26"/>
          <w:lang w:val="en-GB"/>
        </w:rPr>
        <w:br/>
        <w:t xml:space="preserve">referenda. </w:t>
      </w:r>
      <w:r>
        <w:rPr>
          <w:lang w:val="en-GB"/>
        </w:rPr>
        <w:t xml:space="preserve"> </w:t>
      </w:r>
    </w:p>
    <w:p w:rsidR="00000000" w:rsidRDefault="00000000">
      <w:pPr>
        <w:pStyle w:val="ParaNo"/>
        <w:tabs>
          <w:tab w:val="clear" w:pos="360"/>
          <w:tab w:val="clear" w:pos="737"/>
        </w:tabs>
        <w:ind w:left="0" w:firstLine="0"/>
        <w:rPr>
          <w:lang w:val="en-GB"/>
        </w:rPr>
      </w:pPr>
      <w:r>
        <w:rPr>
          <w:lang w:val="en-GB"/>
        </w:rPr>
        <w:t>The Republic of Albania submitted the initial report on the implementation of the International Covenant on Civil and Political Rights (CCPR/C/ALB/2004/1) in February 2004; for further details on the right to self</w:t>
      </w:r>
      <w:r>
        <w:rPr>
          <w:lang w:val="en-GB"/>
        </w:rPr>
        <w:noBreakHyphen/>
        <w:t>determination provided by this article of the Covenant, reference is made to this report</w:t>
      </w:r>
      <w:r>
        <w:rPr>
          <w:szCs w:val="24"/>
          <w:lang w:val="en-GB"/>
        </w:rPr>
        <w:t>.</w:t>
      </w:r>
    </w:p>
    <w:p w:rsidR="00000000" w:rsidRDefault="00000000">
      <w:pPr>
        <w:pStyle w:val="Heading3"/>
        <w:rPr>
          <w:b w:val="0"/>
        </w:rPr>
      </w:pPr>
      <w:r>
        <w:t>Disposal of natural resources</w:t>
      </w:r>
    </w:p>
    <w:p w:rsidR="00000000" w:rsidRDefault="00000000">
      <w:pPr>
        <w:pStyle w:val="ParaNo"/>
        <w:tabs>
          <w:tab w:val="clear" w:pos="360"/>
          <w:tab w:val="clear" w:pos="737"/>
        </w:tabs>
        <w:rPr>
          <w:lang w:val="en-GB"/>
        </w:rPr>
      </w:pPr>
      <w:r>
        <w:rPr>
          <w:lang w:val="en-GB"/>
        </w:rPr>
        <w:t>Article 59 of the Constitution, under social objectives, defines that the State, within its constitutional powers and the means at its disposal, aims to supplement private initiative and responsibility with a healthy and ecologically adequate environment for the present and future generations and rational exploitation of forests, waters, pastures and other natural resources on the basis of the principle of sustainable development.</w:t>
      </w:r>
    </w:p>
    <w:p w:rsidR="00000000" w:rsidRDefault="00000000">
      <w:pPr>
        <w:pStyle w:val="ParaNo"/>
        <w:tabs>
          <w:tab w:val="clear" w:pos="360"/>
          <w:tab w:val="clear" w:pos="737"/>
        </w:tabs>
        <w:rPr>
          <w:lang w:val="en-GB"/>
        </w:rPr>
      </w:pPr>
      <w:r>
        <w:rPr>
          <w:lang w:val="en-GB"/>
        </w:rPr>
        <w:br w:type="page"/>
        <w:t xml:space="preserve">With the view to implementing the principles enshrined in the Constitution, a number of legal acts have been adopted to protect nature and natural resources.  Also, several national projects, some of them supported by foreign donors, have been prepared and implemented in the area of protection of nature and its resources. </w:t>
      </w:r>
    </w:p>
    <w:p w:rsidR="00000000" w:rsidRDefault="00000000">
      <w:pPr>
        <w:pStyle w:val="ParaNo"/>
        <w:tabs>
          <w:tab w:val="clear" w:pos="360"/>
          <w:tab w:val="clear" w:pos="737"/>
        </w:tabs>
        <w:rPr>
          <w:szCs w:val="26"/>
          <w:lang w:val="en-GB"/>
        </w:rPr>
      </w:pPr>
      <w:r>
        <w:rPr>
          <w:szCs w:val="26"/>
          <w:lang w:val="en-GB"/>
        </w:rPr>
        <w:t>The legal framework in the field of the environment, despite being newly adopted, mainly in the last two years, presents a full panorama of normative acts, legal or sub</w:t>
      </w:r>
      <w:r>
        <w:rPr>
          <w:szCs w:val="26"/>
          <w:lang w:val="en-GB"/>
        </w:rPr>
        <w:noBreakHyphen/>
        <w:t>legal.  However, the process of elaboration, improvement and fulfilment of the above</w:t>
      </w:r>
      <w:r>
        <w:rPr>
          <w:szCs w:val="26"/>
          <w:lang w:val="en-GB"/>
        </w:rPr>
        <w:noBreakHyphen/>
        <w:t xml:space="preserve">mentioned legal framework is ongoing.  The legal framework in the area of environment is the </w:t>
      </w:r>
      <w:r>
        <w:rPr>
          <w:szCs w:val="26"/>
          <w:lang w:val="en-GB"/>
        </w:rPr>
        <w:br/>
        <w:t>following:</w:t>
      </w:r>
    </w:p>
    <w:p w:rsidR="00000000" w:rsidRDefault="00000000">
      <w:pPr>
        <w:pStyle w:val="Heading4"/>
      </w:pPr>
      <w:r>
        <w:t>Legal acts in force</w:t>
      </w:r>
    </w:p>
    <w:p w:rsidR="00000000" w:rsidRDefault="00000000">
      <w:pPr>
        <w:rPr>
          <w:szCs w:val="26"/>
        </w:rPr>
      </w:pPr>
      <w:r>
        <w:rPr>
          <w:szCs w:val="26"/>
        </w:rPr>
        <w:tab/>
        <w:t>(a)</w:t>
      </w:r>
      <w:r>
        <w:rPr>
          <w:szCs w:val="26"/>
        </w:rPr>
        <w:tab/>
        <w:t>Law No. 8934 (dated 5 September 2002), “On environmental protection”, which constitutes the framework law for environmental protection;</w:t>
      </w:r>
    </w:p>
    <w:p w:rsidR="00000000" w:rsidRDefault="00000000">
      <w:pPr>
        <w:rPr>
          <w:szCs w:val="26"/>
        </w:rPr>
      </w:pPr>
      <w:r>
        <w:rPr>
          <w:szCs w:val="26"/>
        </w:rPr>
        <w:tab/>
        <w:t>(b)</w:t>
      </w:r>
      <w:r>
        <w:rPr>
          <w:szCs w:val="26"/>
        </w:rPr>
        <w:tab/>
        <w:t>Law No. 8897 (dated 16 May 2002), “On protection of air from pollution”, aims to guarantee the right of citizens to live in uncontaminated air, through protecting human health, fauna, flora and the natural and cultural values of the Albanian environment from air pollution.  This should be realized through the identification of sources and pollution classification, indicators of air quality, the limitation of air emissions, general obligations and the responsibilities for operators regarding air protection, supplying environmental certificates as regards activities which pollute the air as well as with the necessary administrative and penal measures;</w:t>
      </w:r>
    </w:p>
    <w:p w:rsidR="00000000" w:rsidRDefault="00000000">
      <w:pPr>
        <w:rPr>
          <w:szCs w:val="26"/>
        </w:rPr>
      </w:pPr>
      <w:r>
        <w:rPr>
          <w:szCs w:val="26"/>
        </w:rPr>
        <w:tab/>
        <w:t>(c)</w:t>
      </w:r>
      <w:r>
        <w:rPr>
          <w:szCs w:val="26"/>
        </w:rPr>
        <w:tab/>
        <w:t>Law No. 8905 (dated 6 June 2002), “On the protection of the marine environment protection from pollution and damage”, which aims to protect the maritime environment of the Republic of Albania from pollution and damage created by human activities in the coastal areas which affect water quality, maritime resources, fauna and flora, and human health, as well as to make difficult the normal development of the activities in this area.</w:t>
      </w:r>
    </w:p>
    <w:p w:rsidR="00000000" w:rsidRDefault="00000000">
      <w:pPr>
        <w:rPr>
          <w:szCs w:val="26"/>
        </w:rPr>
      </w:pPr>
      <w:r>
        <w:rPr>
          <w:szCs w:val="26"/>
        </w:rPr>
        <w:tab/>
        <w:t>(d)</w:t>
      </w:r>
      <w:r>
        <w:rPr>
          <w:szCs w:val="26"/>
        </w:rPr>
        <w:tab/>
        <w:t>Law No. 8906 (dated 6 June 2002), “On protected areas”, aiming at the preservation, administration, management and sustainable utilization of protected areas and their natural and biological resources, improvement of conditions as regards the development of environmental tourism, information and public education for the profit, directly or indirectly, of the local population and of the private and public sector;</w:t>
      </w:r>
    </w:p>
    <w:p w:rsidR="00000000" w:rsidRDefault="00000000">
      <w:pPr>
        <w:rPr>
          <w:szCs w:val="26"/>
        </w:rPr>
      </w:pPr>
      <w:r>
        <w:rPr>
          <w:szCs w:val="26"/>
        </w:rPr>
        <w:tab/>
        <w:t>(e)</w:t>
      </w:r>
      <w:r>
        <w:rPr>
          <w:szCs w:val="26"/>
        </w:rPr>
        <w:tab/>
        <w:t>Law No. 8990 (dated 23 January 2003), “On the environmental impact assessment”, the scope of which is to ensure:  The general assessment, integrated and in due time of environmental impact, of projects or activities need to be implemented, through prevention and relieving negative impacts on environment; and an open and impartial assessment process, through the participation of environmental non</w:t>
      </w:r>
      <w:r>
        <w:rPr>
          <w:szCs w:val="26"/>
        </w:rPr>
        <w:noBreakHyphen/>
        <w:t>governmental organizations, of the project leader as well as of the legal and natural persons being specialized in this field;</w:t>
      </w:r>
    </w:p>
    <w:p w:rsidR="00000000" w:rsidRDefault="00000000">
      <w:pPr>
        <w:rPr>
          <w:szCs w:val="26"/>
        </w:rPr>
      </w:pPr>
      <w:r>
        <w:rPr>
          <w:szCs w:val="26"/>
        </w:rPr>
        <w:br w:type="page"/>
      </w:r>
      <w:r>
        <w:rPr>
          <w:szCs w:val="26"/>
        </w:rPr>
        <w:tab/>
        <w:t>(f)</w:t>
      </w:r>
      <w:r>
        <w:rPr>
          <w:szCs w:val="26"/>
        </w:rPr>
        <w:tab/>
        <w:t>Law No. 8977 (dated 12 December 2002), “On the tax system in the Republic of Albania”, in which, for the first time, national taxes have included the following:  A carbon tax for gas, benzene, and gasoline, and a tax for plastic packing of liquids (barrels, plastic bottles and plastic boxes of different measures), filled, produced in Albania and being imported for the following products:  water, refreshing drink, fruit and vegetable juice, milk and its derivates, edible and lubricant oils and detergents;</w:t>
      </w:r>
    </w:p>
    <w:p w:rsidR="00000000" w:rsidRDefault="00000000">
      <w:pPr>
        <w:rPr>
          <w:szCs w:val="26"/>
        </w:rPr>
      </w:pPr>
      <w:r>
        <w:rPr>
          <w:szCs w:val="26"/>
        </w:rPr>
        <w:tab/>
        <w:t>(g)</w:t>
      </w:r>
      <w:r>
        <w:rPr>
          <w:szCs w:val="26"/>
        </w:rPr>
        <w:tab/>
        <w:t>Law No. 9010 (dated 13 February 2003), “On environmental management of solid waste”.</w:t>
      </w:r>
    </w:p>
    <w:p w:rsidR="00000000" w:rsidRDefault="00000000">
      <w:pPr>
        <w:pStyle w:val="Heading4"/>
      </w:pPr>
      <w:r>
        <w:t>By</w:t>
      </w:r>
      <w:r>
        <w:noBreakHyphen/>
        <w:t xml:space="preserve">laws </w:t>
      </w:r>
      <w:r>
        <w:noBreakHyphen/>
        <w:t xml:space="preserve"> decisions of the Council of Ministers</w:t>
      </w:r>
    </w:p>
    <w:p w:rsidR="00000000" w:rsidRDefault="00000000">
      <w:pPr>
        <w:rPr>
          <w:szCs w:val="26"/>
        </w:rPr>
      </w:pPr>
      <w:r>
        <w:rPr>
          <w:szCs w:val="26"/>
        </w:rPr>
        <w:tab/>
        <w:t>(a)</w:t>
      </w:r>
      <w:r>
        <w:rPr>
          <w:szCs w:val="26"/>
        </w:rPr>
        <w:tab/>
        <w:t>Decision of the Council of Ministers No. 103 (dated 31 March 2002) “On environmental monitoring in the Republic of Albania”;</w:t>
      </w:r>
    </w:p>
    <w:p w:rsidR="00000000" w:rsidRDefault="00000000">
      <w:pPr>
        <w:rPr>
          <w:szCs w:val="26"/>
        </w:rPr>
      </w:pPr>
      <w:r>
        <w:rPr>
          <w:szCs w:val="26"/>
        </w:rPr>
        <w:tab/>
        <w:t>(b)</w:t>
      </w:r>
      <w:r>
        <w:rPr>
          <w:szCs w:val="26"/>
        </w:rPr>
        <w:tab/>
        <w:t>Decision of the Council of Ministers  “On environmental report 1999</w:t>
      </w:r>
      <w:r>
        <w:rPr>
          <w:szCs w:val="26"/>
        </w:rPr>
        <w:noBreakHyphen/>
        <w:t>2000”;</w:t>
      </w:r>
    </w:p>
    <w:p w:rsidR="00000000" w:rsidRDefault="00000000">
      <w:pPr>
        <w:rPr>
          <w:szCs w:val="26"/>
        </w:rPr>
      </w:pPr>
      <w:r>
        <w:rPr>
          <w:szCs w:val="26"/>
        </w:rPr>
        <w:tab/>
        <w:t>(c)</w:t>
      </w:r>
      <w:r>
        <w:rPr>
          <w:szCs w:val="26"/>
        </w:rPr>
        <w:tab/>
        <w:t>Decision of the Council of Ministers “On approval of the environmental national action plan”;</w:t>
      </w:r>
    </w:p>
    <w:p w:rsidR="00000000" w:rsidRDefault="00000000">
      <w:pPr>
        <w:rPr>
          <w:szCs w:val="26"/>
        </w:rPr>
      </w:pPr>
      <w:r>
        <w:rPr>
          <w:szCs w:val="26"/>
        </w:rPr>
        <w:tab/>
        <w:t>(d)</w:t>
      </w:r>
      <w:r>
        <w:rPr>
          <w:szCs w:val="26"/>
        </w:rPr>
        <w:tab/>
        <w:t>Decision of the Council of Ministers “On air emission norms”;</w:t>
      </w:r>
    </w:p>
    <w:p w:rsidR="00000000" w:rsidRDefault="00000000">
      <w:pPr>
        <w:rPr>
          <w:szCs w:val="26"/>
        </w:rPr>
      </w:pPr>
      <w:r>
        <w:rPr>
          <w:szCs w:val="26"/>
        </w:rPr>
        <w:tab/>
        <w:t>(e)</w:t>
      </w:r>
      <w:r>
        <w:rPr>
          <w:szCs w:val="26"/>
        </w:rPr>
        <w:tab/>
        <w:t>Decision of the Council of Ministers No. 676 (dated 20 December 2002) “On the declaration of the Albanian monuments of nature”;</w:t>
      </w:r>
    </w:p>
    <w:p w:rsidR="00000000" w:rsidRDefault="00000000">
      <w:pPr>
        <w:rPr>
          <w:szCs w:val="26"/>
        </w:rPr>
      </w:pPr>
      <w:r>
        <w:rPr>
          <w:szCs w:val="26"/>
        </w:rPr>
        <w:tab/>
        <w:t>(f)</w:t>
      </w:r>
      <w:r>
        <w:rPr>
          <w:szCs w:val="26"/>
        </w:rPr>
        <w:tab/>
        <w:t>Decision of the Council of Ministers No. 531 (dated 31 October 2002) “On the declaration of Butrint as a Ramsar area”;</w:t>
      </w:r>
    </w:p>
    <w:p w:rsidR="00000000" w:rsidRDefault="00000000">
      <w:pPr>
        <w:rPr>
          <w:szCs w:val="26"/>
        </w:rPr>
      </w:pPr>
      <w:r>
        <w:rPr>
          <w:szCs w:val="26"/>
        </w:rPr>
        <w:tab/>
        <w:t>(g)</w:t>
      </w:r>
      <w:r>
        <w:rPr>
          <w:szCs w:val="26"/>
        </w:rPr>
        <w:tab/>
        <w:t>Decision of the Council of Ministers No. 364 (18 July 2002) “On approval of the coastal zone administration plan”;</w:t>
      </w:r>
    </w:p>
    <w:p w:rsidR="00000000" w:rsidRDefault="00000000">
      <w:pPr>
        <w:rPr>
          <w:szCs w:val="26"/>
        </w:rPr>
      </w:pPr>
      <w:r>
        <w:rPr>
          <w:szCs w:val="26"/>
        </w:rPr>
        <w:tab/>
        <w:t>(h)</w:t>
      </w:r>
      <w:r>
        <w:rPr>
          <w:szCs w:val="26"/>
        </w:rPr>
        <w:tab/>
        <w:t>Decision of the Council of Ministers “On establishment of the environment Institute”;</w:t>
      </w:r>
    </w:p>
    <w:p w:rsidR="00000000" w:rsidRDefault="00000000">
      <w:pPr>
        <w:rPr>
          <w:szCs w:val="26"/>
        </w:rPr>
      </w:pPr>
      <w:r>
        <w:rPr>
          <w:szCs w:val="26"/>
        </w:rPr>
        <w:tab/>
        <w:t>(i)</w:t>
      </w:r>
      <w:r>
        <w:rPr>
          <w:szCs w:val="26"/>
        </w:rPr>
        <w:tab/>
        <w:t>Decision of the Council of Ministers No. 266 (dated 24 April 2003) “On administrations of protected areas”;</w:t>
      </w:r>
    </w:p>
    <w:p w:rsidR="00000000" w:rsidRDefault="00000000">
      <w:pPr>
        <w:rPr>
          <w:szCs w:val="26"/>
        </w:rPr>
      </w:pPr>
      <w:r>
        <w:rPr>
          <w:szCs w:val="26"/>
        </w:rPr>
        <w:tab/>
        <w:t>(j)</w:t>
      </w:r>
      <w:r>
        <w:rPr>
          <w:szCs w:val="26"/>
        </w:rPr>
        <w:tab/>
        <w:t>Decision of the Council of Ministers No. 267 (dated 24 April 2003) “On rules of protected and buffer zones”;</w:t>
      </w:r>
    </w:p>
    <w:p w:rsidR="00000000" w:rsidRDefault="00000000">
      <w:pPr>
        <w:rPr>
          <w:szCs w:val="26"/>
        </w:rPr>
      </w:pPr>
      <w:r>
        <w:rPr>
          <w:szCs w:val="26"/>
        </w:rPr>
        <w:tab/>
        <w:t>(k)</w:t>
      </w:r>
      <w:r>
        <w:rPr>
          <w:szCs w:val="26"/>
        </w:rPr>
        <w:tab/>
        <w:t xml:space="preserve">Decision of the Council of Ministers No. 268 (dated 24 April 2003) “On specialists certification for the environmental impact assessment and environmental audit”; </w:t>
      </w:r>
    </w:p>
    <w:p w:rsidR="00000000" w:rsidRDefault="00000000">
      <w:pPr>
        <w:rPr>
          <w:szCs w:val="26"/>
        </w:rPr>
      </w:pPr>
      <w:r>
        <w:rPr>
          <w:szCs w:val="26"/>
        </w:rPr>
        <w:tab/>
        <w:t>(l)</w:t>
      </w:r>
      <w:r>
        <w:rPr>
          <w:szCs w:val="26"/>
        </w:rPr>
        <w:tab/>
        <w:t>Decision of the Council of Ministers “On environmental license documentations and its elements”;</w:t>
      </w:r>
    </w:p>
    <w:p w:rsidR="00000000" w:rsidRDefault="00000000">
      <w:pPr>
        <w:rPr>
          <w:szCs w:val="26"/>
        </w:rPr>
      </w:pPr>
      <w:r>
        <w:rPr>
          <w:szCs w:val="26"/>
        </w:rPr>
        <w:tab/>
        <w:t>(m)</w:t>
      </w:r>
      <w:r>
        <w:rPr>
          <w:szCs w:val="26"/>
        </w:rPr>
        <w:tab/>
        <w:t>Decision of the Council of Ministers “On temporary norms of air emission”.</w:t>
      </w:r>
    </w:p>
    <w:p w:rsidR="00000000" w:rsidRDefault="00000000">
      <w:pPr>
        <w:pStyle w:val="Heading2"/>
      </w:pPr>
      <w:r>
        <w:br w:type="page"/>
        <w:t>Table 1</w:t>
      </w:r>
    </w:p>
    <w:p w:rsidR="00000000" w:rsidRDefault="00000000">
      <w:pPr>
        <w:pStyle w:val="Heading2"/>
      </w:pPr>
      <w:r>
        <w:t xml:space="preserve">Database of projects entirely or partly financed by foreign donors </w:t>
      </w:r>
      <w:r>
        <w:br/>
        <w:t xml:space="preserve">for the protection of natural wealth and resources </w:t>
      </w:r>
    </w:p>
    <w:tbl>
      <w:tblPr>
        <w:tblW w:w="9370"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594"/>
        <w:gridCol w:w="2084"/>
        <w:gridCol w:w="1389"/>
        <w:gridCol w:w="1886"/>
        <w:gridCol w:w="1047"/>
        <w:gridCol w:w="2370"/>
      </w:tblGrid>
      <w:tr w:rsidR="00000000">
        <w:tblPrEx>
          <w:tblCellMar>
            <w:top w:w="0" w:type="dxa"/>
            <w:bottom w:w="0" w:type="dxa"/>
          </w:tblCellMar>
        </w:tblPrEx>
        <w:trPr>
          <w:cantSplit/>
        </w:trPr>
        <w:tc>
          <w:tcPr>
            <w:tcW w:w="594" w:type="dxa"/>
            <w:tcBorders>
              <w:top w:val="single" w:sz="6" w:space="0" w:color="auto"/>
              <w:bottom w:val="single" w:sz="6" w:space="0" w:color="auto"/>
            </w:tcBorders>
          </w:tcPr>
          <w:p w:rsidR="00000000" w:rsidRDefault="00000000">
            <w:pPr>
              <w:spacing w:after="120"/>
              <w:ind w:right="57"/>
              <w:jc w:val="right"/>
              <w:rPr>
                <w:bCs/>
                <w:sz w:val="20"/>
              </w:rPr>
            </w:pPr>
            <w:r>
              <w:rPr>
                <w:bCs/>
                <w:sz w:val="20"/>
              </w:rPr>
              <w:t>No.</w:t>
            </w:r>
          </w:p>
        </w:tc>
        <w:tc>
          <w:tcPr>
            <w:tcW w:w="2084" w:type="dxa"/>
            <w:tcBorders>
              <w:top w:val="single" w:sz="6" w:space="0" w:color="auto"/>
              <w:bottom w:val="single" w:sz="6" w:space="0" w:color="auto"/>
            </w:tcBorders>
          </w:tcPr>
          <w:p w:rsidR="00000000" w:rsidRDefault="00000000">
            <w:pPr>
              <w:spacing w:after="120"/>
              <w:jc w:val="center"/>
              <w:rPr>
                <w:bCs/>
                <w:sz w:val="20"/>
              </w:rPr>
            </w:pPr>
            <w:r>
              <w:rPr>
                <w:bCs/>
                <w:sz w:val="20"/>
              </w:rPr>
              <w:t>Project</w:t>
            </w:r>
          </w:p>
        </w:tc>
        <w:tc>
          <w:tcPr>
            <w:tcW w:w="1389" w:type="dxa"/>
            <w:tcBorders>
              <w:top w:val="single" w:sz="6" w:space="0" w:color="auto"/>
              <w:bottom w:val="single" w:sz="6" w:space="0" w:color="auto"/>
            </w:tcBorders>
          </w:tcPr>
          <w:p w:rsidR="00000000" w:rsidRDefault="00000000">
            <w:pPr>
              <w:spacing w:after="120"/>
              <w:rPr>
                <w:bCs/>
                <w:sz w:val="20"/>
              </w:rPr>
            </w:pPr>
            <w:r>
              <w:rPr>
                <w:bCs/>
                <w:sz w:val="20"/>
              </w:rPr>
              <w:t xml:space="preserve">   Financial </w:t>
            </w:r>
            <w:r>
              <w:rPr>
                <w:bCs/>
                <w:sz w:val="20"/>
              </w:rPr>
              <w:br/>
              <w:t xml:space="preserve">   institution</w:t>
            </w:r>
          </w:p>
        </w:tc>
        <w:tc>
          <w:tcPr>
            <w:tcW w:w="1886" w:type="dxa"/>
            <w:tcBorders>
              <w:top w:val="single" w:sz="6" w:space="0" w:color="auto"/>
              <w:bottom w:val="single" w:sz="6" w:space="0" w:color="auto"/>
            </w:tcBorders>
          </w:tcPr>
          <w:p w:rsidR="00000000" w:rsidRDefault="00000000">
            <w:pPr>
              <w:spacing w:after="120"/>
              <w:jc w:val="center"/>
              <w:rPr>
                <w:bCs/>
                <w:sz w:val="20"/>
              </w:rPr>
            </w:pPr>
            <w:r>
              <w:rPr>
                <w:bCs/>
                <w:sz w:val="20"/>
              </w:rPr>
              <w:t>Project state/</w:t>
            </w:r>
            <w:r>
              <w:rPr>
                <w:bCs/>
                <w:sz w:val="20"/>
              </w:rPr>
              <w:br/>
              <w:t>duration</w:t>
            </w:r>
          </w:p>
        </w:tc>
        <w:tc>
          <w:tcPr>
            <w:tcW w:w="1047" w:type="dxa"/>
            <w:tcBorders>
              <w:top w:val="single" w:sz="6" w:space="0" w:color="auto"/>
              <w:bottom w:val="single" w:sz="6" w:space="0" w:color="auto"/>
            </w:tcBorders>
          </w:tcPr>
          <w:p w:rsidR="00000000" w:rsidRDefault="00000000">
            <w:pPr>
              <w:spacing w:after="120"/>
              <w:jc w:val="center"/>
              <w:rPr>
                <w:bCs/>
                <w:sz w:val="20"/>
              </w:rPr>
            </w:pPr>
            <w:r>
              <w:rPr>
                <w:bCs/>
                <w:sz w:val="20"/>
              </w:rPr>
              <w:t>Budget</w:t>
            </w:r>
          </w:p>
        </w:tc>
        <w:tc>
          <w:tcPr>
            <w:tcW w:w="2370" w:type="dxa"/>
            <w:tcBorders>
              <w:top w:val="single" w:sz="6" w:space="0" w:color="auto"/>
              <w:bottom w:val="single" w:sz="6" w:space="0" w:color="auto"/>
            </w:tcBorders>
          </w:tcPr>
          <w:p w:rsidR="00000000" w:rsidRDefault="00000000">
            <w:pPr>
              <w:spacing w:after="120"/>
              <w:jc w:val="center"/>
              <w:rPr>
                <w:bCs/>
                <w:sz w:val="20"/>
              </w:rPr>
            </w:pPr>
            <w:r>
              <w:rPr>
                <w:bCs/>
                <w:sz w:val="20"/>
              </w:rPr>
              <w:t>Objective</w:t>
            </w:r>
          </w:p>
        </w:tc>
      </w:tr>
      <w:tr w:rsidR="00000000">
        <w:tblPrEx>
          <w:tblCellMar>
            <w:top w:w="0" w:type="dxa"/>
            <w:bottom w:w="0" w:type="dxa"/>
          </w:tblCellMar>
        </w:tblPrEx>
        <w:trPr>
          <w:cantSplit/>
        </w:trPr>
        <w:tc>
          <w:tcPr>
            <w:tcW w:w="594" w:type="dxa"/>
            <w:tcBorders>
              <w:top w:val="single" w:sz="6" w:space="0" w:color="auto"/>
            </w:tcBorders>
          </w:tcPr>
          <w:p w:rsidR="00000000" w:rsidRDefault="00000000">
            <w:pPr>
              <w:spacing w:after="120"/>
              <w:ind w:right="57"/>
              <w:jc w:val="right"/>
              <w:rPr>
                <w:bCs/>
                <w:sz w:val="20"/>
              </w:rPr>
            </w:pPr>
            <w:r>
              <w:rPr>
                <w:bCs/>
                <w:sz w:val="20"/>
              </w:rPr>
              <w:t>1.</w:t>
            </w:r>
          </w:p>
        </w:tc>
        <w:tc>
          <w:tcPr>
            <w:tcW w:w="2084" w:type="dxa"/>
            <w:tcBorders>
              <w:top w:val="single" w:sz="6" w:space="0" w:color="auto"/>
            </w:tcBorders>
          </w:tcPr>
          <w:p w:rsidR="00000000" w:rsidRDefault="00000000">
            <w:pPr>
              <w:spacing w:after="120"/>
              <w:rPr>
                <w:bCs/>
                <w:sz w:val="20"/>
              </w:rPr>
            </w:pPr>
            <w:r>
              <w:rPr>
                <w:bCs/>
                <w:sz w:val="20"/>
              </w:rPr>
              <w:t>National Water Strategy.</w:t>
            </w:r>
          </w:p>
        </w:tc>
        <w:tc>
          <w:tcPr>
            <w:tcW w:w="1389" w:type="dxa"/>
            <w:tcBorders>
              <w:top w:val="single" w:sz="6" w:space="0" w:color="auto"/>
            </w:tcBorders>
          </w:tcPr>
          <w:p w:rsidR="00000000" w:rsidRDefault="00000000">
            <w:pPr>
              <w:spacing w:after="120"/>
              <w:rPr>
                <w:bCs/>
                <w:sz w:val="20"/>
              </w:rPr>
            </w:pPr>
            <w:r>
              <w:rPr>
                <w:bCs/>
                <w:sz w:val="20"/>
              </w:rPr>
              <w:t>EU Phare Programme AL9306</w:t>
            </w:r>
          </w:p>
        </w:tc>
        <w:tc>
          <w:tcPr>
            <w:tcW w:w="1886" w:type="dxa"/>
            <w:tcBorders>
              <w:top w:val="single" w:sz="6" w:space="0" w:color="auto"/>
            </w:tcBorders>
          </w:tcPr>
          <w:p w:rsidR="00000000" w:rsidRDefault="00000000">
            <w:pPr>
              <w:spacing w:after="120"/>
              <w:rPr>
                <w:bCs/>
                <w:sz w:val="20"/>
              </w:rPr>
            </w:pPr>
            <w:r>
              <w:rPr>
                <w:bCs/>
                <w:sz w:val="20"/>
              </w:rPr>
              <w:t>Finished in 1997</w:t>
            </w:r>
          </w:p>
        </w:tc>
        <w:tc>
          <w:tcPr>
            <w:tcW w:w="1047" w:type="dxa"/>
            <w:tcBorders>
              <w:top w:val="single" w:sz="6" w:space="0" w:color="auto"/>
            </w:tcBorders>
          </w:tcPr>
          <w:p w:rsidR="00000000" w:rsidRDefault="00000000">
            <w:pPr>
              <w:spacing w:after="120"/>
              <w:rPr>
                <w:bCs/>
                <w:sz w:val="20"/>
              </w:rPr>
            </w:pPr>
            <w:r>
              <w:rPr>
                <w:bCs/>
                <w:sz w:val="20"/>
              </w:rPr>
              <w:t>ECU 400 000</w:t>
            </w:r>
          </w:p>
        </w:tc>
        <w:tc>
          <w:tcPr>
            <w:tcW w:w="2370" w:type="dxa"/>
            <w:tcBorders>
              <w:top w:val="single" w:sz="6" w:space="0" w:color="auto"/>
            </w:tcBorders>
          </w:tcPr>
          <w:p w:rsidR="00000000" w:rsidRDefault="00000000">
            <w:pPr>
              <w:spacing w:after="120"/>
              <w:rPr>
                <w:bCs/>
                <w:sz w:val="20"/>
              </w:rPr>
            </w:pPr>
            <w:r>
              <w:rPr>
                <w:bCs/>
                <w:sz w:val="20"/>
              </w:rPr>
              <w:t>To prepare the National Water Strategy.</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2.</w:t>
            </w:r>
          </w:p>
        </w:tc>
        <w:tc>
          <w:tcPr>
            <w:tcW w:w="2084" w:type="dxa"/>
          </w:tcPr>
          <w:p w:rsidR="00000000" w:rsidRDefault="00000000">
            <w:pPr>
              <w:spacing w:after="120"/>
              <w:rPr>
                <w:bCs/>
                <w:sz w:val="20"/>
              </w:rPr>
            </w:pPr>
            <w:r>
              <w:rPr>
                <w:bCs/>
                <w:sz w:val="20"/>
              </w:rPr>
              <w:t>Albanian National Waste Management Plan.</w:t>
            </w:r>
          </w:p>
        </w:tc>
        <w:tc>
          <w:tcPr>
            <w:tcW w:w="1389" w:type="dxa"/>
          </w:tcPr>
          <w:p w:rsidR="00000000" w:rsidRDefault="00000000">
            <w:pPr>
              <w:spacing w:after="120"/>
              <w:rPr>
                <w:bCs/>
                <w:sz w:val="20"/>
              </w:rPr>
            </w:pPr>
            <w:r>
              <w:rPr>
                <w:bCs/>
                <w:sz w:val="20"/>
              </w:rPr>
              <w:t>Phare Programme AL9306</w:t>
            </w:r>
          </w:p>
        </w:tc>
        <w:tc>
          <w:tcPr>
            <w:tcW w:w="1886" w:type="dxa"/>
          </w:tcPr>
          <w:p w:rsidR="00000000" w:rsidRDefault="00000000">
            <w:pPr>
              <w:spacing w:after="120"/>
              <w:rPr>
                <w:bCs/>
                <w:sz w:val="20"/>
              </w:rPr>
            </w:pPr>
            <w:r>
              <w:rPr>
                <w:bCs/>
                <w:sz w:val="20"/>
              </w:rPr>
              <w:t>Finished in 1996</w:t>
            </w:r>
          </w:p>
        </w:tc>
        <w:tc>
          <w:tcPr>
            <w:tcW w:w="1047" w:type="dxa"/>
          </w:tcPr>
          <w:p w:rsidR="00000000" w:rsidRDefault="00000000">
            <w:pPr>
              <w:spacing w:after="120"/>
              <w:rPr>
                <w:bCs/>
                <w:sz w:val="20"/>
              </w:rPr>
            </w:pPr>
            <w:r>
              <w:rPr>
                <w:bCs/>
                <w:sz w:val="20"/>
              </w:rPr>
              <w:t>ECU 400 000</w:t>
            </w:r>
          </w:p>
        </w:tc>
        <w:tc>
          <w:tcPr>
            <w:tcW w:w="2370" w:type="dxa"/>
          </w:tcPr>
          <w:p w:rsidR="00000000" w:rsidRDefault="00000000">
            <w:pPr>
              <w:spacing w:after="120"/>
              <w:rPr>
                <w:bCs/>
                <w:sz w:val="20"/>
              </w:rPr>
            </w:pPr>
            <w:r>
              <w:rPr>
                <w:bCs/>
                <w:sz w:val="20"/>
              </w:rPr>
              <w:t>To prepare a national plan for management of solid urban, industrial and hospital waste, also covering the rehabilitation of existing uncontrolled dump sites.  Equipment for Chemical Technological Institute.</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3.</w:t>
            </w:r>
          </w:p>
        </w:tc>
        <w:tc>
          <w:tcPr>
            <w:tcW w:w="2084" w:type="dxa"/>
          </w:tcPr>
          <w:p w:rsidR="00000000" w:rsidRDefault="00000000">
            <w:pPr>
              <w:spacing w:after="120"/>
              <w:rPr>
                <w:bCs/>
                <w:sz w:val="20"/>
              </w:rPr>
            </w:pPr>
            <w:r>
              <w:rPr>
                <w:bCs/>
                <w:sz w:val="20"/>
              </w:rPr>
              <w:t>Feasibility study and project design for wastewater and sewerage treatment plant in Vlora, Albania.</w:t>
            </w:r>
          </w:p>
        </w:tc>
        <w:tc>
          <w:tcPr>
            <w:tcW w:w="1389" w:type="dxa"/>
          </w:tcPr>
          <w:p w:rsidR="00000000" w:rsidRDefault="00000000">
            <w:pPr>
              <w:spacing w:after="120"/>
              <w:rPr>
                <w:bCs/>
                <w:sz w:val="20"/>
              </w:rPr>
            </w:pPr>
            <w:r>
              <w:rPr>
                <w:bCs/>
                <w:sz w:val="20"/>
              </w:rPr>
              <w:t>Phare Programme AL9306</w:t>
            </w:r>
          </w:p>
        </w:tc>
        <w:tc>
          <w:tcPr>
            <w:tcW w:w="1886" w:type="dxa"/>
          </w:tcPr>
          <w:p w:rsidR="00000000" w:rsidRDefault="00000000">
            <w:pPr>
              <w:spacing w:after="120"/>
              <w:rPr>
                <w:bCs/>
                <w:sz w:val="20"/>
              </w:rPr>
            </w:pPr>
            <w:r>
              <w:rPr>
                <w:bCs/>
                <w:sz w:val="20"/>
              </w:rPr>
              <w:t>Finished in 1997</w:t>
            </w:r>
          </w:p>
        </w:tc>
        <w:tc>
          <w:tcPr>
            <w:tcW w:w="1047" w:type="dxa"/>
          </w:tcPr>
          <w:p w:rsidR="00000000" w:rsidRDefault="00000000">
            <w:pPr>
              <w:spacing w:after="120"/>
              <w:rPr>
                <w:bCs/>
                <w:sz w:val="20"/>
              </w:rPr>
            </w:pPr>
            <w:r>
              <w:rPr>
                <w:bCs/>
                <w:sz w:val="20"/>
              </w:rPr>
              <w:t>ECU 492 400</w:t>
            </w:r>
          </w:p>
        </w:tc>
        <w:tc>
          <w:tcPr>
            <w:tcW w:w="2370" w:type="dxa"/>
          </w:tcPr>
          <w:p w:rsidR="00000000" w:rsidRDefault="00000000">
            <w:pPr>
              <w:spacing w:after="120"/>
              <w:rPr>
                <w:bCs/>
                <w:sz w:val="20"/>
              </w:rPr>
            </w:pPr>
            <w:r>
              <w:rPr>
                <w:bCs/>
                <w:sz w:val="20"/>
              </w:rPr>
              <w:t>To prepare and implement appropriate national policies on sewage and wastewater collection and treatment, leading to a reduction of soil and water contamination by uncontrolled disposal of waste and an improvement in sanitary and health conditions.</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4.</w:t>
            </w:r>
          </w:p>
        </w:tc>
        <w:tc>
          <w:tcPr>
            <w:tcW w:w="2084" w:type="dxa"/>
          </w:tcPr>
          <w:p w:rsidR="00000000" w:rsidRDefault="00000000">
            <w:pPr>
              <w:spacing w:after="120"/>
              <w:rPr>
                <w:bCs/>
                <w:sz w:val="20"/>
              </w:rPr>
            </w:pPr>
            <w:r>
              <w:rPr>
                <w:bCs/>
                <w:sz w:val="20"/>
              </w:rPr>
              <w:t>Feasibility study and project design for wastewater and sewerage treatment plant in Pogradec, Albania.</w:t>
            </w:r>
          </w:p>
        </w:tc>
        <w:tc>
          <w:tcPr>
            <w:tcW w:w="1389" w:type="dxa"/>
          </w:tcPr>
          <w:p w:rsidR="00000000" w:rsidRDefault="00000000">
            <w:pPr>
              <w:spacing w:after="120"/>
              <w:rPr>
                <w:bCs/>
                <w:sz w:val="20"/>
              </w:rPr>
            </w:pPr>
            <w:r>
              <w:rPr>
                <w:bCs/>
                <w:sz w:val="20"/>
              </w:rPr>
              <w:t>Phare Programme AL9306</w:t>
            </w:r>
          </w:p>
        </w:tc>
        <w:tc>
          <w:tcPr>
            <w:tcW w:w="1886" w:type="dxa"/>
          </w:tcPr>
          <w:p w:rsidR="00000000" w:rsidRDefault="00000000">
            <w:pPr>
              <w:spacing w:after="120"/>
              <w:rPr>
                <w:bCs/>
                <w:sz w:val="20"/>
              </w:rPr>
            </w:pPr>
            <w:r>
              <w:rPr>
                <w:bCs/>
                <w:sz w:val="20"/>
              </w:rPr>
              <w:t>Finished in 1996</w:t>
            </w:r>
          </w:p>
        </w:tc>
        <w:tc>
          <w:tcPr>
            <w:tcW w:w="1047" w:type="dxa"/>
          </w:tcPr>
          <w:p w:rsidR="00000000" w:rsidRDefault="00000000">
            <w:pPr>
              <w:spacing w:after="120"/>
              <w:rPr>
                <w:bCs/>
                <w:sz w:val="20"/>
              </w:rPr>
            </w:pPr>
            <w:r>
              <w:rPr>
                <w:bCs/>
                <w:sz w:val="20"/>
              </w:rPr>
              <w:t>ECU 299 400</w:t>
            </w:r>
          </w:p>
        </w:tc>
        <w:tc>
          <w:tcPr>
            <w:tcW w:w="2370" w:type="dxa"/>
          </w:tcPr>
          <w:p w:rsidR="00000000" w:rsidRDefault="00000000">
            <w:pPr>
              <w:spacing w:after="120"/>
              <w:rPr>
                <w:bCs/>
                <w:sz w:val="20"/>
              </w:rPr>
            </w:pPr>
            <w:r>
              <w:rPr>
                <w:bCs/>
                <w:sz w:val="20"/>
              </w:rPr>
              <w:t xml:space="preserve">To provide an adequate wastewater collection and treatment to the municipality of Pogradec and to the communities along the shoreline. </w:t>
            </w:r>
          </w:p>
        </w:tc>
      </w:tr>
      <w:tr w:rsidR="00000000">
        <w:tblPrEx>
          <w:tblCellMar>
            <w:top w:w="0" w:type="dxa"/>
            <w:bottom w:w="0" w:type="dxa"/>
          </w:tblCellMar>
        </w:tblPrEx>
        <w:trPr>
          <w:cantSplit/>
        </w:trPr>
        <w:tc>
          <w:tcPr>
            <w:tcW w:w="594" w:type="dxa"/>
            <w:tcBorders>
              <w:bottom w:val="nil"/>
            </w:tcBorders>
          </w:tcPr>
          <w:p w:rsidR="00000000" w:rsidRDefault="00000000">
            <w:pPr>
              <w:spacing w:after="120"/>
              <w:ind w:right="57"/>
              <w:jc w:val="right"/>
              <w:rPr>
                <w:bCs/>
                <w:sz w:val="20"/>
              </w:rPr>
            </w:pPr>
            <w:r>
              <w:rPr>
                <w:bCs/>
                <w:sz w:val="20"/>
              </w:rPr>
              <w:t>5.</w:t>
            </w:r>
          </w:p>
        </w:tc>
        <w:tc>
          <w:tcPr>
            <w:tcW w:w="2084" w:type="dxa"/>
            <w:tcBorders>
              <w:bottom w:val="nil"/>
            </w:tcBorders>
          </w:tcPr>
          <w:p w:rsidR="00000000" w:rsidRDefault="00000000">
            <w:pPr>
              <w:spacing w:after="120"/>
              <w:rPr>
                <w:bCs/>
                <w:sz w:val="20"/>
              </w:rPr>
            </w:pPr>
            <w:r>
              <w:rPr>
                <w:bCs/>
                <w:sz w:val="20"/>
              </w:rPr>
              <w:t>Cleaning of Golem Beach.</w:t>
            </w:r>
          </w:p>
        </w:tc>
        <w:tc>
          <w:tcPr>
            <w:tcW w:w="1389" w:type="dxa"/>
            <w:tcBorders>
              <w:bottom w:val="nil"/>
            </w:tcBorders>
          </w:tcPr>
          <w:p w:rsidR="00000000" w:rsidRDefault="00000000">
            <w:pPr>
              <w:spacing w:after="120"/>
              <w:rPr>
                <w:bCs/>
                <w:sz w:val="20"/>
              </w:rPr>
            </w:pPr>
            <w:r>
              <w:rPr>
                <w:bCs/>
                <w:sz w:val="20"/>
              </w:rPr>
              <w:t>Phare Programme AL9306</w:t>
            </w:r>
          </w:p>
        </w:tc>
        <w:tc>
          <w:tcPr>
            <w:tcW w:w="1886" w:type="dxa"/>
            <w:tcBorders>
              <w:bottom w:val="nil"/>
            </w:tcBorders>
          </w:tcPr>
          <w:p w:rsidR="00000000" w:rsidRDefault="00000000">
            <w:pPr>
              <w:spacing w:after="120"/>
              <w:rPr>
                <w:bCs/>
                <w:sz w:val="20"/>
              </w:rPr>
            </w:pPr>
            <w:r>
              <w:rPr>
                <w:bCs/>
                <w:sz w:val="20"/>
              </w:rPr>
              <w:t>Finished in 1997</w:t>
            </w:r>
          </w:p>
        </w:tc>
        <w:tc>
          <w:tcPr>
            <w:tcW w:w="1047" w:type="dxa"/>
            <w:tcBorders>
              <w:bottom w:val="nil"/>
            </w:tcBorders>
          </w:tcPr>
          <w:p w:rsidR="00000000" w:rsidRDefault="00000000">
            <w:pPr>
              <w:spacing w:after="120"/>
              <w:rPr>
                <w:bCs/>
                <w:sz w:val="20"/>
              </w:rPr>
            </w:pPr>
            <w:r>
              <w:rPr>
                <w:bCs/>
                <w:sz w:val="20"/>
              </w:rPr>
              <w:t>ECU 50 000</w:t>
            </w:r>
          </w:p>
        </w:tc>
        <w:tc>
          <w:tcPr>
            <w:tcW w:w="2370" w:type="dxa"/>
            <w:tcBorders>
              <w:bottom w:val="nil"/>
            </w:tcBorders>
          </w:tcPr>
          <w:p w:rsidR="00000000" w:rsidRDefault="00000000">
            <w:pPr>
              <w:spacing w:after="120"/>
              <w:rPr>
                <w:bCs/>
                <w:sz w:val="20"/>
              </w:rPr>
            </w:pPr>
            <w:r>
              <w:rPr>
                <w:bCs/>
                <w:sz w:val="20"/>
              </w:rPr>
              <w:t>To demonstrate the cleaning of the beaches.</w:t>
            </w:r>
          </w:p>
        </w:tc>
      </w:tr>
      <w:tr w:rsidR="00000000">
        <w:tblPrEx>
          <w:tblCellMar>
            <w:top w:w="0" w:type="dxa"/>
            <w:bottom w:w="0" w:type="dxa"/>
          </w:tblCellMar>
        </w:tblPrEx>
        <w:trPr>
          <w:cantSplit/>
        </w:trPr>
        <w:tc>
          <w:tcPr>
            <w:tcW w:w="594" w:type="dxa"/>
            <w:tcBorders>
              <w:top w:val="nil"/>
              <w:bottom w:val="single" w:sz="4" w:space="0" w:color="auto"/>
            </w:tcBorders>
          </w:tcPr>
          <w:p w:rsidR="00000000" w:rsidRDefault="00000000">
            <w:pPr>
              <w:spacing w:after="120"/>
              <w:ind w:right="57"/>
              <w:jc w:val="right"/>
              <w:rPr>
                <w:bCs/>
                <w:sz w:val="20"/>
              </w:rPr>
            </w:pPr>
            <w:r>
              <w:rPr>
                <w:bCs/>
                <w:sz w:val="20"/>
              </w:rPr>
              <w:t>6.</w:t>
            </w:r>
          </w:p>
        </w:tc>
        <w:tc>
          <w:tcPr>
            <w:tcW w:w="2084" w:type="dxa"/>
            <w:tcBorders>
              <w:top w:val="nil"/>
              <w:bottom w:val="single" w:sz="4" w:space="0" w:color="auto"/>
            </w:tcBorders>
          </w:tcPr>
          <w:p w:rsidR="00000000" w:rsidRDefault="00000000">
            <w:pPr>
              <w:spacing w:after="120"/>
              <w:rPr>
                <w:bCs/>
                <w:sz w:val="20"/>
              </w:rPr>
            </w:pPr>
            <w:r>
              <w:rPr>
                <w:bCs/>
                <w:sz w:val="20"/>
              </w:rPr>
              <w:t xml:space="preserve">Master plan for the conservation and management of </w:t>
            </w:r>
            <w:r>
              <w:rPr>
                <w:bCs/>
                <w:sz w:val="20"/>
              </w:rPr>
              <w:br/>
              <w:t>Dajti National Park.</w:t>
            </w:r>
          </w:p>
        </w:tc>
        <w:tc>
          <w:tcPr>
            <w:tcW w:w="1389" w:type="dxa"/>
            <w:tcBorders>
              <w:top w:val="nil"/>
              <w:bottom w:val="single" w:sz="4" w:space="0" w:color="auto"/>
            </w:tcBorders>
          </w:tcPr>
          <w:p w:rsidR="00000000" w:rsidRDefault="00000000">
            <w:pPr>
              <w:spacing w:after="120"/>
              <w:rPr>
                <w:bCs/>
                <w:sz w:val="20"/>
              </w:rPr>
            </w:pPr>
            <w:r>
              <w:rPr>
                <w:bCs/>
                <w:sz w:val="20"/>
              </w:rPr>
              <w:t>Phare Programme AL9306</w:t>
            </w:r>
          </w:p>
        </w:tc>
        <w:tc>
          <w:tcPr>
            <w:tcW w:w="1886" w:type="dxa"/>
            <w:tcBorders>
              <w:top w:val="nil"/>
              <w:bottom w:val="single" w:sz="4" w:space="0" w:color="auto"/>
            </w:tcBorders>
          </w:tcPr>
          <w:p w:rsidR="00000000" w:rsidRDefault="00000000">
            <w:pPr>
              <w:spacing w:after="120"/>
              <w:rPr>
                <w:bCs/>
                <w:sz w:val="20"/>
              </w:rPr>
            </w:pPr>
            <w:r>
              <w:rPr>
                <w:bCs/>
                <w:sz w:val="20"/>
              </w:rPr>
              <w:t>Finished in 1997</w:t>
            </w:r>
          </w:p>
        </w:tc>
        <w:tc>
          <w:tcPr>
            <w:tcW w:w="1047" w:type="dxa"/>
            <w:tcBorders>
              <w:top w:val="nil"/>
              <w:bottom w:val="single" w:sz="4" w:space="0" w:color="auto"/>
            </w:tcBorders>
          </w:tcPr>
          <w:p w:rsidR="00000000" w:rsidRDefault="00000000">
            <w:pPr>
              <w:spacing w:after="120"/>
              <w:rPr>
                <w:bCs/>
                <w:sz w:val="20"/>
              </w:rPr>
            </w:pPr>
            <w:r>
              <w:rPr>
                <w:bCs/>
                <w:sz w:val="20"/>
              </w:rPr>
              <w:t>ECU 50 000</w:t>
            </w:r>
          </w:p>
        </w:tc>
        <w:tc>
          <w:tcPr>
            <w:tcW w:w="2370" w:type="dxa"/>
            <w:tcBorders>
              <w:top w:val="nil"/>
              <w:bottom w:val="single" w:sz="4" w:space="0" w:color="auto"/>
            </w:tcBorders>
          </w:tcPr>
          <w:p w:rsidR="00000000" w:rsidRDefault="00000000">
            <w:pPr>
              <w:spacing w:after="120"/>
              <w:rPr>
                <w:bCs/>
                <w:sz w:val="20"/>
              </w:rPr>
            </w:pPr>
            <w:r>
              <w:rPr>
                <w:bCs/>
                <w:sz w:val="20"/>
              </w:rPr>
              <w:t>To provide guidelines for the sustainable use of the natural resources of the Dajti National Park and providing an example of coexistence of human economic activities that are compatible with nature.</w:t>
            </w:r>
          </w:p>
        </w:tc>
      </w:tr>
    </w:tbl>
    <w:p w:rsidR="00000000" w:rsidRDefault="00000000">
      <w:pPr>
        <w:pStyle w:val="Header"/>
        <w:tabs>
          <w:tab w:val="clear" w:pos="4320"/>
          <w:tab w:val="clear" w:pos="8640"/>
        </w:tabs>
        <w:spacing w:after="600"/>
      </w:pPr>
    </w:p>
    <w:tbl>
      <w:tblPr>
        <w:tblW w:w="9370"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594"/>
        <w:gridCol w:w="2072"/>
        <w:gridCol w:w="12"/>
        <w:gridCol w:w="1389"/>
        <w:gridCol w:w="1812"/>
        <w:gridCol w:w="1179"/>
        <w:gridCol w:w="2312"/>
      </w:tblGrid>
      <w:tr w:rsidR="00000000">
        <w:tblPrEx>
          <w:tblCellMar>
            <w:top w:w="0" w:type="dxa"/>
            <w:bottom w:w="0" w:type="dxa"/>
          </w:tblCellMar>
        </w:tblPrEx>
        <w:trPr>
          <w:cantSplit/>
        </w:trPr>
        <w:tc>
          <w:tcPr>
            <w:tcW w:w="9370" w:type="dxa"/>
            <w:gridSpan w:val="7"/>
            <w:tcBorders>
              <w:top w:val="nil"/>
              <w:left w:val="nil"/>
              <w:bottom w:val="single" w:sz="4" w:space="0" w:color="auto"/>
              <w:right w:val="nil"/>
            </w:tcBorders>
          </w:tcPr>
          <w:p w:rsidR="00000000" w:rsidRDefault="00000000">
            <w:pPr>
              <w:jc w:val="center"/>
              <w:rPr>
                <w:bCs/>
                <w:sz w:val="20"/>
              </w:rPr>
            </w:pPr>
            <w:r>
              <w:br w:type="page"/>
            </w:r>
            <w:r>
              <w:rPr>
                <w:b/>
              </w:rPr>
              <w:t>Table 1 (</w:t>
            </w:r>
            <w:r>
              <w:rPr>
                <w:b/>
                <w:i/>
              </w:rPr>
              <w:t>continued</w:t>
            </w:r>
            <w:r>
              <w:rPr>
                <w:b/>
              </w:rPr>
              <w:t>)</w:t>
            </w:r>
          </w:p>
        </w:tc>
      </w:tr>
      <w:tr w:rsidR="00000000">
        <w:tblPrEx>
          <w:tblCellMar>
            <w:top w:w="0" w:type="dxa"/>
            <w:bottom w:w="0" w:type="dxa"/>
          </w:tblCellMar>
        </w:tblPrEx>
        <w:trPr>
          <w:cantSplit/>
        </w:trPr>
        <w:tc>
          <w:tcPr>
            <w:tcW w:w="594" w:type="dxa"/>
            <w:tcBorders>
              <w:top w:val="single" w:sz="4" w:space="0" w:color="auto"/>
              <w:bottom w:val="single" w:sz="4" w:space="0" w:color="auto"/>
              <w:right w:val="single" w:sz="4" w:space="0" w:color="auto"/>
            </w:tcBorders>
          </w:tcPr>
          <w:p w:rsidR="00000000" w:rsidRDefault="00000000">
            <w:pPr>
              <w:spacing w:after="120"/>
              <w:ind w:right="57"/>
              <w:jc w:val="right"/>
              <w:rPr>
                <w:bCs/>
                <w:sz w:val="20"/>
              </w:rPr>
            </w:pPr>
            <w:r>
              <w:rPr>
                <w:bCs/>
                <w:sz w:val="20"/>
              </w:rPr>
              <w:t>No.</w:t>
            </w:r>
          </w:p>
        </w:tc>
        <w:tc>
          <w:tcPr>
            <w:tcW w:w="2084" w:type="dxa"/>
            <w:gridSpan w:val="2"/>
            <w:tcBorders>
              <w:top w:val="single" w:sz="4" w:space="0" w:color="auto"/>
              <w:left w:val="single" w:sz="4" w:space="0" w:color="auto"/>
              <w:bottom w:val="single" w:sz="4" w:space="0" w:color="auto"/>
            </w:tcBorders>
          </w:tcPr>
          <w:p w:rsidR="00000000" w:rsidRDefault="00000000">
            <w:pPr>
              <w:spacing w:after="120"/>
              <w:jc w:val="center"/>
              <w:rPr>
                <w:bCs/>
                <w:sz w:val="20"/>
              </w:rPr>
            </w:pPr>
            <w:r>
              <w:rPr>
                <w:bCs/>
                <w:sz w:val="20"/>
              </w:rPr>
              <w:t>Project</w:t>
            </w:r>
          </w:p>
        </w:tc>
        <w:tc>
          <w:tcPr>
            <w:tcW w:w="1389" w:type="dxa"/>
            <w:tcBorders>
              <w:top w:val="single" w:sz="4" w:space="0" w:color="auto"/>
              <w:bottom w:val="single" w:sz="4" w:space="0" w:color="auto"/>
            </w:tcBorders>
          </w:tcPr>
          <w:p w:rsidR="00000000" w:rsidRDefault="00000000">
            <w:pPr>
              <w:spacing w:after="120"/>
              <w:rPr>
                <w:bCs/>
                <w:sz w:val="20"/>
              </w:rPr>
            </w:pPr>
            <w:r>
              <w:rPr>
                <w:bCs/>
                <w:sz w:val="20"/>
              </w:rPr>
              <w:t xml:space="preserve">   Financial </w:t>
            </w:r>
            <w:r>
              <w:rPr>
                <w:bCs/>
                <w:sz w:val="20"/>
              </w:rPr>
              <w:br/>
              <w:t xml:space="preserve">   institution</w:t>
            </w:r>
          </w:p>
        </w:tc>
        <w:tc>
          <w:tcPr>
            <w:tcW w:w="1812" w:type="dxa"/>
            <w:tcBorders>
              <w:top w:val="single" w:sz="4" w:space="0" w:color="auto"/>
              <w:bottom w:val="single" w:sz="4" w:space="0" w:color="auto"/>
            </w:tcBorders>
          </w:tcPr>
          <w:p w:rsidR="00000000" w:rsidRDefault="00000000">
            <w:pPr>
              <w:spacing w:after="120"/>
              <w:jc w:val="center"/>
              <w:rPr>
                <w:bCs/>
                <w:sz w:val="20"/>
              </w:rPr>
            </w:pPr>
            <w:r>
              <w:rPr>
                <w:bCs/>
                <w:sz w:val="20"/>
              </w:rPr>
              <w:t>Project state/</w:t>
            </w:r>
            <w:r>
              <w:rPr>
                <w:bCs/>
                <w:sz w:val="20"/>
              </w:rPr>
              <w:br/>
              <w:t>duration</w:t>
            </w:r>
          </w:p>
        </w:tc>
        <w:tc>
          <w:tcPr>
            <w:tcW w:w="1179" w:type="dxa"/>
            <w:tcBorders>
              <w:top w:val="single" w:sz="4" w:space="0" w:color="auto"/>
              <w:bottom w:val="single" w:sz="4" w:space="0" w:color="auto"/>
            </w:tcBorders>
          </w:tcPr>
          <w:p w:rsidR="00000000" w:rsidRDefault="00000000">
            <w:pPr>
              <w:spacing w:after="120"/>
              <w:jc w:val="center"/>
              <w:rPr>
                <w:bCs/>
                <w:sz w:val="20"/>
              </w:rPr>
            </w:pPr>
            <w:r>
              <w:rPr>
                <w:bCs/>
                <w:sz w:val="20"/>
              </w:rPr>
              <w:t>Budget</w:t>
            </w:r>
          </w:p>
        </w:tc>
        <w:tc>
          <w:tcPr>
            <w:tcW w:w="2312" w:type="dxa"/>
            <w:tcBorders>
              <w:top w:val="single" w:sz="4" w:space="0" w:color="auto"/>
              <w:bottom w:val="single" w:sz="4" w:space="0" w:color="auto"/>
            </w:tcBorders>
          </w:tcPr>
          <w:p w:rsidR="00000000" w:rsidRDefault="00000000">
            <w:pPr>
              <w:spacing w:after="120"/>
              <w:jc w:val="center"/>
              <w:rPr>
                <w:bCs/>
                <w:sz w:val="20"/>
              </w:rPr>
            </w:pPr>
            <w:r>
              <w:rPr>
                <w:bCs/>
                <w:sz w:val="20"/>
              </w:rPr>
              <w:t>Objective</w:t>
            </w:r>
          </w:p>
        </w:tc>
      </w:tr>
      <w:tr w:rsidR="00000000">
        <w:tblPrEx>
          <w:tblCellMar>
            <w:top w:w="0" w:type="dxa"/>
            <w:bottom w:w="0" w:type="dxa"/>
          </w:tblCellMar>
        </w:tblPrEx>
        <w:trPr>
          <w:cantSplit/>
        </w:trPr>
        <w:tc>
          <w:tcPr>
            <w:tcW w:w="594" w:type="dxa"/>
            <w:tcBorders>
              <w:top w:val="single" w:sz="4" w:space="0" w:color="auto"/>
              <w:right w:val="single" w:sz="4" w:space="0" w:color="auto"/>
            </w:tcBorders>
          </w:tcPr>
          <w:p w:rsidR="00000000" w:rsidRDefault="00000000">
            <w:pPr>
              <w:spacing w:after="120"/>
              <w:ind w:right="57"/>
              <w:jc w:val="right"/>
              <w:rPr>
                <w:bCs/>
                <w:sz w:val="20"/>
              </w:rPr>
            </w:pPr>
            <w:r>
              <w:rPr>
                <w:bCs/>
                <w:sz w:val="20"/>
              </w:rPr>
              <w:t>7.</w:t>
            </w:r>
          </w:p>
        </w:tc>
        <w:tc>
          <w:tcPr>
            <w:tcW w:w="2084" w:type="dxa"/>
            <w:gridSpan w:val="2"/>
            <w:tcBorders>
              <w:top w:val="single" w:sz="4" w:space="0" w:color="auto"/>
              <w:left w:val="single" w:sz="4" w:space="0" w:color="auto"/>
            </w:tcBorders>
          </w:tcPr>
          <w:p w:rsidR="00000000" w:rsidRDefault="00000000">
            <w:pPr>
              <w:spacing w:after="120"/>
              <w:rPr>
                <w:bCs/>
                <w:sz w:val="20"/>
              </w:rPr>
            </w:pPr>
            <w:proofErr w:type="spellStart"/>
            <w:r>
              <w:rPr>
                <w:bCs/>
                <w:sz w:val="20"/>
              </w:rPr>
              <w:t>Karavasta</w:t>
            </w:r>
            <w:proofErr w:type="spellEnd"/>
            <w:r>
              <w:rPr>
                <w:bCs/>
                <w:sz w:val="20"/>
              </w:rPr>
              <w:t xml:space="preserve"> Lagoon - Wetland Management Project.</w:t>
            </w:r>
          </w:p>
        </w:tc>
        <w:tc>
          <w:tcPr>
            <w:tcW w:w="1389" w:type="dxa"/>
            <w:tcBorders>
              <w:top w:val="single" w:sz="4" w:space="0" w:color="auto"/>
            </w:tcBorders>
          </w:tcPr>
          <w:p w:rsidR="00000000" w:rsidRDefault="00000000">
            <w:pPr>
              <w:spacing w:after="120"/>
              <w:rPr>
                <w:bCs/>
                <w:sz w:val="20"/>
              </w:rPr>
            </w:pPr>
            <w:r>
              <w:rPr>
                <w:bCs/>
                <w:sz w:val="20"/>
              </w:rPr>
              <w:t>Phare Programme AL9306</w:t>
            </w:r>
          </w:p>
        </w:tc>
        <w:tc>
          <w:tcPr>
            <w:tcW w:w="1812" w:type="dxa"/>
            <w:tcBorders>
              <w:top w:val="single" w:sz="4" w:space="0" w:color="auto"/>
            </w:tcBorders>
          </w:tcPr>
          <w:p w:rsidR="00000000" w:rsidRDefault="00000000">
            <w:pPr>
              <w:spacing w:after="120"/>
              <w:rPr>
                <w:bCs/>
                <w:sz w:val="20"/>
              </w:rPr>
            </w:pPr>
            <w:r>
              <w:rPr>
                <w:bCs/>
                <w:sz w:val="20"/>
              </w:rPr>
              <w:t>Finished in 1996</w:t>
            </w:r>
          </w:p>
        </w:tc>
        <w:tc>
          <w:tcPr>
            <w:tcW w:w="1179" w:type="dxa"/>
            <w:tcBorders>
              <w:top w:val="single" w:sz="4" w:space="0" w:color="auto"/>
            </w:tcBorders>
          </w:tcPr>
          <w:p w:rsidR="00000000" w:rsidRDefault="00000000">
            <w:pPr>
              <w:spacing w:after="120"/>
              <w:rPr>
                <w:bCs/>
                <w:sz w:val="20"/>
              </w:rPr>
            </w:pPr>
            <w:r>
              <w:rPr>
                <w:bCs/>
                <w:sz w:val="20"/>
              </w:rPr>
              <w:t>ECU 346 224</w:t>
            </w:r>
          </w:p>
        </w:tc>
        <w:tc>
          <w:tcPr>
            <w:tcW w:w="2312" w:type="dxa"/>
            <w:tcBorders>
              <w:top w:val="single" w:sz="4" w:space="0" w:color="auto"/>
            </w:tcBorders>
          </w:tcPr>
          <w:p w:rsidR="00000000" w:rsidRDefault="00000000">
            <w:pPr>
              <w:spacing w:after="120"/>
              <w:rPr>
                <w:bCs/>
                <w:sz w:val="20"/>
              </w:rPr>
            </w:pPr>
            <w:r>
              <w:rPr>
                <w:bCs/>
                <w:sz w:val="20"/>
              </w:rPr>
              <w:t>To manage the Karavasta Lagoon to protect biodiversity and for the economic benefit of the local communities.</w:t>
            </w:r>
          </w:p>
        </w:tc>
      </w:tr>
      <w:tr w:rsidR="00000000">
        <w:tblPrEx>
          <w:tblCellMar>
            <w:top w:w="0" w:type="dxa"/>
            <w:bottom w:w="0" w:type="dxa"/>
          </w:tblCellMar>
        </w:tblPrEx>
        <w:trPr>
          <w:cantSplit/>
        </w:trPr>
        <w:tc>
          <w:tcPr>
            <w:tcW w:w="594" w:type="dxa"/>
            <w:tcBorders>
              <w:right w:val="single" w:sz="4" w:space="0" w:color="auto"/>
            </w:tcBorders>
          </w:tcPr>
          <w:p w:rsidR="00000000" w:rsidRDefault="00000000">
            <w:pPr>
              <w:spacing w:after="120"/>
              <w:ind w:right="57"/>
              <w:jc w:val="right"/>
              <w:rPr>
                <w:bCs/>
                <w:sz w:val="20"/>
              </w:rPr>
            </w:pPr>
            <w:r>
              <w:rPr>
                <w:bCs/>
                <w:sz w:val="20"/>
              </w:rPr>
              <w:t>8.</w:t>
            </w:r>
          </w:p>
        </w:tc>
        <w:tc>
          <w:tcPr>
            <w:tcW w:w="2072" w:type="dxa"/>
            <w:tcBorders>
              <w:left w:val="single" w:sz="4" w:space="0" w:color="auto"/>
            </w:tcBorders>
          </w:tcPr>
          <w:p w:rsidR="00000000" w:rsidRDefault="00000000">
            <w:pPr>
              <w:spacing w:after="120"/>
              <w:rPr>
                <w:bCs/>
                <w:sz w:val="20"/>
              </w:rPr>
            </w:pPr>
            <w:r>
              <w:rPr>
                <w:bCs/>
                <w:sz w:val="20"/>
              </w:rPr>
              <w:t>Institutional Strengthening of Committee of Environmental Protection (CEP).</w:t>
            </w:r>
          </w:p>
        </w:tc>
        <w:tc>
          <w:tcPr>
            <w:tcW w:w="1401" w:type="dxa"/>
            <w:gridSpan w:val="2"/>
          </w:tcPr>
          <w:p w:rsidR="00000000" w:rsidRDefault="00000000">
            <w:pPr>
              <w:spacing w:after="120"/>
              <w:rPr>
                <w:bCs/>
                <w:sz w:val="20"/>
              </w:rPr>
            </w:pPr>
            <w:r>
              <w:rPr>
                <w:bCs/>
                <w:sz w:val="20"/>
              </w:rPr>
              <w:t>Phare Programme AL9306</w:t>
            </w:r>
          </w:p>
        </w:tc>
        <w:tc>
          <w:tcPr>
            <w:tcW w:w="1812" w:type="dxa"/>
          </w:tcPr>
          <w:p w:rsidR="00000000" w:rsidRDefault="00000000">
            <w:pPr>
              <w:spacing w:after="120"/>
              <w:rPr>
                <w:bCs/>
                <w:sz w:val="20"/>
              </w:rPr>
            </w:pPr>
            <w:r>
              <w:rPr>
                <w:bCs/>
                <w:sz w:val="20"/>
              </w:rPr>
              <w:t>Finished in 1995</w:t>
            </w:r>
          </w:p>
        </w:tc>
        <w:tc>
          <w:tcPr>
            <w:tcW w:w="1179" w:type="dxa"/>
          </w:tcPr>
          <w:p w:rsidR="00000000" w:rsidRDefault="00000000">
            <w:pPr>
              <w:spacing w:after="120"/>
              <w:rPr>
                <w:bCs/>
                <w:sz w:val="20"/>
              </w:rPr>
            </w:pPr>
            <w:r>
              <w:rPr>
                <w:bCs/>
                <w:sz w:val="20"/>
              </w:rPr>
              <w:t>ECU 695 830.6</w:t>
            </w:r>
          </w:p>
        </w:tc>
        <w:tc>
          <w:tcPr>
            <w:tcW w:w="2312" w:type="dxa"/>
          </w:tcPr>
          <w:p w:rsidR="00000000" w:rsidRDefault="00000000">
            <w:pPr>
              <w:spacing w:after="120"/>
              <w:rPr>
                <w:bCs/>
                <w:sz w:val="20"/>
              </w:rPr>
            </w:pPr>
            <w:r>
              <w:rPr>
                <w:bCs/>
                <w:sz w:val="20"/>
              </w:rPr>
              <w:t>Assistance in the implementation of the National Environmental Action Plan and the preparation of the project.</w:t>
            </w:r>
          </w:p>
        </w:tc>
      </w:tr>
      <w:tr w:rsidR="00000000">
        <w:tblPrEx>
          <w:tblCellMar>
            <w:top w:w="0" w:type="dxa"/>
            <w:bottom w:w="0" w:type="dxa"/>
          </w:tblCellMar>
        </w:tblPrEx>
        <w:trPr>
          <w:cantSplit/>
        </w:trPr>
        <w:tc>
          <w:tcPr>
            <w:tcW w:w="594" w:type="dxa"/>
            <w:tcBorders>
              <w:right w:val="single" w:sz="4" w:space="0" w:color="auto"/>
            </w:tcBorders>
          </w:tcPr>
          <w:p w:rsidR="00000000" w:rsidRDefault="00000000">
            <w:pPr>
              <w:spacing w:after="120"/>
              <w:ind w:right="57"/>
              <w:jc w:val="right"/>
              <w:rPr>
                <w:bCs/>
                <w:sz w:val="20"/>
              </w:rPr>
            </w:pPr>
            <w:r>
              <w:rPr>
                <w:bCs/>
                <w:sz w:val="20"/>
              </w:rPr>
              <w:t>9.</w:t>
            </w:r>
          </w:p>
        </w:tc>
        <w:tc>
          <w:tcPr>
            <w:tcW w:w="2072" w:type="dxa"/>
            <w:tcBorders>
              <w:left w:val="single" w:sz="4" w:space="0" w:color="auto"/>
              <w:bottom w:val="nil"/>
            </w:tcBorders>
          </w:tcPr>
          <w:p w:rsidR="00000000" w:rsidRDefault="00000000">
            <w:pPr>
              <w:spacing w:after="120"/>
              <w:rPr>
                <w:bCs/>
                <w:sz w:val="20"/>
              </w:rPr>
            </w:pPr>
            <w:r>
              <w:rPr>
                <w:bCs/>
                <w:sz w:val="20"/>
              </w:rPr>
              <w:t>Support to the regional environmental agencies’ (REA) staff at prefecture level.</w:t>
            </w:r>
          </w:p>
        </w:tc>
        <w:tc>
          <w:tcPr>
            <w:tcW w:w="1401" w:type="dxa"/>
            <w:gridSpan w:val="2"/>
            <w:tcBorders>
              <w:bottom w:val="nil"/>
            </w:tcBorders>
          </w:tcPr>
          <w:p w:rsidR="00000000" w:rsidRDefault="00000000">
            <w:pPr>
              <w:spacing w:after="120"/>
              <w:rPr>
                <w:bCs/>
                <w:sz w:val="20"/>
              </w:rPr>
            </w:pPr>
            <w:r>
              <w:rPr>
                <w:bCs/>
                <w:sz w:val="20"/>
              </w:rPr>
              <w:t>Phare Programme AL9306</w:t>
            </w:r>
          </w:p>
        </w:tc>
        <w:tc>
          <w:tcPr>
            <w:tcW w:w="1812" w:type="dxa"/>
          </w:tcPr>
          <w:p w:rsidR="00000000" w:rsidRDefault="00000000">
            <w:pPr>
              <w:spacing w:after="120"/>
              <w:rPr>
                <w:bCs/>
                <w:sz w:val="20"/>
              </w:rPr>
            </w:pPr>
            <w:r>
              <w:rPr>
                <w:bCs/>
                <w:sz w:val="20"/>
              </w:rPr>
              <w:t>Finished in 1997</w:t>
            </w:r>
          </w:p>
        </w:tc>
        <w:tc>
          <w:tcPr>
            <w:tcW w:w="1179" w:type="dxa"/>
          </w:tcPr>
          <w:p w:rsidR="00000000" w:rsidRDefault="00000000">
            <w:pPr>
              <w:spacing w:after="120"/>
              <w:rPr>
                <w:bCs/>
                <w:sz w:val="20"/>
              </w:rPr>
            </w:pPr>
            <w:r>
              <w:rPr>
                <w:bCs/>
                <w:sz w:val="20"/>
              </w:rPr>
              <w:t>ECU 92 211.42</w:t>
            </w:r>
          </w:p>
        </w:tc>
        <w:tc>
          <w:tcPr>
            <w:tcW w:w="2312" w:type="dxa"/>
          </w:tcPr>
          <w:p w:rsidR="00000000" w:rsidRDefault="00000000">
            <w:pPr>
              <w:spacing w:after="120"/>
              <w:rPr>
                <w:bCs/>
                <w:sz w:val="20"/>
              </w:rPr>
            </w:pPr>
            <w:r>
              <w:rPr>
                <w:bCs/>
                <w:sz w:val="20"/>
              </w:rPr>
              <w:t>The strengthening of CEP at local level by helping REA staff develop or improve their knowledge and skills in respect of environmental monitoring and data management; and to develop knowledge and improve skills in environmental assessment and monitoring, particularly relating to water supply and wastewater, and to develop skills in the processes involved in environmental monitoring and reporting.</w:t>
            </w:r>
          </w:p>
        </w:tc>
      </w:tr>
      <w:tr w:rsidR="00000000">
        <w:tblPrEx>
          <w:tblCellMar>
            <w:top w:w="0" w:type="dxa"/>
            <w:bottom w:w="0" w:type="dxa"/>
          </w:tblCellMar>
        </w:tblPrEx>
        <w:trPr>
          <w:cantSplit/>
        </w:trPr>
        <w:tc>
          <w:tcPr>
            <w:tcW w:w="594" w:type="dxa"/>
            <w:tcBorders>
              <w:bottom w:val="nil"/>
            </w:tcBorders>
          </w:tcPr>
          <w:p w:rsidR="00000000" w:rsidRDefault="00000000">
            <w:pPr>
              <w:spacing w:after="120"/>
              <w:ind w:right="57"/>
              <w:jc w:val="right"/>
              <w:rPr>
                <w:bCs/>
                <w:sz w:val="20"/>
              </w:rPr>
            </w:pPr>
            <w:r>
              <w:rPr>
                <w:bCs/>
                <w:sz w:val="20"/>
              </w:rPr>
              <w:t>10.</w:t>
            </w:r>
          </w:p>
        </w:tc>
        <w:tc>
          <w:tcPr>
            <w:tcW w:w="2072" w:type="dxa"/>
            <w:tcBorders>
              <w:top w:val="nil"/>
              <w:bottom w:val="nil"/>
            </w:tcBorders>
          </w:tcPr>
          <w:p w:rsidR="00000000" w:rsidRDefault="00000000">
            <w:pPr>
              <w:spacing w:after="120"/>
              <w:rPr>
                <w:bCs/>
                <w:sz w:val="20"/>
              </w:rPr>
            </w:pPr>
            <w:r>
              <w:rPr>
                <w:bCs/>
                <w:sz w:val="20"/>
              </w:rPr>
              <w:t>Additional equipment for REAs.</w:t>
            </w:r>
          </w:p>
        </w:tc>
        <w:tc>
          <w:tcPr>
            <w:tcW w:w="1401" w:type="dxa"/>
            <w:gridSpan w:val="2"/>
            <w:tcBorders>
              <w:top w:val="nil"/>
              <w:bottom w:val="nil"/>
            </w:tcBorders>
          </w:tcPr>
          <w:p w:rsidR="00000000" w:rsidRDefault="00000000">
            <w:pPr>
              <w:spacing w:after="120"/>
              <w:rPr>
                <w:bCs/>
                <w:sz w:val="20"/>
              </w:rPr>
            </w:pPr>
            <w:r>
              <w:rPr>
                <w:bCs/>
                <w:sz w:val="20"/>
              </w:rPr>
              <w:t>Phare Programme AL9306</w:t>
            </w:r>
          </w:p>
        </w:tc>
        <w:tc>
          <w:tcPr>
            <w:tcW w:w="1812" w:type="dxa"/>
            <w:tcBorders>
              <w:bottom w:val="nil"/>
            </w:tcBorders>
          </w:tcPr>
          <w:p w:rsidR="00000000" w:rsidRDefault="00000000">
            <w:pPr>
              <w:spacing w:after="120"/>
              <w:rPr>
                <w:bCs/>
                <w:sz w:val="20"/>
              </w:rPr>
            </w:pPr>
            <w:r>
              <w:rPr>
                <w:bCs/>
                <w:sz w:val="20"/>
              </w:rPr>
              <w:t>Finished in 1998</w:t>
            </w:r>
          </w:p>
        </w:tc>
        <w:tc>
          <w:tcPr>
            <w:tcW w:w="1179" w:type="dxa"/>
            <w:tcBorders>
              <w:bottom w:val="nil"/>
            </w:tcBorders>
          </w:tcPr>
          <w:p w:rsidR="00000000" w:rsidRDefault="00000000">
            <w:pPr>
              <w:spacing w:after="120"/>
              <w:rPr>
                <w:bCs/>
                <w:sz w:val="20"/>
              </w:rPr>
            </w:pPr>
            <w:r>
              <w:rPr>
                <w:bCs/>
                <w:sz w:val="20"/>
              </w:rPr>
              <w:t>ECU 98 316</w:t>
            </w:r>
          </w:p>
        </w:tc>
        <w:tc>
          <w:tcPr>
            <w:tcW w:w="2312" w:type="dxa"/>
            <w:tcBorders>
              <w:bottom w:val="nil"/>
            </w:tcBorders>
          </w:tcPr>
          <w:p w:rsidR="00000000" w:rsidRDefault="00000000">
            <w:pPr>
              <w:spacing w:after="120"/>
              <w:rPr>
                <w:bCs/>
                <w:sz w:val="20"/>
              </w:rPr>
            </w:pPr>
            <w:r>
              <w:rPr>
                <w:bCs/>
                <w:sz w:val="20"/>
              </w:rPr>
              <w:t>To equip the offices of REAs.</w:t>
            </w:r>
          </w:p>
        </w:tc>
      </w:tr>
      <w:tr w:rsidR="00000000">
        <w:tblPrEx>
          <w:tblCellMar>
            <w:top w:w="0" w:type="dxa"/>
            <w:bottom w:w="0" w:type="dxa"/>
          </w:tblCellMar>
        </w:tblPrEx>
        <w:trPr>
          <w:cantSplit/>
        </w:trPr>
        <w:tc>
          <w:tcPr>
            <w:tcW w:w="594" w:type="dxa"/>
            <w:tcBorders>
              <w:top w:val="nil"/>
              <w:bottom w:val="single" w:sz="4" w:space="0" w:color="auto"/>
            </w:tcBorders>
          </w:tcPr>
          <w:p w:rsidR="00000000" w:rsidRDefault="00000000">
            <w:pPr>
              <w:spacing w:after="120"/>
              <w:ind w:right="57"/>
              <w:jc w:val="right"/>
              <w:rPr>
                <w:bCs/>
                <w:sz w:val="20"/>
              </w:rPr>
            </w:pPr>
            <w:r>
              <w:rPr>
                <w:bCs/>
                <w:sz w:val="20"/>
              </w:rPr>
              <w:t>11.</w:t>
            </w:r>
          </w:p>
        </w:tc>
        <w:tc>
          <w:tcPr>
            <w:tcW w:w="2072" w:type="dxa"/>
            <w:tcBorders>
              <w:top w:val="nil"/>
              <w:bottom w:val="single" w:sz="4" w:space="0" w:color="auto"/>
            </w:tcBorders>
          </w:tcPr>
          <w:p w:rsidR="00000000" w:rsidRDefault="00000000">
            <w:pPr>
              <w:spacing w:after="120"/>
              <w:rPr>
                <w:bCs/>
                <w:sz w:val="20"/>
              </w:rPr>
            </w:pPr>
            <w:r>
              <w:rPr>
                <w:bCs/>
                <w:sz w:val="20"/>
              </w:rPr>
              <w:t>Full environmental benchmark survey for the rehabilitation of the Patos</w:t>
            </w:r>
            <w:r>
              <w:rPr>
                <w:bCs/>
                <w:sz w:val="20"/>
              </w:rPr>
              <w:noBreakHyphen/>
              <w:t>Marinze Oilfield.</w:t>
            </w:r>
          </w:p>
        </w:tc>
        <w:tc>
          <w:tcPr>
            <w:tcW w:w="1401" w:type="dxa"/>
            <w:gridSpan w:val="2"/>
            <w:tcBorders>
              <w:top w:val="nil"/>
              <w:bottom w:val="single" w:sz="4" w:space="0" w:color="auto"/>
            </w:tcBorders>
          </w:tcPr>
          <w:p w:rsidR="00000000" w:rsidRDefault="00000000">
            <w:pPr>
              <w:spacing w:after="120"/>
              <w:rPr>
                <w:bCs/>
                <w:sz w:val="20"/>
              </w:rPr>
            </w:pPr>
            <w:r>
              <w:rPr>
                <w:bCs/>
                <w:sz w:val="20"/>
              </w:rPr>
              <w:t xml:space="preserve">Phare Programme </w:t>
            </w:r>
            <w:proofErr w:type="spellStart"/>
            <w:r>
              <w:rPr>
                <w:bCs/>
                <w:sz w:val="20"/>
              </w:rPr>
              <w:t>AL936</w:t>
            </w:r>
            <w:proofErr w:type="spellEnd"/>
          </w:p>
        </w:tc>
        <w:tc>
          <w:tcPr>
            <w:tcW w:w="1812" w:type="dxa"/>
            <w:tcBorders>
              <w:top w:val="nil"/>
              <w:bottom w:val="single" w:sz="4" w:space="0" w:color="auto"/>
            </w:tcBorders>
          </w:tcPr>
          <w:p w:rsidR="00000000" w:rsidRDefault="00000000">
            <w:pPr>
              <w:spacing w:after="120"/>
              <w:rPr>
                <w:bCs/>
                <w:sz w:val="20"/>
              </w:rPr>
            </w:pPr>
            <w:r>
              <w:rPr>
                <w:bCs/>
                <w:sz w:val="20"/>
              </w:rPr>
              <w:t>Finished in 1997</w:t>
            </w:r>
          </w:p>
        </w:tc>
        <w:tc>
          <w:tcPr>
            <w:tcW w:w="1179" w:type="dxa"/>
            <w:tcBorders>
              <w:top w:val="nil"/>
              <w:bottom w:val="single" w:sz="4" w:space="0" w:color="auto"/>
            </w:tcBorders>
          </w:tcPr>
          <w:p w:rsidR="00000000" w:rsidRDefault="00000000">
            <w:pPr>
              <w:spacing w:after="120"/>
              <w:rPr>
                <w:bCs/>
                <w:sz w:val="20"/>
              </w:rPr>
            </w:pPr>
          </w:p>
        </w:tc>
        <w:tc>
          <w:tcPr>
            <w:tcW w:w="2312" w:type="dxa"/>
            <w:tcBorders>
              <w:top w:val="nil"/>
              <w:bottom w:val="single" w:sz="4" w:space="0" w:color="auto"/>
            </w:tcBorders>
          </w:tcPr>
          <w:p w:rsidR="00000000" w:rsidRDefault="00000000">
            <w:pPr>
              <w:spacing w:after="120"/>
              <w:rPr>
                <w:bCs/>
                <w:sz w:val="20"/>
              </w:rPr>
            </w:pPr>
            <w:r>
              <w:rPr>
                <w:bCs/>
                <w:sz w:val="20"/>
              </w:rPr>
              <w:t>To establish the current level and extent of pollution at the oil field; to identify possible remediation measures and their costs; to propose measures for cleaning up of existing pollution and their costs; to propose an ongoing programme of monitoring; to propose law costs measures to minimize the pollution from the current operations.</w:t>
            </w:r>
          </w:p>
        </w:tc>
      </w:tr>
    </w:tbl>
    <w:p w:rsidR="00000000" w:rsidRDefault="00000000"/>
    <w:tbl>
      <w:tblPr>
        <w:tblW w:w="9370"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594"/>
        <w:gridCol w:w="2072"/>
        <w:gridCol w:w="1401"/>
        <w:gridCol w:w="1800"/>
        <w:gridCol w:w="1191"/>
        <w:gridCol w:w="2312"/>
      </w:tblGrid>
      <w:tr w:rsidR="00000000">
        <w:tblPrEx>
          <w:tblCellMar>
            <w:top w:w="0" w:type="dxa"/>
            <w:bottom w:w="0" w:type="dxa"/>
          </w:tblCellMar>
        </w:tblPrEx>
        <w:trPr>
          <w:cantSplit/>
        </w:trPr>
        <w:tc>
          <w:tcPr>
            <w:tcW w:w="9370" w:type="dxa"/>
            <w:gridSpan w:val="6"/>
            <w:tcBorders>
              <w:top w:val="nil"/>
              <w:left w:val="nil"/>
              <w:bottom w:val="single" w:sz="4" w:space="0" w:color="auto"/>
              <w:right w:val="nil"/>
            </w:tcBorders>
          </w:tcPr>
          <w:p w:rsidR="00000000" w:rsidRDefault="00000000">
            <w:pPr>
              <w:jc w:val="center"/>
              <w:rPr>
                <w:bCs/>
                <w:sz w:val="20"/>
              </w:rPr>
            </w:pPr>
            <w:r>
              <w:br w:type="page"/>
            </w:r>
            <w:r>
              <w:rPr>
                <w:b/>
              </w:rPr>
              <w:t>Table 1 (</w:t>
            </w:r>
            <w:r>
              <w:rPr>
                <w:b/>
                <w:i/>
              </w:rPr>
              <w:t>continued</w:t>
            </w:r>
            <w:r>
              <w:rPr>
                <w:b/>
              </w:rPr>
              <w:t>)</w:t>
            </w:r>
          </w:p>
        </w:tc>
      </w:tr>
      <w:tr w:rsidR="00000000">
        <w:tblPrEx>
          <w:tblCellMar>
            <w:top w:w="0" w:type="dxa"/>
            <w:bottom w:w="0" w:type="dxa"/>
          </w:tblCellMar>
        </w:tblPrEx>
        <w:trPr>
          <w:cantSplit/>
        </w:trPr>
        <w:tc>
          <w:tcPr>
            <w:tcW w:w="594" w:type="dxa"/>
            <w:tcBorders>
              <w:top w:val="single" w:sz="4" w:space="0" w:color="auto"/>
              <w:bottom w:val="single" w:sz="4" w:space="0" w:color="auto"/>
            </w:tcBorders>
          </w:tcPr>
          <w:p w:rsidR="00000000" w:rsidRDefault="00000000">
            <w:pPr>
              <w:spacing w:after="120"/>
              <w:ind w:right="57"/>
              <w:jc w:val="right"/>
              <w:rPr>
                <w:bCs/>
                <w:sz w:val="20"/>
              </w:rPr>
            </w:pPr>
            <w:r>
              <w:rPr>
                <w:bCs/>
                <w:sz w:val="20"/>
              </w:rPr>
              <w:t>No.</w:t>
            </w:r>
          </w:p>
        </w:tc>
        <w:tc>
          <w:tcPr>
            <w:tcW w:w="2072" w:type="dxa"/>
            <w:tcBorders>
              <w:top w:val="single" w:sz="4" w:space="0" w:color="auto"/>
              <w:bottom w:val="single" w:sz="4" w:space="0" w:color="auto"/>
            </w:tcBorders>
          </w:tcPr>
          <w:p w:rsidR="00000000" w:rsidRDefault="00000000">
            <w:pPr>
              <w:spacing w:after="120"/>
              <w:jc w:val="center"/>
              <w:rPr>
                <w:bCs/>
                <w:sz w:val="20"/>
              </w:rPr>
            </w:pPr>
            <w:r>
              <w:rPr>
                <w:bCs/>
                <w:sz w:val="20"/>
              </w:rPr>
              <w:t>Project</w:t>
            </w:r>
          </w:p>
        </w:tc>
        <w:tc>
          <w:tcPr>
            <w:tcW w:w="1401" w:type="dxa"/>
            <w:tcBorders>
              <w:top w:val="single" w:sz="4" w:space="0" w:color="auto"/>
              <w:bottom w:val="single" w:sz="4" w:space="0" w:color="auto"/>
            </w:tcBorders>
          </w:tcPr>
          <w:p w:rsidR="00000000" w:rsidRDefault="00000000">
            <w:pPr>
              <w:spacing w:after="120"/>
              <w:rPr>
                <w:bCs/>
                <w:sz w:val="20"/>
              </w:rPr>
            </w:pPr>
            <w:r>
              <w:rPr>
                <w:bCs/>
                <w:sz w:val="20"/>
              </w:rPr>
              <w:t xml:space="preserve">   Financial </w:t>
            </w:r>
            <w:r>
              <w:rPr>
                <w:bCs/>
                <w:sz w:val="20"/>
              </w:rPr>
              <w:br/>
              <w:t xml:space="preserve">   institution</w:t>
            </w:r>
          </w:p>
        </w:tc>
        <w:tc>
          <w:tcPr>
            <w:tcW w:w="1800" w:type="dxa"/>
            <w:tcBorders>
              <w:top w:val="single" w:sz="4" w:space="0" w:color="auto"/>
              <w:bottom w:val="single" w:sz="4" w:space="0" w:color="auto"/>
            </w:tcBorders>
          </w:tcPr>
          <w:p w:rsidR="00000000" w:rsidRDefault="00000000">
            <w:pPr>
              <w:spacing w:after="120"/>
              <w:jc w:val="center"/>
              <w:rPr>
                <w:bCs/>
                <w:sz w:val="20"/>
              </w:rPr>
            </w:pPr>
            <w:r>
              <w:rPr>
                <w:bCs/>
                <w:sz w:val="20"/>
              </w:rPr>
              <w:t>Project state/</w:t>
            </w:r>
            <w:r>
              <w:rPr>
                <w:bCs/>
                <w:sz w:val="20"/>
              </w:rPr>
              <w:br/>
              <w:t>duration</w:t>
            </w:r>
          </w:p>
        </w:tc>
        <w:tc>
          <w:tcPr>
            <w:tcW w:w="1191" w:type="dxa"/>
            <w:tcBorders>
              <w:top w:val="single" w:sz="4" w:space="0" w:color="auto"/>
              <w:bottom w:val="single" w:sz="4" w:space="0" w:color="auto"/>
            </w:tcBorders>
          </w:tcPr>
          <w:p w:rsidR="00000000" w:rsidRDefault="00000000">
            <w:pPr>
              <w:spacing w:after="120"/>
              <w:jc w:val="center"/>
              <w:rPr>
                <w:bCs/>
                <w:sz w:val="20"/>
              </w:rPr>
            </w:pPr>
            <w:r>
              <w:rPr>
                <w:bCs/>
                <w:sz w:val="20"/>
              </w:rPr>
              <w:t>Budget</w:t>
            </w:r>
          </w:p>
        </w:tc>
        <w:tc>
          <w:tcPr>
            <w:tcW w:w="2312" w:type="dxa"/>
            <w:tcBorders>
              <w:top w:val="single" w:sz="4" w:space="0" w:color="auto"/>
              <w:bottom w:val="single" w:sz="4" w:space="0" w:color="auto"/>
            </w:tcBorders>
          </w:tcPr>
          <w:p w:rsidR="00000000" w:rsidRDefault="00000000">
            <w:pPr>
              <w:spacing w:after="120"/>
              <w:jc w:val="center"/>
              <w:rPr>
                <w:bCs/>
                <w:sz w:val="20"/>
              </w:rPr>
            </w:pPr>
            <w:r>
              <w:rPr>
                <w:bCs/>
                <w:sz w:val="20"/>
              </w:rPr>
              <w:t>Objective</w:t>
            </w:r>
          </w:p>
        </w:tc>
      </w:tr>
      <w:tr w:rsidR="00000000">
        <w:tblPrEx>
          <w:tblCellMar>
            <w:top w:w="0" w:type="dxa"/>
            <w:bottom w:w="0" w:type="dxa"/>
          </w:tblCellMar>
        </w:tblPrEx>
        <w:trPr>
          <w:cantSplit/>
        </w:trPr>
        <w:tc>
          <w:tcPr>
            <w:tcW w:w="594" w:type="dxa"/>
            <w:tcBorders>
              <w:top w:val="single" w:sz="4" w:space="0" w:color="auto"/>
              <w:bottom w:val="nil"/>
            </w:tcBorders>
          </w:tcPr>
          <w:p w:rsidR="00000000" w:rsidRDefault="00000000">
            <w:pPr>
              <w:spacing w:after="120"/>
              <w:ind w:right="57"/>
              <w:jc w:val="right"/>
              <w:rPr>
                <w:bCs/>
                <w:sz w:val="20"/>
              </w:rPr>
            </w:pPr>
            <w:r>
              <w:rPr>
                <w:bCs/>
                <w:sz w:val="20"/>
              </w:rPr>
              <w:t>12.</w:t>
            </w:r>
          </w:p>
        </w:tc>
        <w:tc>
          <w:tcPr>
            <w:tcW w:w="2072" w:type="dxa"/>
            <w:tcBorders>
              <w:top w:val="single" w:sz="4" w:space="0" w:color="auto"/>
              <w:bottom w:val="nil"/>
            </w:tcBorders>
          </w:tcPr>
          <w:p w:rsidR="00000000" w:rsidRDefault="00000000">
            <w:pPr>
              <w:spacing w:after="120"/>
              <w:rPr>
                <w:bCs/>
                <w:sz w:val="20"/>
              </w:rPr>
            </w:pPr>
            <w:r>
              <w:rPr>
                <w:bCs/>
                <w:sz w:val="20"/>
              </w:rPr>
              <w:t>Development of a comprehensive method for impact assessment of smaller uranium liabilities and its application on the radiological effects created during uranium exploration in Albania.</w:t>
            </w:r>
          </w:p>
        </w:tc>
        <w:tc>
          <w:tcPr>
            <w:tcW w:w="1401" w:type="dxa"/>
            <w:tcBorders>
              <w:top w:val="single" w:sz="4" w:space="0" w:color="auto"/>
              <w:bottom w:val="nil"/>
            </w:tcBorders>
          </w:tcPr>
          <w:p w:rsidR="00000000" w:rsidRDefault="00000000">
            <w:pPr>
              <w:spacing w:after="120"/>
              <w:rPr>
                <w:bCs/>
                <w:sz w:val="20"/>
              </w:rPr>
            </w:pPr>
            <w:r>
              <w:rPr>
                <w:bCs/>
                <w:sz w:val="20"/>
              </w:rPr>
              <w:t>Phare Multi</w:t>
            </w:r>
            <w:r>
              <w:rPr>
                <w:bCs/>
                <w:sz w:val="20"/>
              </w:rPr>
              <w:noBreakHyphen/>
              <w:t>country Programme</w:t>
            </w:r>
          </w:p>
        </w:tc>
        <w:tc>
          <w:tcPr>
            <w:tcW w:w="1800" w:type="dxa"/>
            <w:tcBorders>
              <w:top w:val="single" w:sz="4" w:space="0" w:color="auto"/>
              <w:bottom w:val="nil"/>
            </w:tcBorders>
          </w:tcPr>
          <w:p w:rsidR="00000000" w:rsidRDefault="00000000">
            <w:pPr>
              <w:spacing w:after="120"/>
              <w:rPr>
                <w:bCs/>
                <w:sz w:val="20"/>
              </w:rPr>
            </w:pPr>
            <w:r>
              <w:rPr>
                <w:bCs/>
                <w:sz w:val="20"/>
              </w:rPr>
              <w:t>December 1999</w:t>
            </w:r>
            <w:r>
              <w:rPr>
                <w:bCs/>
                <w:sz w:val="20"/>
              </w:rPr>
              <w:br/>
              <w:t>16 months</w:t>
            </w:r>
          </w:p>
        </w:tc>
        <w:tc>
          <w:tcPr>
            <w:tcW w:w="1191" w:type="dxa"/>
            <w:tcBorders>
              <w:top w:val="single" w:sz="4" w:space="0" w:color="auto"/>
              <w:bottom w:val="nil"/>
            </w:tcBorders>
          </w:tcPr>
          <w:p w:rsidR="00000000" w:rsidRDefault="00000000">
            <w:pPr>
              <w:spacing w:after="120"/>
              <w:rPr>
                <w:bCs/>
                <w:sz w:val="20"/>
              </w:rPr>
            </w:pPr>
            <w:r>
              <w:rPr>
                <w:bCs/>
                <w:sz w:val="20"/>
              </w:rPr>
              <w:t>ECU 125 000</w:t>
            </w:r>
          </w:p>
        </w:tc>
        <w:tc>
          <w:tcPr>
            <w:tcW w:w="2312" w:type="dxa"/>
            <w:tcBorders>
              <w:top w:val="single" w:sz="4" w:space="0" w:color="auto"/>
              <w:bottom w:val="nil"/>
            </w:tcBorders>
          </w:tcPr>
          <w:p w:rsidR="00000000" w:rsidRDefault="00000000">
            <w:pPr>
              <w:spacing w:after="120"/>
              <w:rPr>
                <w:bCs/>
                <w:sz w:val="20"/>
              </w:rPr>
            </w:pPr>
            <w:r>
              <w:rPr>
                <w:bCs/>
                <w:sz w:val="20"/>
              </w:rPr>
              <w:t>Development of a comprehensive method and systematic method for assessment of the impact of smaller uranium liabilities in CEEC on public health and the environment.  Field application of this comprehensive method to assess the impact of the uranium liabilities in Albania.</w:t>
            </w:r>
          </w:p>
        </w:tc>
      </w:tr>
      <w:tr w:rsidR="00000000">
        <w:tblPrEx>
          <w:tblCellMar>
            <w:top w:w="0" w:type="dxa"/>
            <w:bottom w:w="0" w:type="dxa"/>
          </w:tblCellMar>
        </w:tblPrEx>
        <w:trPr>
          <w:cantSplit/>
        </w:trPr>
        <w:tc>
          <w:tcPr>
            <w:tcW w:w="594" w:type="dxa"/>
            <w:tcBorders>
              <w:top w:val="nil"/>
            </w:tcBorders>
          </w:tcPr>
          <w:p w:rsidR="00000000" w:rsidRDefault="00000000">
            <w:pPr>
              <w:spacing w:after="120"/>
              <w:ind w:right="57"/>
              <w:jc w:val="right"/>
              <w:rPr>
                <w:bCs/>
                <w:sz w:val="20"/>
              </w:rPr>
            </w:pPr>
            <w:r>
              <w:rPr>
                <w:bCs/>
                <w:sz w:val="20"/>
              </w:rPr>
              <w:t>13.</w:t>
            </w:r>
          </w:p>
        </w:tc>
        <w:tc>
          <w:tcPr>
            <w:tcW w:w="2072" w:type="dxa"/>
            <w:tcBorders>
              <w:top w:val="nil"/>
            </w:tcBorders>
          </w:tcPr>
          <w:p w:rsidR="00000000" w:rsidRDefault="00000000">
            <w:pPr>
              <w:spacing w:after="120"/>
              <w:rPr>
                <w:bCs/>
                <w:sz w:val="20"/>
              </w:rPr>
            </w:pPr>
            <w:r>
              <w:rPr>
                <w:bCs/>
                <w:sz w:val="20"/>
              </w:rPr>
              <w:t>Equipment for scientific research institutions and chemicals for laboratory analysis.</w:t>
            </w:r>
          </w:p>
        </w:tc>
        <w:tc>
          <w:tcPr>
            <w:tcW w:w="1401" w:type="dxa"/>
            <w:tcBorders>
              <w:top w:val="nil"/>
            </w:tcBorders>
          </w:tcPr>
          <w:p w:rsidR="00000000" w:rsidRDefault="00000000">
            <w:pPr>
              <w:spacing w:after="120"/>
              <w:rPr>
                <w:bCs/>
                <w:sz w:val="20"/>
              </w:rPr>
            </w:pPr>
            <w:r>
              <w:rPr>
                <w:bCs/>
                <w:sz w:val="20"/>
              </w:rPr>
              <w:t>MED</w:t>
            </w:r>
            <w:r>
              <w:rPr>
                <w:bCs/>
                <w:sz w:val="20"/>
              </w:rPr>
              <w:noBreakHyphen/>
              <w:t>POL/UNEP</w:t>
            </w:r>
          </w:p>
        </w:tc>
        <w:tc>
          <w:tcPr>
            <w:tcW w:w="1800" w:type="dxa"/>
            <w:tcBorders>
              <w:top w:val="nil"/>
            </w:tcBorders>
          </w:tcPr>
          <w:p w:rsidR="00000000" w:rsidRDefault="00000000">
            <w:pPr>
              <w:spacing w:after="120"/>
              <w:rPr>
                <w:bCs/>
                <w:sz w:val="20"/>
              </w:rPr>
            </w:pPr>
            <w:r>
              <w:rPr>
                <w:bCs/>
                <w:sz w:val="20"/>
              </w:rPr>
              <w:t>Finished</w:t>
            </w:r>
          </w:p>
        </w:tc>
        <w:tc>
          <w:tcPr>
            <w:tcW w:w="1191" w:type="dxa"/>
            <w:tcBorders>
              <w:top w:val="nil"/>
            </w:tcBorders>
          </w:tcPr>
          <w:p w:rsidR="00000000" w:rsidRDefault="00000000">
            <w:pPr>
              <w:spacing w:after="120"/>
              <w:rPr>
                <w:bCs/>
                <w:sz w:val="20"/>
              </w:rPr>
            </w:pPr>
            <w:r>
              <w:rPr>
                <w:bCs/>
                <w:sz w:val="20"/>
              </w:rPr>
              <w:t>$40 000</w:t>
            </w:r>
          </w:p>
        </w:tc>
        <w:tc>
          <w:tcPr>
            <w:tcW w:w="2312" w:type="dxa"/>
            <w:tcBorders>
              <w:top w:val="nil"/>
            </w:tcBorders>
          </w:tcPr>
          <w:p w:rsidR="00000000" w:rsidRDefault="00000000">
            <w:pPr>
              <w:spacing w:after="120"/>
              <w:rPr>
                <w:bCs/>
                <w:sz w:val="20"/>
              </w:rPr>
            </w:pPr>
            <w:r>
              <w:rPr>
                <w:bCs/>
                <w:sz w:val="20"/>
              </w:rPr>
              <w:t>“Equipment for Scientific Research Institutions and Chemicals for Laboratory Analysis” in the framework of the Programme for Monitoring of the Mediterranean Marine Coast Waters (Hydrometeorology Institute, Analytical/</w:t>
            </w:r>
            <w:r>
              <w:rPr>
                <w:bCs/>
                <w:sz w:val="20"/>
              </w:rPr>
              <w:br/>
              <w:t>Organic Chemical Dept., Faculty of Natural Science).</w:t>
            </w:r>
          </w:p>
        </w:tc>
      </w:tr>
      <w:tr w:rsidR="00000000">
        <w:tblPrEx>
          <w:tblCellMar>
            <w:top w:w="0" w:type="dxa"/>
            <w:bottom w:w="0" w:type="dxa"/>
          </w:tblCellMar>
        </w:tblPrEx>
        <w:trPr>
          <w:cantSplit/>
        </w:trPr>
        <w:tc>
          <w:tcPr>
            <w:tcW w:w="594" w:type="dxa"/>
            <w:tcBorders>
              <w:bottom w:val="nil"/>
            </w:tcBorders>
          </w:tcPr>
          <w:p w:rsidR="00000000" w:rsidRDefault="00000000">
            <w:pPr>
              <w:spacing w:after="120"/>
              <w:ind w:right="57"/>
              <w:jc w:val="right"/>
              <w:rPr>
                <w:bCs/>
                <w:sz w:val="20"/>
              </w:rPr>
            </w:pPr>
            <w:r>
              <w:rPr>
                <w:bCs/>
                <w:sz w:val="20"/>
              </w:rPr>
              <w:t>14.</w:t>
            </w:r>
          </w:p>
        </w:tc>
        <w:tc>
          <w:tcPr>
            <w:tcW w:w="2072" w:type="dxa"/>
            <w:tcBorders>
              <w:bottom w:val="nil"/>
            </w:tcBorders>
          </w:tcPr>
          <w:p w:rsidR="00000000" w:rsidRDefault="00000000">
            <w:pPr>
              <w:spacing w:after="120"/>
              <w:rPr>
                <w:bCs/>
                <w:sz w:val="20"/>
              </w:rPr>
            </w:pPr>
            <w:r>
              <w:rPr>
                <w:bCs/>
                <w:sz w:val="20"/>
              </w:rPr>
              <w:t>Organization of the urban waste management in six main Albanian municipalities:  a model applicable to towns of other developing countries.</w:t>
            </w:r>
          </w:p>
        </w:tc>
        <w:tc>
          <w:tcPr>
            <w:tcW w:w="1401" w:type="dxa"/>
            <w:tcBorders>
              <w:bottom w:val="nil"/>
            </w:tcBorders>
          </w:tcPr>
          <w:p w:rsidR="00000000" w:rsidRDefault="00000000">
            <w:pPr>
              <w:spacing w:after="120"/>
              <w:rPr>
                <w:bCs/>
                <w:sz w:val="20"/>
              </w:rPr>
            </w:pPr>
            <w:r>
              <w:rPr>
                <w:bCs/>
                <w:sz w:val="20"/>
              </w:rPr>
              <w:t>LIFE 96</w:t>
            </w:r>
          </w:p>
        </w:tc>
        <w:tc>
          <w:tcPr>
            <w:tcW w:w="1800" w:type="dxa"/>
            <w:tcBorders>
              <w:bottom w:val="nil"/>
            </w:tcBorders>
          </w:tcPr>
          <w:p w:rsidR="00000000" w:rsidRDefault="00000000">
            <w:pPr>
              <w:spacing w:after="120"/>
              <w:rPr>
                <w:bCs/>
                <w:sz w:val="20"/>
              </w:rPr>
            </w:pPr>
            <w:r>
              <w:rPr>
                <w:bCs/>
                <w:sz w:val="20"/>
              </w:rPr>
              <w:t>Finished in 1999</w:t>
            </w:r>
          </w:p>
        </w:tc>
        <w:tc>
          <w:tcPr>
            <w:tcW w:w="1191" w:type="dxa"/>
            <w:tcBorders>
              <w:bottom w:val="nil"/>
            </w:tcBorders>
          </w:tcPr>
          <w:p w:rsidR="00000000" w:rsidRDefault="00000000">
            <w:pPr>
              <w:spacing w:after="120"/>
              <w:rPr>
                <w:bCs/>
                <w:sz w:val="20"/>
              </w:rPr>
            </w:pPr>
            <w:r>
              <w:rPr>
                <w:bCs/>
                <w:sz w:val="20"/>
              </w:rPr>
              <w:t>ECU 591 000</w:t>
            </w:r>
          </w:p>
        </w:tc>
        <w:tc>
          <w:tcPr>
            <w:tcW w:w="2312" w:type="dxa"/>
            <w:tcBorders>
              <w:bottom w:val="nil"/>
            </w:tcBorders>
          </w:tcPr>
          <w:p w:rsidR="00000000" w:rsidRDefault="00000000">
            <w:pPr>
              <w:spacing w:after="120"/>
              <w:rPr>
                <w:bCs/>
                <w:sz w:val="20"/>
              </w:rPr>
            </w:pPr>
            <w:r>
              <w:rPr>
                <w:bCs/>
                <w:sz w:val="20"/>
              </w:rPr>
              <w:t xml:space="preserve">The goal implementation </w:t>
            </w:r>
            <w:r>
              <w:rPr>
                <w:bCs/>
                <w:sz w:val="20"/>
              </w:rPr>
              <w:noBreakHyphen/>
              <w:t xml:space="preserve"> project involving landfills of six Albanian municipalities.</w:t>
            </w:r>
          </w:p>
        </w:tc>
      </w:tr>
      <w:tr w:rsidR="00000000">
        <w:tblPrEx>
          <w:tblCellMar>
            <w:top w:w="0" w:type="dxa"/>
            <w:bottom w:w="0" w:type="dxa"/>
          </w:tblCellMar>
        </w:tblPrEx>
        <w:trPr>
          <w:cantSplit/>
        </w:trPr>
        <w:tc>
          <w:tcPr>
            <w:tcW w:w="594" w:type="dxa"/>
            <w:tcBorders>
              <w:top w:val="nil"/>
              <w:bottom w:val="single" w:sz="4" w:space="0" w:color="auto"/>
            </w:tcBorders>
          </w:tcPr>
          <w:p w:rsidR="00000000" w:rsidRDefault="00000000">
            <w:pPr>
              <w:spacing w:after="120"/>
              <w:ind w:right="57"/>
              <w:jc w:val="right"/>
              <w:rPr>
                <w:bCs/>
                <w:sz w:val="20"/>
              </w:rPr>
            </w:pPr>
            <w:r>
              <w:rPr>
                <w:bCs/>
                <w:sz w:val="20"/>
              </w:rPr>
              <w:t>15.</w:t>
            </w:r>
          </w:p>
        </w:tc>
        <w:tc>
          <w:tcPr>
            <w:tcW w:w="2072" w:type="dxa"/>
            <w:tcBorders>
              <w:top w:val="nil"/>
              <w:bottom w:val="single" w:sz="4" w:space="0" w:color="auto"/>
            </w:tcBorders>
          </w:tcPr>
          <w:p w:rsidR="00000000" w:rsidRDefault="00000000">
            <w:pPr>
              <w:spacing w:after="120"/>
              <w:rPr>
                <w:bCs/>
                <w:sz w:val="20"/>
              </w:rPr>
            </w:pPr>
            <w:r>
              <w:rPr>
                <w:bCs/>
                <w:sz w:val="20"/>
              </w:rPr>
              <w:t>Conservation</w:t>
            </w:r>
            <w:r>
              <w:rPr>
                <w:bCs/>
                <w:sz w:val="20"/>
              </w:rPr>
              <w:noBreakHyphen/>
              <w:t>wise use of Mediterranean wetlands (extension to non</w:t>
            </w:r>
            <w:r>
              <w:rPr>
                <w:bCs/>
                <w:sz w:val="20"/>
              </w:rPr>
              <w:noBreakHyphen/>
              <w:t>European Union States under the European Commission’s LIFE Programme).</w:t>
            </w:r>
          </w:p>
        </w:tc>
        <w:tc>
          <w:tcPr>
            <w:tcW w:w="1401" w:type="dxa"/>
            <w:tcBorders>
              <w:top w:val="nil"/>
              <w:bottom w:val="single" w:sz="4" w:space="0" w:color="auto"/>
            </w:tcBorders>
          </w:tcPr>
          <w:p w:rsidR="00000000" w:rsidRDefault="00000000">
            <w:pPr>
              <w:spacing w:after="120"/>
              <w:rPr>
                <w:bCs/>
                <w:sz w:val="20"/>
              </w:rPr>
            </w:pPr>
            <w:r>
              <w:rPr>
                <w:bCs/>
                <w:sz w:val="20"/>
              </w:rPr>
              <w:t>LIFE/ MEDWET 2</w:t>
            </w:r>
          </w:p>
        </w:tc>
        <w:tc>
          <w:tcPr>
            <w:tcW w:w="1800" w:type="dxa"/>
            <w:tcBorders>
              <w:top w:val="nil"/>
              <w:bottom w:val="single" w:sz="4" w:space="0" w:color="auto"/>
            </w:tcBorders>
          </w:tcPr>
          <w:p w:rsidR="00000000" w:rsidRDefault="00000000">
            <w:pPr>
              <w:spacing w:after="120"/>
              <w:rPr>
                <w:bCs/>
                <w:sz w:val="20"/>
              </w:rPr>
            </w:pPr>
            <w:r>
              <w:rPr>
                <w:bCs/>
                <w:sz w:val="20"/>
              </w:rPr>
              <w:t>Finished in 1998</w:t>
            </w:r>
          </w:p>
        </w:tc>
        <w:tc>
          <w:tcPr>
            <w:tcW w:w="1191" w:type="dxa"/>
            <w:tcBorders>
              <w:top w:val="nil"/>
              <w:bottom w:val="single" w:sz="4" w:space="0" w:color="auto"/>
            </w:tcBorders>
          </w:tcPr>
          <w:p w:rsidR="00000000" w:rsidRDefault="00000000">
            <w:pPr>
              <w:spacing w:after="120"/>
              <w:rPr>
                <w:bCs/>
                <w:sz w:val="20"/>
              </w:rPr>
            </w:pPr>
          </w:p>
        </w:tc>
        <w:tc>
          <w:tcPr>
            <w:tcW w:w="2312" w:type="dxa"/>
            <w:tcBorders>
              <w:top w:val="nil"/>
              <w:bottom w:val="single" w:sz="4" w:space="0" w:color="auto"/>
            </w:tcBorders>
          </w:tcPr>
          <w:p w:rsidR="00000000" w:rsidRDefault="00000000">
            <w:pPr>
              <w:spacing w:after="120"/>
              <w:rPr>
                <w:bCs/>
                <w:sz w:val="20"/>
              </w:rPr>
            </w:pPr>
            <w:r>
              <w:rPr>
                <w:bCs/>
                <w:sz w:val="20"/>
              </w:rPr>
              <w:t>To study the environmental, economic and social situation of the </w:t>
            </w:r>
            <w:proofErr w:type="spellStart"/>
            <w:r>
              <w:rPr>
                <w:bCs/>
                <w:sz w:val="20"/>
              </w:rPr>
              <w:t>Kune</w:t>
            </w:r>
            <w:r>
              <w:rPr>
                <w:bCs/>
                <w:sz w:val="20"/>
              </w:rPr>
              <w:noBreakHyphen/>
              <w:t>Vaini</w:t>
            </w:r>
            <w:proofErr w:type="spellEnd"/>
            <w:r>
              <w:rPr>
                <w:bCs/>
                <w:sz w:val="20"/>
              </w:rPr>
              <w:t xml:space="preserve"> lagoons, as part of a report about the wetlands of country participants in the project (Albania, Algeria, Morocco, Tunisia) and the establishment of a methodology to study the wetlands.</w:t>
            </w:r>
          </w:p>
        </w:tc>
      </w:tr>
    </w:tbl>
    <w:p w:rsidR="00000000" w:rsidRDefault="00000000"/>
    <w:tbl>
      <w:tblPr>
        <w:tblW w:w="9370"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594"/>
        <w:gridCol w:w="2072"/>
        <w:gridCol w:w="1401"/>
        <w:gridCol w:w="1800"/>
        <w:gridCol w:w="1191"/>
        <w:gridCol w:w="2312"/>
      </w:tblGrid>
      <w:tr w:rsidR="00000000">
        <w:tblPrEx>
          <w:tblCellMar>
            <w:top w:w="0" w:type="dxa"/>
            <w:bottom w:w="0" w:type="dxa"/>
          </w:tblCellMar>
        </w:tblPrEx>
        <w:trPr>
          <w:cantSplit/>
        </w:trPr>
        <w:tc>
          <w:tcPr>
            <w:tcW w:w="9370" w:type="dxa"/>
            <w:gridSpan w:val="6"/>
            <w:tcBorders>
              <w:top w:val="nil"/>
              <w:left w:val="nil"/>
              <w:bottom w:val="single" w:sz="4" w:space="0" w:color="auto"/>
              <w:right w:val="nil"/>
            </w:tcBorders>
          </w:tcPr>
          <w:p w:rsidR="00000000" w:rsidRDefault="00000000">
            <w:pPr>
              <w:jc w:val="center"/>
              <w:rPr>
                <w:bCs/>
                <w:sz w:val="20"/>
              </w:rPr>
            </w:pPr>
            <w:r>
              <w:br w:type="page"/>
            </w:r>
            <w:r>
              <w:rPr>
                <w:b/>
              </w:rPr>
              <w:t>Table 1 (</w:t>
            </w:r>
            <w:r>
              <w:rPr>
                <w:b/>
                <w:i/>
              </w:rPr>
              <w:t>continued</w:t>
            </w:r>
            <w:r>
              <w:rPr>
                <w:b/>
              </w:rPr>
              <w:t>)</w:t>
            </w:r>
          </w:p>
        </w:tc>
      </w:tr>
      <w:tr w:rsidR="00000000">
        <w:tblPrEx>
          <w:tblCellMar>
            <w:top w:w="0" w:type="dxa"/>
            <w:bottom w:w="0" w:type="dxa"/>
          </w:tblCellMar>
        </w:tblPrEx>
        <w:trPr>
          <w:cantSplit/>
        </w:trPr>
        <w:tc>
          <w:tcPr>
            <w:tcW w:w="594" w:type="dxa"/>
            <w:tcBorders>
              <w:top w:val="single" w:sz="4" w:space="0" w:color="auto"/>
              <w:bottom w:val="single" w:sz="4" w:space="0" w:color="auto"/>
            </w:tcBorders>
          </w:tcPr>
          <w:p w:rsidR="00000000" w:rsidRDefault="00000000">
            <w:pPr>
              <w:spacing w:after="120"/>
              <w:ind w:right="57"/>
              <w:jc w:val="right"/>
              <w:rPr>
                <w:bCs/>
                <w:sz w:val="20"/>
              </w:rPr>
            </w:pPr>
            <w:r>
              <w:rPr>
                <w:bCs/>
                <w:sz w:val="20"/>
              </w:rPr>
              <w:t>No.</w:t>
            </w:r>
          </w:p>
        </w:tc>
        <w:tc>
          <w:tcPr>
            <w:tcW w:w="2072" w:type="dxa"/>
            <w:tcBorders>
              <w:top w:val="single" w:sz="4" w:space="0" w:color="auto"/>
              <w:bottom w:val="single" w:sz="4" w:space="0" w:color="auto"/>
            </w:tcBorders>
          </w:tcPr>
          <w:p w:rsidR="00000000" w:rsidRDefault="00000000">
            <w:pPr>
              <w:spacing w:after="120"/>
              <w:jc w:val="center"/>
              <w:rPr>
                <w:bCs/>
                <w:sz w:val="20"/>
              </w:rPr>
            </w:pPr>
            <w:r>
              <w:rPr>
                <w:bCs/>
                <w:sz w:val="20"/>
              </w:rPr>
              <w:t>Project</w:t>
            </w:r>
          </w:p>
        </w:tc>
        <w:tc>
          <w:tcPr>
            <w:tcW w:w="1401" w:type="dxa"/>
            <w:tcBorders>
              <w:top w:val="single" w:sz="4" w:space="0" w:color="auto"/>
              <w:bottom w:val="single" w:sz="4" w:space="0" w:color="auto"/>
            </w:tcBorders>
          </w:tcPr>
          <w:p w:rsidR="00000000" w:rsidRDefault="00000000">
            <w:pPr>
              <w:spacing w:after="120"/>
              <w:rPr>
                <w:bCs/>
                <w:sz w:val="20"/>
              </w:rPr>
            </w:pPr>
            <w:r>
              <w:rPr>
                <w:bCs/>
                <w:sz w:val="20"/>
              </w:rPr>
              <w:t xml:space="preserve">   Financial </w:t>
            </w:r>
            <w:r>
              <w:rPr>
                <w:bCs/>
                <w:sz w:val="20"/>
              </w:rPr>
              <w:br/>
              <w:t xml:space="preserve">   institution</w:t>
            </w:r>
          </w:p>
        </w:tc>
        <w:tc>
          <w:tcPr>
            <w:tcW w:w="1800" w:type="dxa"/>
            <w:tcBorders>
              <w:top w:val="single" w:sz="4" w:space="0" w:color="auto"/>
              <w:bottom w:val="single" w:sz="4" w:space="0" w:color="auto"/>
            </w:tcBorders>
          </w:tcPr>
          <w:p w:rsidR="00000000" w:rsidRDefault="00000000">
            <w:pPr>
              <w:spacing w:after="120"/>
              <w:jc w:val="center"/>
              <w:rPr>
                <w:bCs/>
                <w:sz w:val="20"/>
              </w:rPr>
            </w:pPr>
            <w:r>
              <w:rPr>
                <w:bCs/>
                <w:sz w:val="20"/>
              </w:rPr>
              <w:t>Project state/</w:t>
            </w:r>
            <w:r>
              <w:rPr>
                <w:bCs/>
                <w:sz w:val="20"/>
              </w:rPr>
              <w:br/>
              <w:t>duration</w:t>
            </w:r>
          </w:p>
        </w:tc>
        <w:tc>
          <w:tcPr>
            <w:tcW w:w="1191" w:type="dxa"/>
            <w:tcBorders>
              <w:top w:val="single" w:sz="4" w:space="0" w:color="auto"/>
              <w:bottom w:val="single" w:sz="4" w:space="0" w:color="auto"/>
            </w:tcBorders>
          </w:tcPr>
          <w:p w:rsidR="00000000" w:rsidRDefault="00000000">
            <w:pPr>
              <w:spacing w:after="120"/>
              <w:jc w:val="center"/>
              <w:rPr>
                <w:bCs/>
                <w:sz w:val="20"/>
              </w:rPr>
            </w:pPr>
            <w:r>
              <w:rPr>
                <w:bCs/>
                <w:sz w:val="20"/>
              </w:rPr>
              <w:t>Budget</w:t>
            </w:r>
          </w:p>
        </w:tc>
        <w:tc>
          <w:tcPr>
            <w:tcW w:w="2312" w:type="dxa"/>
            <w:tcBorders>
              <w:top w:val="single" w:sz="4" w:space="0" w:color="auto"/>
              <w:bottom w:val="single" w:sz="4" w:space="0" w:color="auto"/>
            </w:tcBorders>
          </w:tcPr>
          <w:p w:rsidR="00000000" w:rsidRDefault="00000000">
            <w:pPr>
              <w:spacing w:after="120"/>
              <w:jc w:val="center"/>
              <w:rPr>
                <w:bCs/>
                <w:sz w:val="20"/>
              </w:rPr>
            </w:pPr>
            <w:r>
              <w:rPr>
                <w:bCs/>
                <w:sz w:val="20"/>
              </w:rPr>
              <w:t>Objective</w:t>
            </w:r>
          </w:p>
        </w:tc>
      </w:tr>
      <w:tr w:rsidR="00000000">
        <w:tblPrEx>
          <w:tblCellMar>
            <w:top w:w="0" w:type="dxa"/>
            <w:bottom w:w="0" w:type="dxa"/>
          </w:tblCellMar>
        </w:tblPrEx>
        <w:trPr>
          <w:cantSplit/>
        </w:trPr>
        <w:tc>
          <w:tcPr>
            <w:tcW w:w="594" w:type="dxa"/>
            <w:tcBorders>
              <w:top w:val="single" w:sz="4" w:space="0" w:color="auto"/>
            </w:tcBorders>
          </w:tcPr>
          <w:p w:rsidR="00000000" w:rsidRDefault="00000000">
            <w:pPr>
              <w:spacing w:after="120"/>
              <w:ind w:right="57"/>
              <w:jc w:val="right"/>
              <w:rPr>
                <w:bCs/>
                <w:sz w:val="20"/>
              </w:rPr>
            </w:pPr>
            <w:r>
              <w:rPr>
                <w:bCs/>
                <w:sz w:val="20"/>
              </w:rPr>
              <w:t>16.</w:t>
            </w:r>
          </w:p>
        </w:tc>
        <w:tc>
          <w:tcPr>
            <w:tcW w:w="2072" w:type="dxa"/>
            <w:tcBorders>
              <w:top w:val="single" w:sz="4" w:space="0" w:color="auto"/>
            </w:tcBorders>
          </w:tcPr>
          <w:p w:rsidR="00000000" w:rsidRDefault="00000000">
            <w:pPr>
              <w:spacing w:after="120"/>
              <w:rPr>
                <w:bCs/>
                <w:sz w:val="20"/>
              </w:rPr>
            </w:pPr>
            <w:r>
              <w:rPr>
                <w:bCs/>
                <w:sz w:val="20"/>
              </w:rPr>
              <w:t>The Strategy and Action Plan for Biodiversity Protection in Albania.</w:t>
            </w:r>
          </w:p>
        </w:tc>
        <w:tc>
          <w:tcPr>
            <w:tcW w:w="1401" w:type="dxa"/>
            <w:tcBorders>
              <w:top w:val="single" w:sz="4" w:space="0" w:color="auto"/>
            </w:tcBorders>
          </w:tcPr>
          <w:p w:rsidR="00000000" w:rsidRDefault="00000000">
            <w:pPr>
              <w:spacing w:after="120"/>
              <w:rPr>
                <w:bCs/>
                <w:sz w:val="20"/>
              </w:rPr>
            </w:pPr>
            <w:r>
              <w:rPr>
                <w:bCs/>
                <w:sz w:val="20"/>
              </w:rPr>
              <w:t>GEF/WB</w:t>
            </w:r>
          </w:p>
        </w:tc>
        <w:tc>
          <w:tcPr>
            <w:tcW w:w="1800" w:type="dxa"/>
            <w:tcBorders>
              <w:top w:val="single" w:sz="4" w:space="0" w:color="auto"/>
            </w:tcBorders>
          </w:tcPr>
          <w:p w:rsidR="00000000" w:rsidRDefault="00000000">
            <w:pPr>
              <w:spacing w:after="120"/>
              <w:rPr>
                <w:bCs/>
                <w:sz w:val="20"/>
              </w:rPr>
            </w:pPr>
            <w:r>
              <w:rPr>
                <w:bCs/>
                <w:sz w:val="20"/>
              </w:rPr>
              <w:t>Finished in 1999</w:t>
            </w:r>
          </w:p>
        </w:tc>
        <w:tc>
          <w:tcPr>
            <w:tcW w:w="1191" w:type="dxa"/>
            <w:tcBorders>
              <w:top w:val="single" w:sz="4" w:space="0" w:color="auto"/>
            </w:tcBorders>
          </w:tcPr>
          <w:p w:rsidR="00000000" w:rsidRDefault="00000000">
            <w:pPr>
              <w:spacing w:after="120"/>
              <w:rPr>
                <w:bCs/>
                <w:sz w:val="20"/>
              </w:rPr>
            </w:pPr>
            <w:r>
              <w:rPr>
                <w:bCs/>
                <w:sz w:val="20"/>
              </w:rPr>
              <w:t>$96 000</w:t>
            </w:r>
          </w:p>
        </w:tc>
        <w:tc>
          <w:tcPr>
            <w:tcW w:w="2312" w:type="dxa"/>
            <w:tcBorders>
              <w:top w:val="single" w:sz="4" w:space="0" w:color="auto"/>
            </w:tcBorders>
          </w:tcPr>
          <w:p w:rsidR="00000000" w:rsidRDefault="00000000">
            <w:pPr>
              <w:spacing w:after="120"/>
              <w:rPr>
                <w:bCs/>
                <w:sz w:val="20"/>
              </w:rPr>
            </w:pPr>
            <w:r>
              <w:rPr>
                <w:bCs/>
                <w:sz w:val="20"/>
              </w:rPr>
              <w:t>To prepare the Strategy for Biodiversity - the Action Plan and National Report.</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17.</w:t>
            </w:r>
          </w:p>
        </w:tc>
        <w:tc>
          <w:tcPr>
            <w:tcW w:w="2072" w:type="dxa"/>
          </w:tcPr>
          <w:p w:rsidR="00000000" w:rsidRDefault="00000000">
            <w:pPr>
              <w:spacing w:after="120"/>
              <w:rPr>
                <w:bCs/>
                <w:sz w:val="20"/>
              </w:rPr>
            </w:pPr>
            <w:r>
              <w:rPr>
                <w:bCs/>
                <w:sz w:val="20"/>
              </w:rPr>
              <w:t>Lake Ohrid Conservation Project.</w:t>
            </w:r>
          </w:p>
        </w:tc>
        <w:tc>
          <w:tcPr>
            <w:tcW w:w="1401" w:type="dxa"/>
          </w:tcPr>
          <w:p w:rsidR="00000000" w:rsidRDefault="00000000">
            <w:pPr>
              <w:spacing w:after="120"/>
              <w:rPr>
                <w:bCs/>
                <w:sz w:val="20"/>
              </w:rPr>
            </w:pPr>
            <w:r>
              <w:rPr>
                <w:bCs/>
                <w:sz w:val="20"/>
              </w:rPr>
              <w:t>GEF/BB</w:t>
            </w:r>
          </w:p>
        </w:tc>
        <w:tc>
          <w:tcPr>
            <w:tcW w:w="1800" w:type="dxa"/>
          </w:tcPr>
          <w:p w:rsidR="00000000" w:rsidRDefault="00000000">
            <w:pPr>
              <w:spacing w:after="120"/>
              <w:rPr>
                <w:bCs/>
                <w:sz w:val="20"/>
              </w:rPr>
            </w:pPr>
            <w:r>
              <w:rPr>
                <w:bCs/>
                <w:sz w:val="20"/>
              </w:rPr>
              <w:t>1998</w:t>
            </w:r>
            <w:r>
              <w:rPr>
                <w:bCs/>
                <w:sz w:val="20"/>
              </w:rPr>
              <w:noBreakHyphen/>
              <w:t>2002</w:t>
            </w:r>
          </w:p>
        </w:tc>
        <w:tc>
          <w:tcPr>
            <w:tcW w:w="1191" w:type="dxa"/>
          </w:tcPr>
          <w:p w:rsidR="00000000" w:rsidRDefault="00000000">
            <w:pPr>
              <w:spacing w:after="120"/>
              <w:rPr>
                <w:bCs/>
                <w:sz w:val="20"/>
              </w:rPr>
            </w:pPr>
            <w:r>
              <w:rPr>
                <w:bCs/>
                <w:sz w:val="20"/>
              </w:rPr>
              <w:t>$1 780 000 for Albania</w:t>
            </w:r>
          </w:p>
        </w:tc>
        <w:tc>
          <w:tcPr>
            <w:tcW w:w="2312" w:type="dxa"/>
          </w:tcPr>
          <w:p w:rsidR="00000000" w:rsidRDefault="00000000">
            <w:pPr>
              <w:spacing w:after="120"/>
              <w:rPr>
                <w:bCs/>
                <w:sz w:val="20"/>
              </w:rPr>
            </w:pPr>
            <w:r>
              <w:rPr>
                <w:bCs/>
                <w:sz w:val="20"/>
              </w:rPr>
              <w:t>The conservation of natural value and the biodiversity of Ohrid Lake and collaboration between Albania and FYROM for a joint effective management of the watershed.</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18.</w:t>
            </w:r>
          </w:p>
        </w:tc>
        <w:tc>
          <w:tcPr>
            <w:tcW w:w="2072" w:type="dxa"/>
          </w:tcPr>
          <w:p w:rsidR="00000000" w:rsidRDefault="00000000">
            <w:pPr>
              <w:spacing w:after="120"/>
              <w:rPr>
                <w:bCs/>
                <w:sz w:val="20"/>
              </w:rPr>
            </w:pPr>
            <w:r>
              <w:rPr>
                <w:bCs/>
                <w:sz w:val="20"/>
              </w:rPr>
              <w:t>Enabling Albania to prepare its First National Communication in response to its commitments to the UNFCCC.</w:t>
            </w:r>
          </w:p>
        </w:tc>
        <w:tc>
          <w:tcPr>
            <w:tcW w:w="1401" w:type="dxa"/>
          </w:tcPr>
          <w:p w:rsidR="00000000" w:rsidRDefault="00000000">
            <w:pPr>
              <w:spacing w:after="120"/>
              <w:rPr>
                <w:bCs/>
                <w:sz w:val="20"/>
              </w:rPr>
            </w:pPr>
            <w:r>
              <w:rPr>
                <w:bCs/>
                <w:sz w:val="20"/>
              </w:rPr>
              <w:t>GEF/PNUD</w:t>
            </w:r>
          </w:p>
        </w:tc>
        <w:tc>
          <w:tcPr>
            <w:tcW w:w="1800" w:type="dxa"/>
          </w:tcPr>
          <w:p w:rsidR="00000000" w:rsidRDefault="00000000">
            <w:pPr>
              <w:spacing w:after="120"/>
              <w:rPr>
                <w:bCs/>
                <w:sz w:val="20"/>
              </w:rPr>
            </w:pPr>
            <w:r>
              <w:rPr>
                <w:bCs/>
                <w:sz w:val="20"/>
              </w:rPr>
              <w:t>October 1998</w:t>
            </w:r>
            <w:r>
              <w:rPr>
                <w:bCs/>
                <w:sz w:val="20"/>
              </w:rPr>
              <w:br/>
              <w:t>2 years (ongoing)</w:t>
            </w:r>
          </w:p>
        </w:tc>
        <w:tc>
          <w:tcPr>
            <w:tcW w:w="1191" w:type="dxa"/>
          </w:tcPr>
          <w:p w:rsidR="00000000" w:rsidRDefault="00000000">
            <w:pPr>
              <w:spacing w:after="120"/>
              <w:rPr>
                <w:bCs/>
                <w:sz w:val="20"/>
              </w:rPr>
            </w:pPr>
            <w:r>
              <w:rPr>
                <w:bCs/>
                <w:sz w:val="20"/>
              </w:rPr>
              <w:t>$278 000</w:t>
            </w:r>
          </w:p>
        </w:tc>
        <w:tc>
          <w:tcPr>
            <w:tcW w:w="2312" w:type="dxa"/>
          </w:tcPr>
          <w:p w:rsidR="00000000" w:rsidRDefault="00000000">
            <w:pPr>
              <w:spacing w:after="120"/>
              <w:rPr>
                <w:bCs/>
                <w:sz w:val="20"/>
              </w:rPr>
            </w:pPr>
            <w:r>
              <w:rPr>
                <w:bCs/>
                <w:sz w:val="20"/>
              </w:rPr>
              <w:t>To build capacity and facilitate the process of taking climate change</w:t>
            </w:r>
            <w:r>
              <w:rPr>
                <w:bCs/>
                <w:sz w:val="20"/>
              </w:rPr>
              <w:noBreakHyphen/>
              <w:t>related issues increasingly into account in Albania, thus enabling the country to deal with climate change and its adverse impacts.  To contribute to the global effort to better understand the sources and sinks of greenhouse gases, and potential impacts of climate change.</w:t>
            </w:r>
          </w:p>
        </w:tc>
      </w:tr>
      <w:tr w:rsidR="00000000">
        <w:tblPrEx>
          <w:tblCellMar>
            <w:top w:w="0" w:type="dxa"/>
            <w:bottom w:w="0" w:type="dxa"/>
          </w:tblCellMar>
        </w:tblPrEx>
        <w:trPr>
          <w:cantSplit/>
        </w:trPr>
        <w:tc>
          <w:tcPr>
            <w:tcW w:w="594" w:type="dxa"/>
            <w:tcBorders>
              <w:bottom w:val="nil"/>
            </w:tcBorders>
          </w:tcPr>
          <w:p w:rsidR="00000000" w:rsidRDefault="00000000">
            <w:pPr>
              <w:spacing w:after="120"/>
              <w:ind w:right="57"/>
              <w:jc w:val="right"/>
              <w:rPr>
                <w:bCs/>
                <w:sz w:val="20"/>
              </w:rPr>
            </w:pPr>
            <w:r>
              <w:rPr>
                <w:bCs/>
                <w:sz w:val="20"/>
              </w:rPr>
              <w:t>19.</w:t>
            </w:r>
          </w:p>
        </w:tc>
        <w:tc>
          <w:tcPr>
            <w:tcW w:w="2072" w:type="dxa"/>
            <w:tcBorders>
              <w:bottom w:val="nil"/>
            </w:tcBorders>
          </w:tcPr>
          <w:p w:rsidR="00000000" w:rsidRDefault="00000000">
            <w:pPr>
              <w:spacing w:after="120"/>
              <w:rPr>
                <w:bCs/>
                <w:sz w:val="20"/>
              </w:rPr>
            </w:pPr>
            <w:r>
              <w:rPr>
                <w:bCs/>
                <w:sz w:val="20"/>
              </w:rPr>
              <w:t>Removal of toxic wastes:  linden, chromium 6 valent and sulphur from the area of the Chemical Production Enterprise in Durres and their storage in a safe place (</w:t>
            </w:r>
            <w:proofErr w:type="spellStart"/>
            <w:r>
              <w:rPr>
                <w:bCs/>
                <w:sz w:val="20"/>
              </w:rPr>
              <w:t>Bisht</w:t>
            </w:r>
            <w:r>
              <w:rPr>
                <w:bCs/>
                <w:sz w:val="20"/>
              </w:rPr>
              <w:noBreakHyphen/>
              <w:t>Palle</w:t>
            </w:r>
            <w:proofErr w:type="spellEnd"/>
            <w:r>
              <w:rPr>
                <w:bCs/>
                <w:sz w:val="20"/>
              </w:rPr>
              <w:t>).</w:t>
            </w:r>
          </w:p>
        </w:tc>
        <w:tc>
          <w:tcPr>
            <w:tcW w:w="1401" w:type="dxa"/>
            <w:tcBorders>
              <w:bottom w:val="nil"/>
            </w:tcBorders>
          </w:tcPr>
          <w:p w:rsidR="00000000" w:rsidRDefault="00000000">
            <w:pPr>
              <w:spacing w:after="120"/>
              <w:rPr>
                <w:bCs/>
                <w:sz w:val="20"/>
              </w:rPr>
            </w:pPr>
            <w:r>
              <w:rPr>
                <w:bCs/>
                <w:sz w:val="20"/>
              </w:rPr>
              <w:t>Government of Italy</w:t>
            </w:r>
          </w:p>
        </w:tc>
        <w:tc>
          <w:tcPr>
            <w:tcW w:w="1800" w:type="dxa"/>
            <w:tcBorders>
              <w:bottom w:val="nil"/>
            </w:tcBorders>
          </w:tcPr>
          <w:p w:rsidR="00000000" w:rsidRDefault="00000000">
            <w:pPr>
              <w:spacing w:after="120"/>
              <w:rPr>
                <w:bCs/>
                <w:sz w:val="20"/>
              </w:rPr>
            </w:pPr>
            <w:r>
              <w:rPr>
                <w:bCs/>
                <w:sz w:val="20"/>
              </w:rPr>
              <w:t>Finished</w:t>
            </w:r>
          </w:p>
        </w:tc>
        <w:tc>
          <w:tcPr>
            <w:tcW w:w="1191" w:type="dxa"/>
            <w:tcBorders>
              <w:bottom w:val="nil"/>
            </w:tcBorders>
          </w:tcPr>
          <w:p w:rsidR="00000000" w:rsidRDefault="00000000">
            <w:pPr>
              <w:spacing w:after="120"/>
              <w:rPr>
                <w:bCs/>
                <w:sz w:val="20"/>
              </w:rPr>
            </w:pPr>
            <w:r>
              <w:rPr>
                <w:bCs/>
                <w:sz w:val="20"/>
              </w:rPr>
              <w:t>US$ 7 630</w:t>
            </w:r>
          </w:p>
        </w:tc>
        <w:tc>
          <w:tcPr>
            <w:tcW w:w="2312" w:type="dxa"/>
            <w:tcBorders>
              <w:bottom w:val="nil"/>
            </w:tcBorders>
          </w:tcPr>
          <w:p w:rsidR="00000000" w:rsidRDefault="00000000">
            <w:pPr>
              <w:spacing w:after="120"/>
              <w:rPr>
                <w:bCs/>
                <w:sz w:val="20"/>
              </w:rPr>
            </w:pPr>
            <w:r>
              <w:rPr>
                <w:bCs/>
                <w:sz w:val="20"/>
              </w:rPr>
              <w:t>Removal of toxic wastes (linden, chromium 6 valent and sulphur) from the enterprise area and their storage in a safe place.</w:t>
            </w:r>
          </w:p>
        </w:tc>
      </w:tr>
      <w:tr w:rsidR="00000000">
        <w:tblPrEx>
          <w:tblCellMar>
            <w:top w:w="0" w:type="dxa"/>
            <w:bottom w:w="0" w:type="dxa"/>
          </w:tblCellMar>
        </w:tblPrEx>
        <w:trPr>
          <w:cantSplit/>
        </w:trPr>
        <w:tc>
          <w:tcPr>
            <w:tcW w:w="594" w:type="dxa"/>
            <w:tcBorders>
              <w:top w:val="nil"/>
              <w:bottom w:val="single" w:sz="4" w:space="0" w:color="auto"/>
            </w:tcBorders>
          </w:tcPr>
          <w:p w:rsidR="00000000" w:rsidRDefault="00000000">
            <w:pPr>
              <w:ind w:right="57"/>
              <w:jc w:val="right"/>
              <w:rPr>
                <w:sz w:val="20"/>
              </w:rPr>
            </w:pPr>
            <w:r>
              <w:rPr>
                <w:bCs/>
                <w:sz w:val="20"/>
              </w:rPr>
              <w:t>20.</w:t>
            </w:r>
          </w:p>
        </w:tc>
        <w:tc>
          <w:tcPr>
            <w:tcW w:w="2072" w:type="dxa"/>
            <w:tcBorders>
              <w:top w:val="nil"/>
              <w:bottom w:val="single" w:sz="4" w:space="0" w:color="auto"/>
            </w:tcBorders>
          </w:tcPr>
          <w:p w:rsidR="00000000" w:rsidRDefault="00000000">
            <w:pPr>
              <w:spacing w:after="120"/>
              <w:rPr>
                <w:bCs/>
                <w:sz w:val="20"/>
              </w:rPr>
            </w:pPr>
            <w:r>
              <w:rPr>
                <w:bCs/>
                <w:sz w:val="20"/>
              </w:rPr>
              <w:t>Regulatory framework of environmental and institutional strengthening.</w:t>
            </w:r>
          </w:p>
        </w:tc>
        <w:tc>
          <w:tcPr>
            <w:tcW w:w="1401" w:type="dxa"/>
            <w:tcBorders>
              <w:top w:val="nil"/>
              <w:bottom w:val="single" w:sz="4" w:space="0" w:color="auto"/>
            </w:tcBorders>
          </w:tcPr>
          <w:p w:rsidR="00000000" w:rsidRDefault="00000000">
            <w:pPr>
              <w:spacing w:after="120"/>
              <w:rPr>
                <w:bCs/>
                <w:sz w:val="20"/>
              </w:rPr>
            </w:pPr>
            <w:r>
              <w:rPr>
                <w:bCs/>
                <w:sz w:val="20"/>
              </w:rPr>
              <w:t>Phare</w:t>
            </w:r>
          </w:p>
          <w:p w:rsidR="00000000" w:rsidRDefault="00000000">
            <w:pPr>
              <w:spacing w:after="120"/>
              <w:rPr>
                <w:bCs/>
                <w:sz w:val="20"/>
              </w:rPr>
            </w:pPr>
            <w:r>
              <w:rPr>
                <w:bCs/>
                <w:sz w:val="20"/>
              </w:rPr>
              <w:t>COP 96</w:t>
            </w:r>
          </w:p>
        </w:tc>
        <w:tc>
          <w:tcPr>
            <w:tcW w:w="1800" w:type="dxa"/>
            <w:tcBorders>
              <w:top w:val="nil"/>
              <w:bottom w:val="single" w:sz="4" w:space="0" w:color="auto"/>
            </w:tcBorders>
          </w:tcPr>
          <w:p w:rsidR="00000000" w:rsidRDefault="00000000">
            <w:pPr>
              <w:spacing w:after="120"/>
              <w:rPr>
                <w:bCs/>
                <w:sz w:val="20"/>
              </w:rPr>
            </w:pPr>
            <w:r>
              <w:rPr>
                <w:bCs/>
                <w:sz w:val="20"/>
              </w:rPr>
              <w:t>Finished in 1999</w:t>
            </w:r>
            <w:r>
              <w:rPr>
                <w:bCs/>
                <w:sz w:val="20"/>
              </w:rPr>
              <w:br/>
              <w:t>(9 months)</w:t>
            </w:r>
          </w:p>
        </w:tc>
        <w:tc>
          <w:tcPr>
            <w:tcW w:w="1191" w:type="dxa"/>
            <w:tcBorders>
              <w:top w:val="nil"/>
              <w:bottom w:val="single" w:sz="4" w:space="0" w:color="auto"/>
            </w:tcBorders>
          </w:tcPr>
          <w:p w:rsidR="00000000" w:rsidRDefault="00000000">
            <w:pPr>
              <w:spacing w:after="120"/>
              <w:rPr>
                <w:bCs/>
                <w:sz w:val="20"/>
              </w:rPr>
            </w:pPr>
            <w:r>
              <w:rPr>
                <w:bCs/>
                <w:sz w:val="20"/>
              </w:rPr>
              <w:t>ECU 200 000</w:t>
            </w:r>
          </w:p>
        </w:tc>
        <w:tc>
          <w:tcPr>
            <w:tcW w:w="2312" w:type="dxa"/>
            <w:tcBorders>
              <w:top w:val="nil"/>
              <w:bottom w:val="single" w:sz="4" w:space="0" w:color="auto"/>
            </w:tcBorders>
          </w:tcPr>
          <w:p w:rsidR="00000000" w:rsidRDefault="00000000">
            <w:pPr>
              <w:spacing w:after="120"/>
              <w:rPr>
                <w:bCs/>
                <w:sz w:val="20"/>
              </w:rPr>
            </w:pPr>
            <w:r>
              <w:rPr>
                <w:bCs/>
                <w:sz w:val="20"/>
              </w:rPr>
              <w:t>Further strengthening of the institutions involved in environmental protection and supporting the development and enforcement of environmental regulations.</w:t>
            </w:r>
          </w:p>
        </w:tc>
      </w:tr>
    </w:tbl>
    <w:p w:rsidR="00000000" w:rsidRDefault="00000000">
      <w:pPr>
        <w:pStyle w:val="Header"/>
        <w:tabs>
          <w:tab w:val="clear" w:pos="4320"/>
          <w:tab w:val="clear" w:pos="8640"/>
        </w:tabs>
        <w:spacing w:after="1000"/>
      </w:pPr>
    </w:p>
    <w:tbl>
      <w:tblPr>
        <w:tblW w:w="9370"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594"/>
        <w:gridCol w:w="2072"/>
        <w:gridCol w:w="1401"/>
        <w:gridCol w:w="1800"/>
        <w:gridCol w:w="1191"/>
        <w:gridCol w:w="2312"/>
      </w:tblGrid>
      <w:tr w:rsidR="00000000">
        <w:tblPrEx>
          <w:tblCellMar>
            <w:top w:w="0" w:type="dxa"/>
            <w:bottom w:w="0" w:type="dxa"/>
          </w:tblCellMar>
        </w:tblPrEx>
        <w:trPr>
          <w:cantSplit/>
        </w:trPr>
        <w:tc>
          <w:tcPr>
            <w:tcW w:w="9370" w:type="dxa"/>
            <w:gridSpan w:val="6"/>
            <w:tcBorders>
              <w:top w:val="nil"/>
              <w:left w:val="nil"/>
              <w:bottom w:val="single" w:sz="4" w:space="0" w:color="auto"/>
              <w:right w:val="nil"/>
            </w:tcBorders>
          </w:tcPr>
          <w:p w:rsidR="00000000" w:rsidRDefault="00000000">
            <w:pPr>
              <w:jc w:val="center"/>
              <w:rPr>
                <w:bCs/>
                <w:sz w:val="20"/>
              </w:rPr>
            </w:pPr>
            <w:r>
              <w:br w:type="page"/>
            </w:r>
            <w:r>
              <w:rPr>
                <w:b/>
              </w:rPr>
              <w:t>Table 1 (</w:t>
            </w:r>
            <w:r>
              <w:rPr>
                <w:b/>
                <w:i/>
              </w:rPr>
              <w:t>continued</w:t>
            </w:r>
            <w:r>
              <w:rPr>
                <w:b/>
              </w:rPr>
              <w:t>)</w:t>
            </w:r>
          </w:p>
        </w:tc>
      </w:tr>
      <w:tr w:rsidR="00000000">
        <w:tblPrEx>
          <w:tblCellMar>
            <w:top w:w="0" w:type="dxa"/>
            <w:bottom w:w="0" w:type="dxa"/>
          </w:tblCellMar>
        </w:tblPrEx>
        <w:trPr>
          <w:cantSplit/>
        </w:trPr>
        <w:tc>
          <w:tcPr>
            <w:tcW w:w="594" w:type="dxa"/>
            <w:tcBorders>
              <w:top w:val="single" w:sz="4" w:space="0" w:color="auto"/>
              <w:bottom w:val="single" w:sz="4" w:space="0" w:color="auto"/>
            </w:tcBorders>
          </w:tcPr>
          <w:p w:rsidR="00000000" w:rsidRDefault="00000000">
            <w:pPr>
              <w:spacing w:after="120"/>
              <w:ind w:right="57"/>
              <w:jc w:val="right"/>
              <w:rPr>
                <w:bCs/>
                <w:sz w:val="20"/>
              </w:rPr>
            </w:pPr>
            <w:r>
              <w:rPr>
                <w:bCs/>
                <w:sz w:val="20"/>
              </w:rPr>
              <w:t>No.</w:t>
            </w:r>
          </w:p>
        </w:tc>
        <w:tc>
          <w:tcPr>
            <w:tcW w:w="2072" w:type="dxa"/>
            <w:tcBorders>
              <w:top w:val="single" w:sz="4" w:space="0" w:color="auto"/>
              <w:bottom w:val="single" w:sz="4" w:space="0" w:color="auto"/>
            </w:tcBorders>
          </w:tcPr>
          <w:p w:rsidR="00000000" w:rsidRDefault="00000000">
            <w:pPr>
              <w:spacing w:after="120"/>
              <w:jc w:val="center"/>
              <w:rPr>
                <w:bCs/>
                <w:sz w:val="20"/>
              </w:rPr>
            </w:pPr>
            <w:r>
              <w:rPr>
                <w:bCs/>
                <w:sz w:val="20"/>
              </w:rPr>
              <w:t>Project</w:t>
            </w:r>
          </w:p>
        </w:tc>
        <w:tc>
          <w:tcPr>
            <w:tcW w:w="1401" w:type="dxa"/>
            <w:tcBorders>
              <w:top w:val="single" w:sz="4" w:space="0" w:color="auto"/>
              <w:bottom w:val="single" w:sz="4" w:space="0" w:color="auto"/>
            </w:tcBorders>
          </w:tcPr>
          <w:p w:rsidR="00000000" w:rsidRDefault="00000000">
            <w:pPr>
              <w:spacing w:after="120"/>
              <w:rPr>
                <w:bCs/>
                <w:sz w:val="20"/>
              </w:rPr>
            </w:pPr>
            <w:r>
              <w:rPr>
                <w:bCs/>
                <w:sz w:val="20"/>
              </w:rPr>
              <w:t xml:space="preserve">   Financial </w:t>
            </w:r>
            <w:r>
              <w:rPr>
                <w:bCs/>
                <w:sz w:val="20"/>
              </w:rPr>
              <w:br/>
              <w:t xml:space="preserve">   institution</w:t>
            </w:r>
          </w:p>
        </w:tc>
        <w:tc>
          <w:tcPr>
            <w:tcW w:w="1800" w:type="dxa"/>
            <w:tcBorders>
              <w:top w:val="single" w:sz="4" w:space="0" w:color="auto"/>
              <w:bottom w:val="single" w:sz="4" w:space="0" w:color="auto"/>
            </w:tcBorders>
          </w:tcPr>
          <w:p w:rsidR="00000000" w:rsidRDefault="00000000">
            <w:pPr>
              <w:spacing w:after="120"/>
              <w:jc w:val="center"/>
              <w:rPr>
                <w:bCs/>
                <w:sz w:val="20"/>
              </w:rPr>
            </w:pPr>
            <w:r>
              <w:rPr>
                <w:bCs/>
                <w:sz w:val="20"/>
              </w:rPr>
              <w:t>Project state/</w:t>
            </w:r>
            <w:r>
              <w:rPr>
                <w:bCs/>
                <w:sz w:val="20"/>
              </w:rPr>
              <w:br/>
              <w:t>duration</w:t>
            </w:r>
          </w:p>
        </w:tc>
        <w:tc>
          <w:tcPr>
            <w:tcW w:w="1191" w:type="dxa"/>
            <w:tcBorders>
              <w:top w:val="single" w:sz="4" w:space="0" w:color="auto"/>
              <w:bottom w:val="single" w:sz="4" w:space="0" w:color="auto"/>
            </w:tcBorders>
          </w:tcPr>
          <w:p w:rsidR="00000000" w:rsidRDefault="00000000">
            <w:pPr>
              <w:spacing w:after="120"/>
              <w:jc w:val="center"/>
              <w:rPr>
                <w:bCs/>
                <w:sz w:val="20"/>
              </w:rPr>
            </w:pPr>
            <w:r>
              <w:rPr>
                <w:bCs/>
                <w:sz w:val="20"/>
              </w:rPr>
              <w:t>Budget</w:t>
            </w:r>
          </w:p>
        </w:tc>
        <w:tc>
          <w:tcPr>
            <w:tcW w:w="2312" w:type="dxa"/>
            <w:tcBorders>
              <w:top w:val="single" w:sz="4" w:space="0" w:color="auto"/>
              <w:bottom w:val="single" w:sz="4" w:space="0" w:color="auto"/>
            </w:tcBorders>
          </w:tcPr>
          <w:p w:rsidR="00000000" w:rsidRDefault="00000000">
            <w:pPr>
              <w:spacing w:after="120"/>
              <w:jc w:val="center"/>
              <w:rPr>
                <w:bCs/>
                <w:sz w:val="20"/>
              </w:rPr>
            </w:pPr>
            <w:r>
              <w:rPr>
                <w:bCs/>
                <w:sz w:val="20"/>
              </w:rPr>
              <w:t>Objective</w:t>
            </w:r>
          </w:p>
        </w:tc>
      </w:tr>
      <w:tr w:rsidR="00000000">
        <w:tblPrEx>
          <w:tblCellMar>
            <w:top w:w="0" w:type="dxa"/>
            <w:bottom w:w="0" w:type="dxa"/>
          </w:tblCellMar>
        </w:tblPrEx>
        <w:trPr>
          <w:cantSplit/>
        </w:trPr>
        <w:tc>
          <w:tcPr>
            <w:tcW w:w="594" w:type="dxa"/>
            <w:tcBorders>
              <w:top w:val="single" w:sz="4" w:space="0" w:color="auto"/>
            </w:tcBorders>
          </w:tcPr>
          <w:p w:rsidR="00000000" w:rsidRDefault="00000000">
            <w:pPr>
              <w:spacing w:after="120"/>
              <w:ind w:right="57"/>
              <w:jc w:val="right"/>
              <w:rPr>
                <w:bCs/>
                <w:sz w:val="20"/>
              </w:rPr>
            </w:pPr>
            <w:r>
              <w:rPr>
                <w:bCs/>
                <w:sz w:val="20"/>
              </w:rPr>
              <w:t>21.</w:t>
            </w:r>
          </w:p>
        </w:tc>
        <w:tc>
          <w:tcPr>
            <w:tcW w:w="2072" w:type="dxa"/>
            <w:tcBorders>
              <w:top w:val="single" w:sz="4" w:space="0" w:color="auto"/>
            </w:tcBorders>
          </w:tcPr>
          <w:p w:rsidR="00000000" w:rsidRDefault="00000000">
            <w:pPr>
              <w:spacing w:after="120"/>
              <w:rPr>
                <w:bCs/>
                <w:sz w:val="20"/>
              </w:rPr>
            </w:pPr>
            <w:r>
              <w:rPr>
                <w:bCs/>
                <w:sz w:val="20"/>
              </w:rPr>
              <w:t>Institutional strengthening and project preparation.</w:t>
            </w:r>
          </w:p>
        </w:tc>
        <w:tc>
          <w:tcPr>
            <w:tcW w:w="1401" w:type="dxa"/>
            <w:tcBorders>
              <w:top w:val="single" w:sz="4" w:space="0" w:color="auto"/>
            </w:tcBorders>
          </w:tcPr>
          <w:p w:rsidR="00000000" w:rsidRDefault="00000000">
            <w:pPr>
              <w:spacing w:after="120"/>
              <w:rPr>
                <w:bCs/>
                <w:sz w:val="20"/>
              </w:rPr>
            </w:pPr>
            <w:r>
              <w:rPr>
                <w:bCs/>
                <w:sz w:val="20"/>
              </w:rPr>
              <w:t>Phare</w:t>
            </w:r>
          </w:p>
          <w:p w:rsidR="00000000" w:rsidRDefault="00000000">
            <w:pPr>
              <w:spacing w:after="120"/>
              <w:rPr>
                <w:bCs/>
                <w:sz w:val="20"/>
              </w:rPr>
            </w:pPr>
            <w:r>
              <w:rPr>
                <w:bCs/>
                <w:sz w:val="20"/>
              </w:rPr>
              <w:t>COP 97</w:t>
            </w:r>
          </w:p>
        </w:tc>
        <w:tc>
          <w:tcPr>
            <w:tcW w:w="1800" w:type="dxa"/>
            <w:tcBorders>
              <w:top w:val="single" w:sz="4" w:space="0" w:color="auto"/>
            </w:tcBorders>
          </w:tcPr>
          <w:p w:rsidR="00000000" w:rsidRDefault="00000000">
            <w:pPr>
              <w:spacing w:after="120"/>
              <w:rPr>
                <w:bCs/>
                <w:sz w:val="20"/>
              </w:rPr>
            </w:pPr>
            <w:r>
              <w:rPr>
                <w:bCs/>
                <w:sz w:val="20"/>
              </w:rPr>
              <w:t xml:space="preserve">Finished in </w:t>
            </w:r>
            <w:r>
              <w:rPr>
                <w:bCs/>
                <w:caps/>
                <w:sz w:val="20"/>
              </w:rPr>
              <w:t>j</w:t>
            </w:r>
            <w:r>
              <w:rPr>
                <w:bCs/>
                <w:sz w:val="20"/>
              </w:rPr>
              <w:t>une 2001</w:t>
            </w:r>
          </w:p>
        </w:tc>
        <w:tc>
          <w:tcPr>
            <w:tcW w:w="1191" w:type="dxa"/>
            <w:tcBorders>
              <w:top w:val="single" w:sz="4" w:space="0" w:color="auto"/>
            </w:tcBorders>
          </w:tcPr>
          <w:p w:rsidR="00000000" w:rsidRDefault="00000000">
            <w:pPr>
              <w:spacing w:after="120"/>
              <w:rPr>
                <w:bCs/>
                <w:sz w:val="20"/>
              </w:rPr>
            </w:pPr>
            <w:r>
              <w:rPr>
                <w:bCs/>
                <w:sz w:val="20"/>
              </w:rPr>
              <w:t>ECU 300 000</w:t>
            </w:r>
          </w:p>
        </w:tc>
        <w:tc>
          <w:tcPr>
            <w:tcW w:w="2312" w:type="dxa"/>
            <w:tcBorders>
              <w:top w:val="single" w:sz="4" w:space="0" w:color="auto"/>
            </w:tcBorders>
          </w:tcPr>
          <w:p w:rsidR="00000000" w:rsidRDefault="00000000">
            <w:pPr>
              <w:spacing w:after="120"/>
              <w:rPr>
                <w:bCs/>
                <w:sz w:val="20"/>
              </w:rPr>
            </w:pPr>
            <w:r>
              <w:rPr>
                <w:bCs/>
                <w:sz w:val="20"/>
              </w:rPr>
              <w:t>To support the Government of Albania with its National Environmental Action Plan, with special focus on the development and the implementation of comprehensive environmental policies which would facilitate the transition to sustainable development.</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22.</w:t>
            </w:r>
          </w:p>
        </w:tc>
        <w:tc>
          <w:tcPr>
            <w:tcW w:w="2072" w:type="dxa"/>
          </w:tcPr>
          <w:p w:rsidR="00000000" w:rsidRDefault="00000000">
            <w:pPr>
              <w:spacing w:after="120"/>
              <w:rPr>
                <w:bCs/>
                <w:sz w:val="20"/>
              </w:rPr>
            </w:pPr>
            <w:r>
              <w:rPr>
                <w:bCs/>
                <w:sz w:val="20"/>
              </w:rPr>
              <w:t>Minor works at the Karavasta Lagoon.</w:t>
            </w:r>
          </w:p>
        </w:tc>
        <w:tc>
          <w:tcPr>
            <w:tcW w:w="1401" w:type="dxa"/>
          </w:tcPr>
          <w:p w:rsidR="00000000" w:rsidRDefault="00000000">
            <w:pPr>
              <w:spacing w:after="120"/>
              <w:rPr>
                <w:bCs/>
                <w:sz w:val="20"/>
              </w:rPr>
            </w:pPr>
            <w:proofErr w:type="spellStart"/>
            <w:r>
              <w:rPr>
                <w:bCs/>
                <w:sz w:val="20"/>
              </w:rPr>
              <w:t>Phare</w:t>
            </w:r>
            <w:proofErr w:type="spellEnd"/>
          </w:p>
          <w:p w:rsidR="00000000" w:rsidRDefault="00000000">
            <w:pPr>
              <w:spacing w:after="120"/>
              <w:rPr>
                <w:bCs/>
                <w:sz w:val="20"/>
              </w:rPr>
            </w:pPr>
            <w:r>
              <w:rPr>
                <w:bCs/>
                <w:sz w:val="20"/>
              </w:rPr>
              <w:t>COP 97</w:t>
            </w:r>
          </w:p>
        </w:tc>
        <w:tc>
          <w:tcPr>
            <w:tcW w:w="1800" w:type="dxa"/>
          </w:tcPr>
          <w:p w:rsidR="00000000" w:rsidRDefault="00000000">
            <w:pPr>
              <w:spacing w:after="120"/>
              <w:rPr>
                <w:bCs/>
                <w:sz w:val="20"/>
              </w:rPr>
            </w:pPr>
            <w:r>
              <w:rPr>
                <w:bCs/>
                <w:sz w:val="20"/>
              </w:rPr>
              <w:t>2001</w:t>
            </w:r>
          </w:p>
        </w:tc>
        <w:tc>
          <w:tcPr>
            <w:tcW w:w="1191" w:type="dxa"/>
          </w:tcPr>
          <w:p w:rsidR="00000000" w:rsidRDefault="00000000">
            <w:pPr>
              <w:spacing w:after="120"/>
              <w:rPr>
                <w:bCs/>
                <w:sz w:val="20"/>
              </w:rPr>
            </w:pPr>
            <w:r>
              <w:rPr>
                <w:bCs/>
                <w:sz w:val="20"/>
              </w:rPr>
              <w:t>ECU 400 000</w:t>
            </w:r>
          </w:p>
        </w:tc>
        <w:tc>
          <w:tcPr>
            <w:tcW w:w="2312" w:type="dxa"/>
          </w:tcPr>
          <w:p w:rsidR="00000000" w:rsidRDefault="00000000">
            <w:pPr>
              <w:spacing w:after="120"/>
              <w:rPr>
                <w:bCs/>
                <w:sz w:val="20"/>
              </w:rPr>
            </w:pPr>
            <w:r>
              <w:rPr>
                <w:bCs/>
                <w:sz w:val="20"/>
              </w:rPr>
              <w:t>To develop sustainable use of natural resources and to protect Albania’s biodiversity.  The minor works consist of:  appropriate fencing for forest protection; drainage of the existing channels; a watchtower; an information centre for visitors.</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23.</w:t>
            </w:r>
          </w:p>
        </w:tc>
        <w:tc>
          <w:tcPr>
            <w:tcW w:w="2072" w:type="dxa"/>
          </w:tcPr>
          <w:p w:rsidR="00000000" w:rsidRDefault="00000000">
            <w:pPr>
              <w:spacing w:after="120"/>
              <w:rPr>
                <w:bCs/>
                <w:sz w:val="20"/>
              </w:rPr>
            </w:pPr>
            <w:r>
              <w:rPr>
                <w:bCs/>
                <w:sz w:val="20"/>
              </w:rPr>
              <w:t>Conservation of wetlands and coastal ecosystems in the Mediterranean region.</w:t>
            </w:r>
          </w:p>
        </w:tc>
        <w:tc>
          <w:tcPr>
            <w:tcW w:w="1401" w:type="dxa"/>
          </w:tcPr>
          <w:p w:rsidR="00000000" w:rsidRDefault="00000000">
            <w:pPr>
              <w:spacing w:after="120"/>
              <w:rPr>
                <w:bCs/>
                <w:sz w:val="20"/>
              </w:rPr>
            </w:pPr>
            <w:r>
              <w:rPr>
                <w:bCs/>
                <w:sz w:val="20"/>
              </w:rPr>
              <w:t>GEF/PNUD MEDWET 3</w:t>
            </w:r>
          </w:p>
        </w:tc>
        <w:tc>
          <w:tcPr>
            <w:tcW w:w="1800" w:type="dxa"/>
          </w:tcPr>
          <w:p w:rsidR="00000000" w:rsidRDefault="00000000">
            <w:pPr>
              <w:spacing w:after="120"/>
              <w:rPr>
                <w:bCs/>
                <w:sz w:val="20"/>
              </w:rPr>
            </w:pPr>
            <w:r>
              <w:rPr>
                <w:bCs/>
                <w:sz w:val="20"/>
              </w:rPr>
              <w:t>November 1999</w:t>
            </w:r>
            <w:r>
              <w:rPr>
                <w:bCs/>
                <w:sz w:val="20"/>
              </w:rPr>
              <w:br/>
              <w:t>(5 years)</w:t>
            </w:r>
          </w:p>
        </w:tc>
        <w:tc>
          <w:tcPr>
            <w:tcW w:w="1191" w:type="dxa"/>
          </w:tcPr>
          <w:p w:rsidR="00000000" w:rsidRDefault="00000000">
            <w:pPr>
              <w:spacing w:after="120"/>
              <w:rPr>
                <w:bCs/>
                <w:sz w:val="20"/>
              </w:rPr>
            </w:pPr>
            <w:r>
              <w:rPr>
                <w:bCs/>
                <w:sz w:val="20"/>
              </w:rPr>
              <w:t>$US 1.7 million by GEF</w:t>
            </w:r>
          </w:p>
          <w:p w:rsidR="00000000" w:rsidRDefault="00000000">
            <w:pPr>
              <w:spacing w:after="120"/>
              <w:rPr>
                <w:bCs/>
                <w:sz w:val="20"/>
              </w:rPr>
            </w:pPr>
            <w:r>
              <w:rPr>
                <w:bCs/>
                <w:sz w:val="20"/>
              </w:rPr>
              <w:t xml:space="preserve">US$ 150 000 by Albanian </w:t>
            </w:r>
            <w:r>
              <w:rPr>
                <w:bCs/>
                <w:sz w:val="18"/>
              </w:rPr>
              <w:t>Government</w:t>
            </w:r>
          </w:p>
        </w:tc>
        <w:tc>
          <w:tcPr>
            <w:tcW w:w="2312" w:type="dxa"/>
          </w:tcPr>
          <w:p w:rsidR="00000000" w:rsidRDefault="00000000">
            <w:pPr>
              <w:spacing w:after="120"/>
              <w:rPr>
                <w:bCs/>
                <w:sz w:val="20"/>
              </w:rPr>
            </w:pPr>
            <w:r>
              <w:rPr>
                <w:bCs/>
                <w:sz w:val="20"/>
              </w:rPr>
              <w:t>To conserve globally endangered species and their habitats, recognizing nature conservation as an integral part of sustainable human development, while improving the capacity of governmental and non</w:t>
            </w:r>
            <w:r>
              <w:rPr>
                <w:bCs/>
                <w:sz w:val="20"/>
              </w:rPr>
              <w:noBreakHyphen/>
              <w:t>governmental agencies to address biodiversity conservation issues.</w:t>
            </w:r>
          </w:p>
        </w:tc>
      </w:tr>
      <w:tr w:rsidR="00000000">
        <w:tblPrEx>
          <w:tblCellMar>
            <w:top w:w="0" w:type="dxa"/>
            <w:bottom w:w="0" w:type="dxa"/>
          </w:tblCellMar>
        </w:tblPrEx>
        <w:trPr>
          <w:cantSplit/>
        </w:trPr>
        <w:tc>
          <w:tcPr>
            <w:tcW w:w="594" w:type="dxa"/>
          </w:tcPr>
          <w:p w:rsidR="00000000" w:rsidRDefault="00000000">
            <w:pPr>
              <w:spacing w:after="120"/>
              <w:ind w:right="57"/>
              <w:jc w:val="right"/>
              <w:rPr>
                <w:bCs/>
                <w:sz w:val="20"/>
              </w:rPr>
            </w:pPr>
            <w:r>
              <w:rPr>
                <w:bCs/>
                <w:sz w:val="20"/>
              </w:rPr>
              <w:t>24.</w:t>
            </w:r>
          </w:p>
        </w:tc>
        <w:tc>
          <w:tcPr>
            <w:tcW w:w="2072" w:type="dxa"/>
          </w:tcPr>
          <w:p w:rsidR="00000000" w:rsidRDefault="00000000">
            <w:pPr>
              <w:spacing w:after="120"/>
              <w:rPr>
                <w:bCs/>
                <w:sz w:val="20"/>
              </w:rPr>
            </w:pPr>
            <w:r>
              <w:rPr>
                <w:bCs/>
                <w:sz w:val="20"/>
              </w:rPr>
              <w:t xml:space="preserve">Updating of National Environmental Action Plan </w:t>
            </w:r>
            <w:r>
              <w:rPr>
                <w:bCs/>
                <w:sz w:val="20"/>
              </w:rPr>
              <w:noBreakHyphen/>
              <w:t xml:space="preserve"> Immediate Measures.</w:t>
            </w:r>
          </w:p>
        </w:tc>
        <w:tc>
          <w:tcPr>
            <w:tcW w:w="1401" w:type="dxa"/>
          </w:tcPr>
          <w:p w:rsidR="00000000" w:rsidRDefault="00000000">
            <w:pPr>
              <w:spacing w:after="120"/>
              <w:rPr>
                <w:bCs/>
                <w:sz w:val="20"/>
              </w:rPr>
            </w:pPr>
            <w:r>
              <w:rPr>
                <w:bCs/>
                <w:sz w:val="20"/>
              </w:rPr>
              <w:t xml:space="preserve">METAP/WB </w:t>
            </w:r>
          </w:p>
        </w:tc>
        <w:tc>
          <w:tcPr>
            <w:tcW w:w="1800" w:type="dxa"/>
          </w:tcPr>
          <w:p w:rsidR="00000000" w:rsidRDefault="00000000">
            <w:pPr>
              <w:spacing w:after="120"/>
              <w:rPr>
                <w:bCs/>
                <w:sz w:val="20"/>
              </w:rPr>
            </w:pPr>
            <w:r>
              <w:rPr>
                <w:bCs/>
                <w:sz w:val="20"/>
              </w:rPr>
              <w:t>September 2000</w:t>
            </w:r>
            <w:r>
              <w:rPr>
                <w:bCs/>
                <w:sz w:val="20"/>
              </w:rPr>
              <w:br/>
              <w:t>(8 months); finished in June 2001</w:t>
            </w:r>
          </w:p>
        </w:tc>
        <w:tc>
          <w:tcPr>
            <w:tcW w:w="1191" w:type="dxa"/>
          </w:tcPr>
          <w:p w:rsidR="00000000" w:rsidRDefault="00000000">
            <w:pPr>
              <w:spacing w:after="120"/>
              <w:rPr>
                <w:bCs/>
                <w:sz w:val="20"/>
              </w:rPr>
            </w:pPr>
            <w:r>
              <w:rPr>
                <w:bCs/>
                <w:sz w:val="20"/>
              </w:rPr>
              <w:t>US$ 200 000</w:t>
            </w:r>
          </w:p>
        </w:tc>
        <w:tc>
          <w:tcPr>
            <w:tcW w:w="2312" w:type="dxa"/>
          </w:tcPr>
          <w:p w:rsidR="00000000" w:rsidRDefault="00000000">
            <w:pPr>
              <w:spacing w:after="120"/>
              <w:rPr>
                <w:bCs/>
                <w:sz w:val="20"/>
              </w:rPr>
            </w:pPr>
            <w:r>
              <w:rPr>
                <w:bCs/>
                <w:sz w:val="20"/>
              </w:rPr>
              <w:t>To update the identification of the key environmental issues; set priorities; and contribution developing a comprehensive national environmental policy.  To define concrete proposals relevant to the Immediate Measures.</w:t>
            </w:r>
          </w:p>
        </w:tc>
      </w:tr>
    </w:tbl>
    <w:p w:rsidR="00000000" w:rsidRDefault="00000000">
      <w:pPr>
        <w:pStyle w:val="Heading2"/>
      </w:pPr>
    </w:p>
    <w:p w:rsidR="00000000" w:rsidRDefault="00000000">
      <w:pPr>
        <w:pStyle w:val="Heading2"/>
      </w:pPr>
      <w:r>
        <w:br w:type="page"/>
        <w:t>Article 2</w:t>
      </w:r>
    </w:p>
    <w:p w:rsidR="00000000" w:rsidRDefault="00000000">
      <w:pPr>
        <w:pStyle w:val="Heading2"/>
      </w:pPr>
      <w:r>
        <w:t>Prohibition of discrimination</w:t>
      </w:r>
    </w:p>
    <w:p w:rsidR="00000000" w:rsidRDefault="00000000">
      <w:pPr>
        <w:pStyle w:val="ParaNo"/>
        <w:tabs>
          <w:tab w:val="clear" w:pos="360"/>
          <w:tab w:val="clear" w:pos="737"/>
        </w:tabs>
        <w:rPr>
          <w:lang w:val="en-GB"/>
        </w:rPr>
      </w:pPr>
      <w:r>
        <w:rPr>
          <w:lang w:val="en-GB"/>
        </w:rPr>
        <w:t>A fundamental element of constitutional democracy in Albania is the establishment of specific limitations of the State’s rights over the individual.  The second part of the Constitution, which refers to “Fundamental human rights and freedoms”, lists the rights and guarantees of every individual, either Albanian or foreigner, enjoys towards State intervention in his/her private life.</w:t>
      </w:r>
    </w:p>
    <w:p w:rsidR="00000000" w:rsidRDefault="00000000">
      <w:pPr>
        <w:pStyle w:val="ParaNo"/>
        <w:tabs>
          <w:tab w:val="clear" w:pos="360"/>
          <w:tab w:val="clear" w:pos="737"/>
        </w:tabs>
        <w:rPr>
          <w:lang w:val="en-GB"/>
        </w:rPr>
      </w:pPr>
      <w:r>
        <w:rPr>
          <w:lang w:val="en-GB"/>
        </w:rPr>
        <w:t>Article 18 of the Constitution guarantees that all are equal before law.  No one may be unjustly discriminated against for reasons such as gender, race, religion, ethnicity, language, political, religious or philosophical beliefs, economic condition, education, social status, or ancestry.  No one may be discriminated against for the reasons mentioned above if reasonable and objective legal grounds do not exist.</w:t>
      </w:r>
    </w:p>
    <w:p w:rsidR="00000000" w:rsidRDefault="00000000">
      <w:pPr>
        <w:pStyle w:val="ParaNo"/>
        <w:tabs>
          <w:tab w:val="clear" w:pos="360"/>
          <w:tab w:val="clear" w:pos="737"/>
        </w:tabs>
        <w:rPr>
          <w:szCs w:val="26"/>
          <w:lang w:val="en-GB"/>
        </w:rPr>
      </w:pPr>
      <w:r>
        <w:rPr>
          <w:szCs w:val="26"/>
          <w:lang w:val="en-GB"/>
        </w:rPr>
        <w:t xml:space="preserve">The fundamental rights and freedoms, and the duties, contemplated in the Constitution for Albanian citizens are also valid for foreigners and Stateless persons in the territory of the Republic of Albania, except </w:t>
      </w:r>
      <w:r>
        <w:rPr>
          <w:lang w:val="en-GB"/>
        </w:rPr>
        <w:t>for</w:t>
      </w:r>
      <w:r>
        <w:rPr>
          <w:szCs w:val="26"/>
          <w:lang w:val="en-GB"/>
        </w:rPr>
        <w:t xml:space="preserve"> cases when the Constitution specifically attaches the exercise of particular rights and freedoms with Albanian citizenship.  The fundamental rights and freedoms and the duties contemplated in this Constitution are valid also for juridical persons so long as they comport with the general purposes of these persons and with the core of these rights, freedoms and duties (art. 16).</w:t>
      </w:r>
    </w:p>
    <w:p w:rsidR="00000000" w:rsidRDefault="00000000">
      <w:pPr>
        <w:pStyle w:val="ParaNo"/>
        <w:tabs>
          <w:tab w:val="clear" w:pos="360"/>
          <w:tab w:val="clear" w:pos="737"/>
        </w:tabs>
        <w:rPr>
          <w:szCs w:val="26"/>
          <w:lang w:val="en-GB"/>
        </w:rPr>
      </w:pPr>
      <w:r>
        <w:rPr>
          <w:szCs w:val="26"/>
          <w:lang w:val="en-GB"/>
        </w:rPr>
        <w:t>Pursuant to article 17, the limitation of the rights and freedoms provided for in this Constitution may be established only by law for the public interest or for the protection of the rights of others.  A limitation shall be in proportion to the situation that has dictated it.  These limitations may not infringe the essence of the rights and freedoms and in no case may exceed the limitations provided for in the European Convention on Human Rights.</w:t>
      </w:r>
    </w:p>
    <w:p w:rsidR="00000000" w:rsidRDefault="00000000">
      <w:pPr>
        <w:pStyle w:val="ParaNo"/>
        <w:tabs>
          <w:tab w:val="clear" w:pos="360"/>
          <w:tab w:val="clear" w:pos="737"/>
        </w:tabs>
        <w:rPr>
          <w:szCs w:val="26"/>
          <w:lang w:val="en-GB"/>
        </w:rPr>
      </w:pPr>
      <w:r>
        <w:rPr>
          <w:iCs/>
          <w:lang w:val="en-GB"/>
        </w:rPr>
        <w:t xml:space="preserve">According to article 39 of the Constitution, the collective expulsion of foreigners is prohibited.  The expulsion of individuals is permitted under the conditions specified by law.  According to article 40, the </w:t>
      </w:r>
      <w:r>
        <w:rPr>
          <w:szCs w:val="26"/>
          <w:lang w:val="en-GB"/>
        </w:rPr>
        <w:t xml:space="preserve">foreigners have the right of shelter in Albania in compliance with the provisions of the law. </w:t>
      </w:r>
    </w:p>
    <w:p w:rsidR="00000000" w:rsidRDefault="00000000">
      <w:pPr>
        <w:pStyle w:val="ParaNo"/>
        <w:tabs>
          <w:tab w:val="clear" w:pos="360"/>
          <w:tab w:val="clear" w:pos="737"/>
        </w:tabs>
        <w:rPr>
          <w:szCs w:val="26"/>
          <w:lang w:val="en-GB"/>
        </w:rPr>
      </w:pPr>
      <w:r>
        <w:rPr>
          <w:szCs w:val="26"/>
          <w:lang w:val="en-GB"/>
        </w:rPr>
        <w:t>The definition of discrimination is provided in article 9 of the Labour Code, No. 7961, of 12 July 1995, amended by Law No. 8085, of 13 March 1996, and in 2003.</w:t>
      </w:r>
    </w:p>
    <w:p w:rsidR="00000000" w:rsidRDefault="00000000">
      <w:pPr>
        <w:pStyle w:val="ParaNo"/>
        <w:tabs>
          <w:tab w:val="clear" w:pos="360"/>
          <w:tab w:val="clear" w:pos="737"/>
        </w:tabs>
        <w:rPr>
          <w:lang w:val="en-GB"/>
        </w:rPr>
      </w:pPr>
      <w:r>
        <w:rPr>
          <w:szCs w:val="26"/>
          <w:lang w:val="en-GB"/>
        </w:rPr>
        <w:t>Pursuant to the code, discrimination corresponds to any distinction, exclusion or preference grounded on race, colour, sex, age, religion, political conviction, nationality, social origin, family relations, mental or physical disabilities that violates the right of an individual to be equal in employment and treatment</w:t>
      </w:r>
      <w:r>
        <w:rPr>
          <w:lang w:val="en-GB"/>
        </w:rPr>
        <w:t>.</w:t>
      </w:r>
    </w:p>
    <w:p w:rsidR="00000000" w:rsidRDefault="00000000">
      <w:pPr>
        <w:pStyle w:val="ParaNo"/>
        <w:tabs>
          <w:tab w:val="clear" w:pos="360"/>
          <w:tab w:val="clear" w:pos="737"/>
        </w:tabs>
        <w:rPr>
          <w:lang w:val="en-GB"/>
        </w:rPr>
      </w:pPr>
      <w:r>
        <w:rPr>
          <w:lang w:val="en-GB"/>
        </w:rPr>
        <w:t>The law “On Pre</w:t>
      </w:r>
      <w:r>
        <w:rPr>
          <w:lang w:val="en-GB"/>
        </w:rPr>
        <w:noBreakHyphen/>
        <w:t>university Education System” broadly reflects the integrity of the non</w:t>
      </w:r>
      <w:r>
        <w:rPr>
          <w:lang w:val="en-GB"/>
        </w:rPr>
        <w:noBreakHyphen/>
        <w:t xml:space="preserve">discrimination principle, protection of the individual from discrimination, treating them in the context of respecting the provisions, the principles and the standards of international agreements on basic human rights and freedoms in the field of education. </w:t>
      </w:r>
    </w:p>
    <w:p w:rsidR="00000000" w:rsidRDefault="00000000">
      <w:pPr>
        <w:pStyle w:val="ParaNo"/>
        <w:tabs>
          <w:tab w:val="clear" w:pos="360"/>
          <w:tab w:val="clear" w:pos="737"/>
        </w:tabs>
        <w:rPr>
          <w:lang w:val="en-GB"/>
        </w:rPr>
      </w:pPr>
      <w:r>
        <w:rPr>
          <w:lang w:val="en-GB"/>
        </w:rPr>
        <w:t>This law guarantees the equal right of the citizens of the Republic of Albania to all levels of pre</w:t>
      </w:r>
      <w:r>
        <w:rPr>
          <w:lang w:val="en-GB"/>
        </w:rPr>
        <w:noBreakHyphen/>
        <w:t>university education, despite social situation, nationality, language, sex, religion, political views, health situation and economic level (art. 3) and the right of national minorities to education in the mother tongue, study of their national history and culture (art. 10).</w:t>
      </w:r>
    </w:p>
    <w:p w:rsidR="00000000" w:rsidRDefault="00000000">
      <w:pPr>
        <w:pStyle w:val="ParaNo"/>
        <w:tabs>
          <w:tab w:val="clear" w:pos="360"/>
          <w:tab w:val="clear" w:pos="737"/>
        </w:tabs>
        <w:rPr>
          <w:lang w:val="en-GB"/>
        </w:rPr>
      </w:pPr>
      <w:r>
        <w:rPr>
          <w:lang w:val="en-GB"/>
        </w:rPr>
        <w:t xml:space="preserve">Some other Albanian legal acts contain no legal definition of discrimination or definition of direct and indirect discrimination.  However, according to the provisions of the Constitution, Criminal Procedural Code and Civil Servant Law, respectively, discrimination is: </w:t>
      </w:r>
    </w:p>
    <w:p w:rsidR="00000000" w:rsidRDefault="00000000">
      <w:pPr>
        <w:numPr>
          <w:ilvl w:val="0"/>
          <w:numId w:val="142"/>
        </w:numPr>
      </w:pPr>
      <w:r>
        <w:t xml:space="preserve">Inequality before the law; </w:t>
      </w:r>
    </w:p>
    <w:p w:rsidR="00000000" w:rsidRDefault="00000000">
      <w:pPr>
        <w:numPr>
          <w:ilvl w:val="0"/>
          <w:numId w:val="142"/>
        </w:numPr>
      </w:pPr>
      <w:r>
        <w:t xml:space="preserve">Unequal rights during criminal proceedings; </w:t>
      </w:r>
    </w:p>
    <w:p w:rsidR="00000000" w:rsidRDefault="00000000">
      <w:pPr>
        <w:numPr>
          <w:ilvl w:val="0"/>
          <w:numId w:val="142"/>
        </w:numPr>
      </w:pPr>
      <w:r>
        <w:t xml:space="preserve">Different rules and procedures for admission in the civil service. </w:t>
      </w:r>
    </w:p>
    <w:p w:rsidR="00000000" w:rsidRDefault="00000000">
      <w:pPr>
        <w:pStyle w:val="ParaNo"/>
        <w:tabs>
          <w:tab w:val="clear" w:pos="360"/>
          <w:tab w:val="clear" w:pos="737"/>
        </w:tabs>
        <w:rPr>
          <w:lang w:val="en-GB"/>
        </w:rPr>
      </w:pPr>
      <w:r>
        <w:rPr>
          <w:lang w:val="en-GB"/>
        </w:rPr>
        <w:t xml:space="preserve">Pursuant to the provisions of the Civil Code, article 608, a person who illegally and by his fault causes damage to another person is obliged to recompense the damage caused.  Article 625, the person who suffers damage, different by property damage, has the right to claim compensation if he has suffered injury to his health or harm to his honour. </w:t>
      </w:r>
    </w:p>
    <w:p w:rsidR="00000000" w:rsidRDefault="00000000">
      <w:pPr>
        <w:pStyle w:val="ParaNo"/>
        <w:tabs>
          <w:tab w:val="clear" w:pos="360"/>
          <w:tab w:val="clear" w:pos="737"/>
        </w:tabs>
        <w:rPr>
          <w:lang w:val="en-GB"/>
        </w:rPr>
      </w:pPr>
      <w:r>
        <w:rPr>
          <w:lang w:val="en-GB"/>
        </w:rPr>
        <w:t>According to the law “On innocence, amnesty and rehabilitation of ex</w:t>
      </w:r>
      <w:r>
        <w:rPr>
          <w:lang w:val="en-GB"/>
        </w:rPr>
        <w:noBreakHyphen/>
        <w:t>political convicts and persecuted”, amended by Law No. 7660 of 14 January 1993 and the law of 29 June 1993, persons having been found innocent, amnestied and eligible for rehabilitation, are remunerated for damages suffered for the discrimination because of their political convictions and also recompensed for normal living conditions, according to rules approved by special provisions, in conformity with international criteria.  They are entitled to have restored or be compensated for previously confiscated properties.  Relatives, or legal inheritors of ex</w:t>
      </w:r>
      <w:r>
        <w:rPr>
          <w:lang w:val="en-GB"/>
        </w:rPr>
        <w:noBreakHyphen/>
        <w:t>persecuted persons who are not alive, as well as relatives of persons executed without court decision, or dead persons not sentenced by court are also entitled for compensation due to damages suffered.</w:t>
      </w:r>
    </w:p>
    <w:p w:rsidR="00000000" w:rsidRDefault="00000000">
      <w:pPr>
        <w:pStyle w:val="ParaNo"/>
        <w:tabs>
          <w:tab w:val="clear" w:pos="360"/>
          <w:tab w:val="clear" w:pos="737"/>
        </w:tabs>
        <w:rPr>
          <w:lang w:val="en-GB"/>
        </w:rPr>
      </w:pPr>
      <w:r>
        <w:rPr>
          <w:lang w:val="en-GB"/>
        </w:rPr>
        <w:t>Pursuant to the provisions on retirement funds, relatives of executed persons and relatives of sentenced persons without court decision, as well as relatives of dead persons in prison or dead persons in prison without court decision, have the right to enjoy retirement allowances (art. 5/d, dh, e).</w:t>
      </w:r>
    </w:p>
    <w:p w:rsidR="00000000" w:rsidRDefault="00000000">
      <w:pPr>
        <w:pStyle w:val="ParaNo"/>
        <w:tabs>
          <w:tab w:val="clear" w:pos="360"/>
          <w:tab w:val="clear" w:pos="737"/>
        </w:tabs>
        <w:rPr>
          <w:lang w:val="en-GB"/>
        </w:rPr>
      </w:pPr>
      <w:r>
        <w:rPr>
          <w:lang w:val="en-GB"/>
        </w:rPr>
        <w:t>According to the above-mentioned law, ex-political convicted persons are entitled to recompense and pensions from the moment they are entitled, for the duration of their sentence in prisons or labour camps, pursuant to regulations provided by special provisions in conformity with the international criteria.  The children of ex-political convicted persons are also entitled to these rights when they attend school, regardless of their age.  Relatives of ex-convict political persons are also entitled to recompense for the entire duration of their sentence in prison or in labour camps.  When the ex-convicted persons are dead, their relatives are entitled to receive the rest of the pension.  They enjoy the right to be compensated or to restore the confiscated properties, pursuant to the relevant legal or by-law provisions.</w:t>
      </w:r>
    </w:p>
    <w:p w:rsidR="00000000" w:rsidRDefault="00000000">
      <w:pPr>
        <w:pStyle w:val="ParaNo"/>
        <w:tabs>
          <w:tab w:val="clear" w:pos="360"/>
          <w:tab w:val="clear" w:pos="737"/>
        </w:tabs>
        <w:rPr>
          <w:lang w:val="en-GB"/>
        </w:rPr>
      </w:pPr>
      <w:r>
        <w:rPr>
          <w:lang w:val="en-GB"/>
        </w:rPr>
        <w:br w:type="page"/>
        <w:t>The text of the Covenant was published in 1994 by Albanian Helsinki Committee.  The text of the Covenant is also available in the web page of the Ministry of Foreign Affairs.  Most educational institutions, State agencies, private companies and organizations have access to the Internet, enabling easy access to international documents, including the Covenant.</w:t>
      </w:r>
    </w:p>
    <w:p w:rsidR="00000000" w:rsidRDefault="00000000">
      <w:pPr>
        <w:pStyle w:val="Heading3"/>
      </w:pPr>
      <w:r>
        <w:t xml:space="preserve">Equal treatment for persons with various disabilities, or families with more children </w:t>
      </w:r>
    </w:p>
    <w:p w:rsidR="00000000" w:rsidRDefault="00000000">
      <w:pPr>
        <w:pStyle w:val="ParaNo"/>
        <w:tabs>
          <w:tab w:val="clear" w:pos="360"/>
          <w:tab w:val="clear" w:pos="737"/>
        </w:tabs>
        <w:rPr>
          <w:lang w:val="en-GB"/>
        </w:rPr>
      </w:pPr>
      <w:r>
        <w:rPr>
          <w:lang w:val="en-GB"/>
        </w:rPr>
        <w:t>The benefit modalities for disability are provided by Law No. 7710, of 18 May 1993 “On social aid and care”, Law No. 8098 of 28 March 1996, “On the status of blind persons” and Law No. 8626, dated 22 June 2000, on the “Status of paraplegic and tetraplegic invalids”, combined with a set of sub-legal acts.</w:t>
      </w:r>
    </w:p>
    <w:p w:rsidR="00000000" w:rsidRDefault="00000000">
      <w:pPr>
        <w:pStyle w:val="ParaNo"/>
        <w:tabs>
          <w:tab w:val="clear" w:pos="360"/>
          <w:tab w:val="clear" w:pos="737"/>
        </w:tabs>
        <w:rPr>
          <w:lang w:val="en-GB"/>
        </w:rPr>
      </w:pPr>
      <w:r>
        <w:rPr>
          <w:lang w:val="en-GB"/>
        </w:rPr>
        <w:t xml:space="preserve">In compliance with the above-mentioned legislation, the social care provided by the State through the State Social Service consists in cash and in kind services.  The payment for disability in cash is made in two ways, as payment for disability and care.  The social care in kind is provided through social-medical services at public, private and daily residential centres.  </w:t>
      </w:r>
    </w:p>
    <w:p w:rsidR="00000000" w:rsidRDefault="00000000">
      <w:pPr>
        <w:pStyle w:val="ParaNo"/>
        <w:tabs>
          <w:tab w:val="clear" w:pos="360"/>
          <w:tab w:val="clear" w:pos="737"/>
        </w:tabs>
        <w:rPr>
          <w:lang w:val="en-GB"/>
        </w:rPr>
      </w:pPr>
      <w:r>
        <w:rPr>
          <w:lang w:val="en-GB"/>
        </w:rPr>
        <w:t xml:space="preserve">Families with more children, which meet the criteria defined by the respective legal provisions, are entitled to economic aid in cash, while families facing social difficulties are provided with residential institutional services by the state, even if these families do not meet the legal criteria.  </w:t>
      </w:r>
    </w:p>
    <w:p w:rsidR="00000000" w:rsidRDefault="00000000">
      <w:pPr>
        <w:pStyle w:val="ParaNo"/>
        <w:tabs>
          <w:tab w:val="clear" w:pos="360"/>
          <w:tab w:val="clear" w:pos="737"/>
        </w:tabs>
        <w:rPr>
          <w:lang w:val="en-GB"/>
        </w:rPr>
      </w:pPr>
      <w:r>
        <w:rPr>
          <w:lang w:val="en-GB"/>
        </w:rPr>
        <w:t xml:space="preserve">In 2003, the State Social Service allocated an annual fund consisting of 330,771 leks for the financial support of 129,958 families, who meet the criteria established by law.  There are 39,357 families with more than six members benefiting from the economic aid.  During 2003, for this reason 116,608 leks were allocated.  </w:t>
      </w:r>
    </w:p>
    <w:p w:rsidR="00000000" w:rsidRDefault="00000000">
      <w:pPr>
        <w:pStyle w:val="ParaNo"/>
        <w:tabs>
          <w:tab w:val="clear" w:pos="360"/>
          <w:tab w:val="clear" w:pos="737"/>
        </w:tabs>
        <w:rPr>
          <w:lang w:val="en-GB"/>
        </w:rPr>
      </w:pPr>
      <w:r>
        <w:rPr>
          <w:lang w:val="en-GB"/>
        </w:rPr>
        <w:t xml:space="preserve">During 2003, 43,880 disabled persons were provided with financial assistance from the social aid scheme, covered with a fund of 540,368 leks.  Every disabled individual has received approximately 7,009 leks on a monthly basis.  The institutional network of social care consists of 24 regional public institutions, offering social services and care for approximately 1,038 clients.  </w:t>
      </w:r>
    </w:p>
    <w:p w:rsidR="00000000" w:rsidRDefault="00000000">
      <w:pPr>
        <w:pStyle w:val="Heading3"/>
        <w:rPr>
          <w:bCs/>
        </w:rPr>
      </w:pPr>
      <w:r>
        <w:t>Equal treatment of the elderly</w:t>
      </w:r>
    </w:p>
    <w:p w:rsidR="00000000" w:rsidRDefault="00000000">
      <w:pPr>
        <w:pStyle w:val="ParaNo"/>
        <w:tabs>
          <w:tab w:val="clear" w:pos="360"/>
          <w:tab w:val="clear" w:pos="737"/>
        </w:tabs>
        <w:rPr>
          <w:lang w:val="en-GB"/>
        </w:rPr>
      </w:pPr>
      <w:r>
        <w:rPr>
          <w:lang w:val="en-GB"/>
        </w:rPr>
        <w:t>The State Social Service administers 5 residential centres for the elderly in Tirana, Kavaja, Fier, Gjirokaster and Shkodra, offering services to 265 elderly individuals with various social problems.  In addition there are 2 daily polyvalent centres in Saranda and Kamez, frequented by approximately 70 older persons.</w:t>
      </w:r>
    </w:p>
    <w:p w:rsidR="00000000" w:rsidRDefault="00000000">
      <w:pPr>
        <w:pStyle w:val="ParaNo"/>
        <w:tabs>
          <w:tab w:val="clear" w:pos="360"/>
          <w:tab w:val="clear" w:pos="737"/>
        </w:tabs>
        <w:rPr>
          <w:lang w:val="en-GB"/>
        </w:rPr>
      </w:pPr>
      <w:r>
        <w:rPr>
          <w:lang w:val="en-GB"/>
        </w:rPr>
        <w:t>In total, there are 102 social workers serving in the above-mentioned residential and daily centres throughout the country.  The priorities of the strategy on elderly for the future consist in offering social services within communities for all groups that are in need of it, with the purpose of their integration in the community, organizing entertaining activities, providing specialized services, individual services at home, counselling activities for the community and the establishment of new daily centres.</w:t>
      </w:r>
    </w:p>
    <w:p w:rsidR="00000000" w:rsidRDefault="00000000">
      <w:pPr>
        <w:pStyle w:val="ParaNo"/>
        <w:tabs>
          <w:tab w:val="clear" w:pos="360"/>
          <w:tab w:val="clear" w:pos="737"/>
        </w:tabs>
        <w:rPr>
          <w:lang w:val="en-GB"/>
        </w:rPr>
      </w:pPr>
      <w:r>
        <w:rPr>
          <w:lang w:val="en-GB"/>
        </w:rPr>
        <w:br w:type="page"/>
        <w:t>Law No. 7961 of 12 July 1995, “Labour Code of the Republic of Albania”, provides for the non-discrimination against persons on the ground of age and gender.  The legal provisions on social affairs do not provide any discrimination in benefiting from social services.  Pursuant to the relevant provisions, all persons in social-economic difficulty are entitled to social services.</w:t>
      </w:r>
    </w:p>
    <w:p w:rsidR="00000000" w:rsidRDefault="00000000">
      <w:pPr>
        <w:pStyle w:val="ParaNo"/>
        <w:tabs>
          <w:tab w:val="clear" w:pos="360"/>
          <w:tab w:val="clear" w:pos="737"/>
        </w:tabs>
        <w:rPr>
          <w:lang w:val="en-GB"/>
        </w:rPr>
      </w:pPr>
      <w:r>
        <w:rPr>
          <w:lang w:val="en-GB"/>
        </w:rPr>
        <w:t>Nowadays, social services for the elderly have been significantly consolidated, due to the growing cooperation between the central and local authorities with the local- and foreign-based NGOs.  The role of NGOs in the area of social services for the elderly is considered to be very important, especially on the issue of integration of the elderly in community life.</w:t>
      </w:r>
    </w:p>
    <w:p w:rsidR="00000000" w:rsidRDefault="00000000">
      <w:pPr>
        <w:pStyle w:val="ParaNo"/>
        <w:tabs>
          <w:tab w:val="clear" w:pos="360"/>
          <w:tab w:val="clear" w:pos="737"/>
        </w:tabs>
        <w:rPr>
          <w:lang w:val="en-GB"/>
        </w:rPr>
      </w:pPr>
      <w:r>
        <w:rPr>
          <w:lang w:val="en-GB"/>
        </w:rPr>
        <w:t xml:space="preserve">With regard to the above, it can be mentioned that, during recent years, there have been established a number of daily centres for the elderly, such as Balashe Centres in Durres and Elbasan, Joshua Centre offering social and health services, and there are also projects on private social services for elderly.  The NGOs offering services for elderly are headed by “ASAG”, with the platform “Towards a society for all ages”.  Apart from the above-mentioned centres, there are also two residential centres for the elderly (women and men) administered by the association “Missionaries of Charity”.  </w:t>
      </w:r>
    </w:p>
    <w:p w:rsidR="00000000" w:rsidRDefault="00000000">
      <w:pPr>
        <w:pStyle w:val="Heading2"/>
      </w:pPr>
      <w:r>
        <w:t>Article 3</w:t>
      </w:r>
    </w:p>
    <w:p w:rsidR="00000000" w:rsidRDefault="00000000">
      <w:pPr>
        <w:pStyle w:val="Heading2"/>
      </w:pPr>
      <w:r>
        <w:t>Equality between men and women</w:t>
      </w:r>
    </w:p>
    <w:p w:rsidR="00000000" w:rsidRDefault="00000000">
      <w:pPr>
        <w:pStyle w:val="ParaNo"/>
        <w:tabs>
          <w:tab w:val="clear" w:pos="360"/>
          <w:tab w:val="clear" w:pos="737"/>
        </w:tabs>
        <w:rPr>
          <w:lang w:val="en-GB"/>
        </w:rPr>
      </w:pPr>
      <w:r>
        <w:rPr>
          <w:lang w:val="en-GB"/>
        </w:rPr>
        <w:t xml:space="preserve">The principle of equality between men and women is an integral part of the Albanian legal system, laid down in the Constitution and domestic legislation.  Article 18 of the Constitution provides that all are equal before the law.  No one may be unjustly discriminated against for reasons such as gender, race, religion, ethnicity, language, political, religious or philosophical beliefs, economic condition, education, social status, or ancestry.  </w:t>
      </w:r>
    </w:p>
    <w:p w:rsidR="00000000" w:rsidRDefault="00000000">
      <w:pPr>
        <w:pStyle w:val="ParaNo"/>
        <w:tabs>
          <w:tab w:val="clear" w:pos="360"/>
          <w:tab w:val="clear" w:pos="737"/>
        </w:tabs>
        <w:rPr>
          <w:lang w:val="en-GB"/>
        </w:rPr>
      </w:pPr>
      <w:r>
        <w:rPr>
          <w:lang w:val="en-GB"/>
        </w:rPr>
        <w:t xml:space="preserve">The Republic of Albania is party to the following international instruments: </w:t>
      </w:r>
    </w:p>
    <w:p w:rsidR="00000000" w:rsidRDefault="00000000">
      <w:pPr>
        <w:numPr>
          <w:ilvl w:val="0"/>
          <w:numId w:val="160"/>
        </w:numPr>
      </w:pPr>
      <w:r>
        <w:rPr>
          <w:bCs/>
        </w:rPr>
        <w:t xml:space="preserve">The Convention on the Elimination of All Forms of Discrimination Against Women, </w:t>
      </w:r>
      <w:r>
        <w:t>ratified with Law No. 7767/1993;</w:t>
      </w:r>
    </w:p>
    <w:p w:rsidR="00000000" w:rsidRDefault="00000000">
      <w:pPr>
        <w:numPr>
          <w:ilvl w:val="0"/>
          <w:numId w:val="160"/>
        </w:numPr>
      </w:pPr>
      <w:r>
        <w:t>The Additional Protocol to the Convention, ratified by Law No. 9052 of 17 April 2003 “On the adherence to the Additional Protocol of the Convention on the Elimination of All Forms of Discrimination Against Women”;</w:t>
      </w:r>
    </w:p>
    <w:p w:rsidR="00000000" w:rsidRDefault="00000000">
      <w:pPr>
        <w:numPr>
          <w:ilvl w:val="0"/>
          <w:numId w:val="160"/>
        </w:numPr>
      </w:pPr>
      <w:r>
        <w:t xml:space="preserve">The United Nations Convention Against Transnational Organized Crime, and its Additional Protocol to Prevent, Suppress and Punish Trafficking in Persons, Especially Women and Children; </w:t>
      </w:r>
    </w:p>
    <w:p w:rsidR="00000000" w:rsidRDefault="00000000">
      <w:pPr>
        <w:numPr>
          <w:ilvl w:val="0"/>
          <w:numId w:val="160"/>
        </w:numPr>
      </w:pPr>
      <w:r>
        <w:t>The Convention on the Nationality of Married Women, ratified on 27 July 1960;</w:t>
      </w:r>
    </w:p>
    <w:p w:rsidR="00000000" w:rsidRDefault="00000000">
      <w:pPr>
        <w:numPr>
          <w:ilvl w:val="0"/>
          <w:numId w:val="160"/>
        </w:numPr>
      </w:pPr>
      <w:r>
        <w:t>The Convention on the Political Rights of Women, ratified on 12 May 1955;</w:t>
      </w:r>
    </w:p>
    <w:p w:rsidR="00000000" w:rsidRDefault="00000000">
      <w:pPr>
        <w:numPr>
          <w:ilvl w:val="0"/>
          <w:numId w:val="160"/>
        </w:numPr>
      </w:pPr>
      <w:r>
        <w:br w:type="page"/>
        <w:t>The Amending Protocol to the Convention on the Prevention of Trafficking of Women and Children, and the Convention on the Prevention of the Traffic in Women of Full Age, ratified on 25 July 1949;</w:t>
      </w:r>
    </w:p>
    <w:p w:rsidR="00000000" w:rsidRDefault="00000000">
      <w:pPr>
        <w:numPr>
          <w:ilvl w:val="0"/>
          <w:numId w:val="160"/>
        </w:numPr>
      </w:pPr>
      <w:r>
        <w:t>The International Convention on the Prevention of Trafficking of Women and Children, ratified on 13 October 1924;</w:t>
      </w:r>
    </w:p>
    <w:p w:rsidR="00000000" w:rsidRDefault="00000000">
      <w:pPr>
        <w:numPr>
          <w:ilvl w:val="0"/>
          <w:numId w:val="160"/>
        </w:numPr>
      </w:pPr>
      <w:r>
        <w:t>The Convention for the Suppression of the Traffic in Persons and of the Exploitation of the Prostitution of Others, ratified on 6 November 1958, with reservation to article 22, and</w:t>
      </w:r>
    </w:p>
    <w:p w:rsidR="00000000" w:rsidRDefault="00000000">
      <w:pPr>
        <w:numPr>
          <w:ilvl w:val="0"/>
          <w:numId w:val="160"/>
        </w:numPr>
        <w:rPr>
          <w:bCs/>
        </w:rPr>
      </w:pPr>
      <w:r>
        <w:t>The Final Protocol to the Convention, ratified on 6 November 1958.</w:t>
      </w:r>
    </w:p>
    <w:p w:rsidR="00000000" w:rsidRDefault="00000000">
      <w:pPr>
        <w:rPr>
          <w:bCs/>
        </w:rPr>
      </w:pPr>
      <w:r>
        <w:rPr>
          <w:bCs/>
        </w:rPr>
        <w:t>Within this framework, the Republic of Albania is also party to a number of ILO conventions.</w:t>
      </w:r>
    </w:p>
    <w:p w:rsidR="00000000" w:rsidRDefault="00000000">
      <w:pPr>
        <w:pStyle w:val="ParaNo"/>
        <w:tabs>
          <w:tab w:val="clear" w:pos="360"/>
          <w:tab w:val="clear" w:pos="737"/>
        </w:tabs>
        <w:rPr>
          <w:lang w:val="en-GB"/>
        </w:rPr>
      </w:pPr>
      <w:r>
        <w:rPr>
          <w:lang w:val="en-GB"/>
        </w:rPr>
        <w:t>Recently, a number of NGOs in the area of the protection of the rights of women set up a working group, which presented in February 2004 before the Parliament a draft law “On an equal gender society”, also backed by a number of deputies</w:t>
      </w:r>
      <w:r>
        <w:rPr>
          <w:bCs/>
          <w:lang w:val="en-GB"/>
        </w:rPr>
        <w:t xml:space="preserve">.  </w:t>
      </w:r>
      <w:r>
        <w:rPr>
          <w:lang w:val="en-GB"/>
        </w:rPr>
        <w:t>The purpose of this law is to ensure equal rights for women and men as provided in article 18 of the Constitution of the Republic of Albania, to set out measures to promote equal opportunities among men and women aimed at eliminating direct and indirect discrimination on the grounds of gender in the country’s public life and to set out the responsibilities of the central and local administration for drafting policies aimed at promoting an equal gender society</w:t>
      </w:r>
      <w:r>
        <w:rPr>
          <w:bCs/>
          <w:lang w:val="en-GB"/>
        </w:rPr>
        <w:t xml:space="preserve">.  </w:t>
      </w:r>
      <w:r>
        <w:rPr>
          <w:lang w:val="en-GB"/>
        </w:rPr>
        <w:t>The law also provides concrete measures towards promoting equal opportunities between sexes, in order to eliminate direct and indirect discrimination</w:t>
      </w:r>
      <w:r>
        <w:rPr>
          <w:bCs/>
          <w:lang w:val="en-GB"/>
        </w:rPr>
        <w:t xml:space="preserve">.  </w:t>
      </w:r>
      <w:r>
        <w:rPr>
          <w:lang w:val="en-GB"/>
        </w:rPr>
        <w:t>The Albanian Parliament adopted the law on 1 July 2004</w:t>
      </w:r>
      <w:r>
        <w:rPr>
          <w:bCs/>
          <w:lang w:val="en-GB"/>
        </w:rPr>
        <w:t>.</w:t>
      </w:r>
    </w:p>
    <w:p w:rsidR="00000000" w:rsidRDefault="00000000">
      <w:pPr>
        <w:pStyle w:val="Heading3"/>
      </w:pPr>
      <w:r>
        <w:t xml:space="preserve">Legal cases </w:t>
      </w:r>
    </w:p>
    <w:p w:rsidR="00000000" w:rsidRDefault="00000000">
      <w:pPr>
        <w:pStyle w:val="ParaNo"/>
        <w:tabs>
          <w:tab w:val="clear" w:pos="360"/>
          <w:tab w:val="clear" w:pos="737"/>
        </w:tabs>
        <w:rPr>
          <w:lang w:val="en-GB"/>
        </w:rPr>
      </w:pPr>
      <w:r>
        <w:rPr>
          <w:lang w:val="en-GB"/>
        </w:rPr>
        <w:t>The Albanian authorities have no information with regard to judicial cases related to the implementation of articles of the Convention.  Regardless of that fact, a short-term study of the Committee on Equal Opportunities will aim at conducting a research on the topic, having taken into consideration the fact that this issue was also one of the recommendations of the CEDAW Committee, after the presentation of the first combined report of Albania on the implementation of CEDAW.</w:t>
      </w:r>
    </w:p>
    <w:p w:rsidR="00000000" w:rsidRDefault="00000000">
      <w:pPr>
        <w:pStyle w:val="Heading3"/>
      </w:pPr>
      <w:r>
        <w:t>Research on gender issues</w:t>
      </w:r>
    </w:p>
    <w:p w:rsidR="00000000" w:rsidRDefault="00000000">
      <w:pPr>
        <w:pStyle w:val="ParaNo"/>
        <w:tabs>
          <w:tab w:val="clear" w:pos="360"/>
          <w:tab w:val="clear" w:pos="737"/>
        </w:tabs>
        <w:rPr>
          <w:lang w:val="en-GB"/>
        </w:rPr>
      </w:pPr>
      <w:r>
        <w:rPr>
          <w:lang w:val="en-GB"/>
        </w:rPr>
        <w:t>Currently, research on gender issues is conducted by State agencies or institutions through particular studies or projects on gender issues.  The research is mainly focused on specific issues related to women, such as health care, education, labour, etc.</w:t>
      </w:r>
    </w:p>
    <w:p w:rsidR="00000000" w:rsidRDefault="00000000">
      <w:pPr>
        <w:pStyle w:val="ParaNo"/>
        <w:tabs>
          <w:tab w:val="clear" w:pos="360"/>
          <w:tab w:val="clear" w:pos="737"/>
        </w:tabs>
        <w:rPr>
          <w:lang w:val="en-GB"/>
        </w:rPr>
      </w:pPr>
      <w:r>
        <w:rPr>
          <w:lang w:val="en-GB"/>
        </w:rPr>
        <w:t>At the same time, the Committee on Equal Opportunities carries out different studies on a regular basis with the purpose of gathering information on the real situation, such as two very important studies on rural women, periodical statistical studies, studies on the number of women in leadership, public and political life, analysis of the governmental mechanisms on women, etc.</w:t>
      </w:r>
    </w:p>
    <w:p w:rsidR="00000000" w:rsidRDefault="00000000">
      <w:pPr>
        <w:pStyle w:val="ParaNo"/>
        <w:tabs>
          <w:tab w:val="clear" w:pos="360"/>
          <w:tab w:val="clear" w:pos="737"/>
        </w:tabs>
        <w:rPr>
          <w:lang w:val="en-GB"/>
        </w:rPr>
      </w:pPr>
      <w:r>
        <w:rPr>
          <w:lang w:val="en-GB"/>
        </w:rPr>
        <w:br w:type="page"/>
        <w:t>A Gender Institute has been established in the framework of the Social Sciences Faculty of the University of Tirana, and one of the main outputs of the UNDP project “Gender mainstreaming” is the consolidation of this Institute.  Apart from the above, some NGOs carry out various projects, which aim at conducting research initiatives on gender issues throughout the country.</w:t>
      </w:r>
    </w:p>
    <w:p w:rsidR="00000000" w:rsidRDefault="00000000">
      <w:pPr>
        <w:pStyle w:val="Heading3"/>
      </w:pPr>
      <w:r>
        <w:t xml:space="preserve">National and international cooperation </w:t>
      </w:r>
    </w:p>
    <w:p w:rsidR="00000000" w:rsidRDefault="00000000">
      <w:pPr>
        <w:pStyle w:val="ParaNo"/>
        <w:tabs>
          <w:tab w:val="clear" w:pos="360"/>
          <w:tab w:val="clear" w:pos="737"/>
        </w:tabs>
        <w:rPr>
          <w:lang w:val="en-GB"/>
        </w:rPr>
      </w:pPr>
      <w:r>
        <w:rPr>
          <w:lang w:val="en-GB"/>
        </w:rPr>
        <w:t>The Committee on Equal Opportunities closely cooperates with central and local governmental institutions, prefectures and municipalities in the implementation of different projects on gender issues.  The cooperation tends to raise awareness on the inclusion of sensible gender policies within institutions, the organization of joint activities, common statistical studies based on gender, etc.  Due to the lack of sufficient funding from the State budget, the Committee on Equal Opportunities often applies to national and foreign donors for additional funds.</w:t>
      </w:r>
    </w:p>
    <w:p w:rsidR="00000000" w:rsidRDefault="00000000">
      <w:pPr>
        <w:pStyle w:val="ParaNo"/>
        <w:tabs>
          <w:tab w:val="clear" w:pos="360"/>
          <w:tab w:val="clear" w:pos="737"/>
        </w:tabs>
        <w:rPr>
          <w:lang w:val="en-GB"/>
        </w:rPr>
      </w:pPr>
      <w:r>
        <w:rPr>
          <w:lang w:val="en-GB"/>
        </w:rPr>
        <w:t>During the first three months of 2004 alone, the Committee has organized various activities on women, their rights, problems, etc.  Ongoing projects include:</w:t>
      </w:r>
    </w:p>
    <w:p w:rsidR="00000000" w:rsidRDefault="00000000">
      <w:pPr>
        <w:numPr>
          <w:ilvl w:val="0"/>
          <w:numId w:val="161"/>
        </w:numPr>
      </w:pPr>
      <w:r>
        <w:t>“Gender mainstreaming in local government”, which foresees four local seminars in Korca, Durrës, Sarandë, Kukës during February-June 2004, with the financial support of the Friedrich Ebert Foundation;</w:t>
      </w:r>
    </w:p>
    <w:p w:rsidR="00000000" w:rsidRDefault="00000000">
      <w:pPr>
        <w:numPr>
          <w:ilvl w:val="0"/>
          <w:numId w:val="161"/>
        </w:numPr>
      </w:pPr>
      <w:r>
        <w:t>The UNDP project “Gender mainstreaming”, where the Committee on Equal Opportunities is one of the major partners.  The project will last one year, aiming at the establishment of core gender points at the level of central Government.</w:t>
      </w:r>
    </w:p>
    <w:p w:rsidR="00000000" w:rsidRDefault="00000000">
      <w:pPr>
        <w:pStyle w:val="ParaNo"/>
        <w:tabs>
          <w:tab w:val="clear" w:pos="360"/>
          <w:tab w:val="clear" w:pos="737"/>
        </w:tabs>
        <w:ind w:left="0" w:firstLine="0"/>
        <w:rPr>
          <w:lang w:val="en-GB"/>
        </w:rPr>
      </w:pPr>
      <w:r>
        <w:rPr>
          <w:lang w:val="en-GB"/>
        </w:rPr>
        <w:t>For further details on gender equality in the Republic of Albania and limitation of rights (articles 4 and 5 of the Covenant), see the initial report of Albania (</w:t>
      </w:r>
      <w:r>
        <w:rPr>
          <w:rStyle w:val="style181"/>
          <w:sz w:val="24"/>
          <w:szCs w:val="24"/>
          <w:lang w:val="en-GB"/>
        </w:rPr>
        <w:t>CCPR/C/ALB/2004/1)</w:t>
      </w:r>
      <w:r>
        <w:rPr>
          <w:lang w:val="en-GB"/>
        </w:rPr>
        <w:t>.</w:t>
      </w:r>
    </w:p>
    <w:p w:rsidR="00000000" w:rsidRDefault="00000000">
      <w:pPr>
        <w:pStyle w:val="Heading2"/>
      </w:pPr>
      <w:r>
        <w:t>Article 6</w:t>
      </w:r>
    </w:p>
    <w:p w:rsidR="00000000" w:rsidRDefault="00000000">
      <w:pPr>
        <w:pStyle w:val="Heading2"/>
      </w:pPr>
      <w:r>
        <w:t>Right to employment</w:t>
      </w:r>
    </w:p>
    <w:p w:rsidR="00000000" w:rsidRDefault="00000000">
      <w:pPr>
        <w:pStyle w:val="ParaNo"/>
        <w:tabs>
          <w:tab w:val="clear" w:pos="360"/>
          <w:tab w:val="clear" w:pos="737"/>
        </w:tabs>
        <w:rPr>
          <w:lang w:val="en-GB"/>
        </w:rPr>
      </w:pPr>
      <w:r>
        <w:rPr>
          <w:lang w:val="en-GB"/>
        </w:rPr>
        <w:t>The Republic of Albania became a Member State of the United Nations on 14 December 1955.  As a Member State, the Republic of Albania closely observes the provisions of the Universal Declaration of Human Rights that provides, under its article 23, the right of everyone to employment and to freely choose work.</w:t>
      </w:r>
    </w:p>
    <w:p w:rsidR="00000000" w:rsidRDefault="00000000">
      <w:pPr>
        <w:pStyle w:val="ParaNo"/>
        <w:tabs>
          <w:tab w:val="clear" w:pos="360"/>
          <w:tab w:val="clear" w:pos="737"/>
        </w:tabs>
        <w:rPr>
          <w:lang w:val="en-GB"/>
        </w:rPr>
      </w:pPr>
      <w:r>
        <w:rPr>
          <w:lang w:val="en-GB"/>
        </w:rPr>
        <w:t>The Republic of Albania is party to:</w:t>
      </w:r>
    </w:p>
    <w:p w:rsidR="00000000" w:rsidRDefault="00000000">
      <w:pPr>
        <w:numPr>
          <w:ilvl w:val="0"/>
          <w:numId w:val="162"/>
        </w:numPr>
      </w:pPr>
      <w:r>
        <w:t>The ILO Discrimination (Employment and Occupation) Convention, 1958 (No. 111), ratified in 1997;</w:t>
      </w:r>
    </w:p>
    <w:p w:rsidR="00000000" w:rsidRDefault="00000000">
      <w:pPr>
        <w:numPr>
          <w:ilvl w:val="0"/>
          <w:numId w:val="162"/>
        </w:numPr>
      </w:pPr>
      <w:r>
        <w:t>The International Convention on the Elimination of All Forms of Racial Discrimination;</w:t>
      </w:r>
    </w:p>
    <w:p w:rsidR="00000000" w:rsidRDefault="00000000">
      <w:pPr>
        <w:numPr>
          <w:ilvl w:val="0"/>
          <w:numId w:val="162"/>
        </w:numPr>
      </w:pPr>
      <w:r>
        <w:br w:type="page"/>
        <w:t>The Convention on the Elimination of All Forms of Discrimination against Women;</w:t>
      </w:r>
    </w:p>
    <w:p w:rsidR="00000000" w:rsidRDefault="00000000">
      <w:pPr>
        <w:numPr>
          <w:ilvl w:val="0"/>
          <w:numId w:val="162"/>
        </w:numPr>
      </w:pPr>
      <w:r>
        <w:t>The International Labour Organization Forced Labour Convention, 1930 (No. 29), ratified on 25 June 1957;</w:t>
      </w:r>
    </w:p>
    <w:p w:rsidR="00000000" w:rsidRDefault="00000000">
      <w:pPr>
        <w:numPr>
          <w:ilvl w:val="0"/>
          <w:numId w:val="162"/>
        </w:numPr>
      </w:pPr>
      <w:r>
        <w:t xml:space="preserve">The </w:t>
      </w:r>
      <w:proofErr w:type="spellStart"/>
      <w:r>
        <w:t>ILO</w:t>
      </w:r>
      <w:proofErr w:type="spellEnd"/>
      <w:r>
        <w:t xml:space="preserve"> Abolition of Forced Labour Convention, 1957 (No. 105), ratified on 27 February 1997;</w:t>
      </w:r>
    </w:p>
    <w:p w:rsidR="00000000" w:rsidRDefault="00000000">
      <w:pPr>
        <w:numPr>
          <w:ilvl w:val="0"/>
          <w:numId w:val="162"/>
        </w:numPr>
      </w:pPr>
      <w:r>
        <w:t>The ILO Night Work of Young Persons (Industry) Convention, 1919 (No. 6), ratified on 17 March 1932.</w:t>
      </w:r>
    </w:p>
    <w:p w:rsidR="00000000" w:rsidRDefault="00000000">
      <w:pPr>
        <w:pStyle w:val="ParaNo"/>
        <w:tabs>
          <w:tab w:val="clear" w:pos="360"/>
          <w:tab w:val="clear" w:pos="737"/>
        </w:tabs>
        <w:rPr>
          <w:lang w:val="en-GB"/>
        </w:rPr>
      </w:pPr>
      <w:r>
        <w:rPr>
          <w:lang w:val="en-GB"/>
        </w:rPr>
        <w:t>The Republic of Albania has ratified the European Convention on Human Rights, which prohibits forced labour or mandatory work.  On 24 October 2002, the Parliament of the Republic ratified the Revised European Social Charter, articles 1-8, 11, 19-26, 28 and 29.</w:t>
      </w:r>
    </w:p>
    <w:p w:rsidR="00000000" w:rsidRDefault="00000000">
      <w:pPr>
        <w:pStyle w:val="Heading2"/>
      </w:pPr>
      <w:r>
        <w:t>Levels and tendencies of employment</w:t>
      </w:r>
    </w:p>
    <w:p w:rsidR="00000000" w:rsidRDefault="00000000">
      <w:pPr>
        <w:pStyle w:val="ParaNo"/>
        <w:tabs>
          <w:tab w:val="clear" w:pos="360"/>
          <w:tab w:val="clear" w:pos="737"/>
        </w:tabs>
        <w:rPr>
          <w:lang w:val="en-GB"/>
        </w:rPr>
      </w:pPr>
      <w:r>
        <w:rPr>
          <w:lang w:val="en-GB"/>
        </w:rPr>
        <w:t>According to statistical data from the Ministry of Labour and Social Affairs (Department on Employment Policies), the employment situation is as follows:</w:t>
      </w:r>
    </w:p>
    <w:p w:rsidR="00000000" w:rsidRDefault="00000000">
      <w:pPr>
        <w:numPr>
          <w:ilvl w:val="0"/>
          <w:numId w:val="162"/>
        </w:numPr>
      </w:pPr>
      <w:r>
        <w:t>Total employees in December 2002 - 395,278 persons;</w:t>
      </w:r>
    </w:p>
    <w:p w:rsidR="00000000" w:rsidRDefault="00000000">
      <w:pPr>
        <w:numPr>
          <w:ilvl w:val="0"/>
          <w:numId w:val="162"/>
        </w:numPr>
      </w:pPr>
      <w:r>
        <w:t>Total employees in March 2003 - 396,983 persons, of which 189,739 were in the public and 207,199 persons in the private sector.  Apart from these, 526,347 persons were employed in the agricultural sector.</w:t>
      </w:r>
    </w:p>
    <w:p w:rsidR="00000000" w:rsidRDefault="00000000">
      <w:pPr>
        <w:pStyle w:val="ParaNo"/>
        <w:tabs>
          <w:tab w:val="clear" w:pos="360"/>
          <w:tab w:val="clear" w:pos="737"/>
        </w:tabs>
        <w:rPr>
          <w:lang w:val="en-GB"/>
        </w:rPr>
      </w:pPr>
      <w:r>
        <w:rPr>
          <w:lang w:val="en-GB"/>
        </w:rPr>
        <w:t>The highest level of employment has been registered in Tirana (approximately 179,000 persons), whilst in other parts of the country, compared to the capital, the level of employment is relatively low.  An example of this can be found in the fact that the number of employees in Durres is approximately 25,000, in Elbasan approximately 20,000, etc.</w:t>
      </w:r>
    </w:p>
    <w:p w:rsidR="00000000" w:rsidRDefault="00000000">
      <w:pPr>
        <w:pStyle w:val="Heading4"/>
      </w:pPr>
      <w:r>
        <w:t>Analysis of employment pursuant to the “Strategy of employment and vocational formation”</w:t>
      </w:r>
    </w:p>
    <w:p w:rsidR="00000000" w:rsidRDefault="00000000">
      <w:pPr>
        <w:pStyle w:val="ParaNo"/>
        <w:tabs>
          <w:tab w:val="clear" w:pos="360"/>
          <w:tab w:val="clear" w:pos="737"/>
        </w:tabs>
        <w:rPr>
          <w:lang w:val="en-GB"/>
        </w:rPr>
      </w:pPr>
      <w:r>
        <w:rPr>
          <w:lang w:val="en-GB"/>
        </w:rPr>
        <w:t>Until 1997 the activity of employment offices mainly consisted in showing evidence of new job opportunities created as a result of the economic development of the regions and in genuine interventions in favour of job-seekers.  Even though during these periods there are approximately 16,000 new jobs per year, job search and intervention were more spontaneous than part of any planned objective.</w:t>
      </w:r>
    </w:p>
    <w:p w:rsidR="00000000" w:rsidRDefault="00000000">
      <w:pPr>
        <w:pStyle w:val="ParaNo"/>
        <w:tabs>
          <w:tab w:val="clear" w:pos="360"/>
          <w:tab w:val="clear" w:pos="737"/>
        </w:tabs>
        <w:rPr>
          <w:lang w:val="en-GB"/>
        </w:rPr>
      </w:pPr>
      <w:r>
        <w:rPr>
          <w:lang w:val="en-GB"/>
        </w:rPr>
        <w:t>After 1997, employment offices became implementers of new active programmes in the labour market, such as public work programmes during 1998-1999 and the employment programme starting from 1999.  During this period, 47,297 persons were employed part-time through public work programmes, equal to 11,000 annual jobs.  During the same period a 30 per cent lower number of new jobs was noted by the Employment Offices.  This was due to the fact that the work of these offices was mainly focused in creating new jobs through active programmes, neglecting in a way the evidence of new jobs created by the regional economic development.</w:t>
      </w:r>
    </w:p>
    <w:p w:rsidR="00000000" w:rsidRDefault="00000000">
      <w:pPr>
        <w:pStyle w:val="ParaNo"/>
        <w:tabs>
          <w:tab w:val="clear" w:pos="360"/>
          <w:tab w:val="clear" w:pos="737"/>
        </w:tabs>
      </w:pPr>
      <w:r>
        <w:t xml:space="preserve">From an analysis of employment dynamics for 2002, it was shown that 5,700 persons found a job within the given calendar year.  Most (60 per cent) consisted of jobs generated as a result of business development, and 35 per cent, or 2,000 vacancies, through the intermediary </w:t>
      </w:r>
      <w:proofErr w:type="spellStart"/>
      <w:r>
        <w:t>role</w:t>
      </w:r>
      <w:proofErr w:type="spellEnd"/>
      <w:r>
        <w:t xml:space="preserve"> </w:t>
      </w:r>
      <w:proofErr w:type="spellStart"/>
      <w:r>
        <w:t>carried</w:t>
      </w:r>
      <w:proofErr w:type="spellEnd"/>
      <w:r>
        <w:t xml:space="preserve"> out by employment offices.  The above figures are certainly reflected in the decreasing unemployment rate.  This indicator was 13.1 per cent in September 2002, or </w:t>
      </w:r>
      <w:proofErr w:type="spellStart"/>
      <w:r>
        <w:t>0.4</w:t>
      </w:r>
      <w:proofErr w:type="spellEnd"/>
      <w:r>
        <w:t> </w:t>
      </w:r>
      <w:proofErr w:type="spellStart"/>
      <w:r>
        <w:t>per</w:t>
      </w:r>
      <w:proofErr w:type="spellEnd"/>
      <w:r>
        <w:t xml:space="preserve"> cent lower than the registered rate at the end of 2001.  </w:t>
      </w:r>
    </w:p>
    <w:p w:rsidR="00000000" w:rsidRDefault="00000000">
      <w:pPr>
        <w:pStyle w:val="Heading2"/>
      </w:pPr>
      <w:r>
        <w:t>Unemployment</w:t>
      </w:r>
    </w:p>
    <w:p w:rsidR="00000000" w:rsidRDefault="00000000">
      <w:pPr>
        <w:pStyle w:val="ParaNo"/>
        <w:tabs>
          <w:tab w:val="clear" w:pos="360"/>
          <w:tab w:val="clear" w:pos="737"/>
        </w:tabs>
        <w:rPr>
          <w:lang w:val="en-GB"/>
        </w:rPr>
      </w:pPr>
      <w:r>
        <w:rPr>
          <w:lang w:val="en-GB"/>
        </w:rPr>
        <w:t>From the analysis carried out by the Strategy of Employment and Vocational Formation, a very high level of unemployment was noted during 1990-1993, with its peak in 1993, with up to 467,000 unemployed receiving jobless benefits.  Fifty per cent of unemployed persons were females.  This fact is closely related to the closure, restructuring, and privatization of many enterprises where women were massively employed.</w:t>
      </w:r>
    </w:p>
    <w:p w:rsidR="00000000" w:rsidRDefault="00000000">
      <w:pPr>
        <w:pStyle w:val="ParaNo"/>
        <w:tabs>
          <w:tab w:val="clear" w:pos="360"/>
          <w:tab w:val="clear" w:pos="737"/>
        </w:tabs>
        <w:rPr>
          <w:lang w:val="en-GB"/>
        </w:rPr>
      </w:pPr>
      <w:r>
        <w:rPr>
          <w:lang w:val="en-GB"/>
        </w:rPr>
        <w:t>After 1993, the rate of unemployment decreases significantly.  During 1996 there were 158,000 unemployed registered at the Employment Offices throughout the country.  This was mainly the result of the exclusion of the rural population from the unemployment scheme, the adjustment of another part of the unemployed to the newly established reality, etc.  From the data from the Employment Offices, every month during this period some 1,900 employed registered, outside the total number of unemployed.</w:t>
      </w:r>
    </w:p>
    <w:p w:rsidR="00000000" w:rsidRDefault="00000000">
      <w:pPr>
        <w:pStyle w:val="ParaNo"/>
        <w:tabs>
          <w:tab w:val="clear" w:pos="360"/>
          <w:tab w:val="clear" w:pos="737"/>
        </w:tabs>
        <w:rPr>
          <w:lang w:val="en-GB"/>
        </w:rPr>
      </w:pPr>
      <w:r>
        <w:rPr>
          <w:lang w:val="en-GB"/>
        </w:rPr>
        <w:t>The highest rate of unemployment between 1993-1996 was registered in the central part of the country, comprising 14 per cent of the workforce.  This was due to the massive internal immigration from rural towards urban areas.</w:t>
      </w:r>
    </w:p>
    <w:p w:rsidR="00000000" w:rsidRDefault="00000000">
      <w:pPr>
        <w:pStyle w:val="ParaNo"/>
        <w:tabs>
          <w:tab w:val="clear" w:pos="360"/>
          <w:tab w:val="clear" w:pos="737"/>
        </w:tabs>
        <w:rPr>
          <w:lang w:val="en-GB"/>
        </w:rPr>
      </w:pPr>
      <w:r>
        <w:rPr>
          <w:lang w:val="en-GB"/>
        </w:rPr>
        <w:t>These fluctuations were mainly headed towards the cities of Tirana, Durres and their suburbs.  As a result of the collapse of several pyramid schemes, in 1997-1998 the level of unemployment increased significantly.</w:t>
      </w:r>
    </w:p>
    <w:p w:rsidR="00000000" w:rsidRDefault="00000000">
      <w:pPr>
        <w:pStyle w:val="ParaNo"/>
        <w:tabs>
          <w:tab w:val="clear" w:pos="360"/>
          <w:tab w:val="clear" w:pos="737"/>
        </w:tabs>
        <w:rPr>
          <w:lang w:val="en-GB"/>
        </w:rPr>
      </w:pPr>
      <w:r>
        <w:rPr>
          <w:lang w:val="en-GB"/>
        </w:rPr>
        <w:t>To illustrate this fact, it can be mentioned that, in 1998, the number of registered unemployed reached 235,000 persons, or 16.6 per cent of the total workforce.  The level of unemployment in 1998 was even higher in comparison with 1997.  In order to cope with the situation, during 1998-1999 a set of measures were adopted, mainly legislative and administrative measures, comprising the establishment of the National Employment Service (NES).</w:t>
      </w:r>
    </w:p>
    <w:p w:rsidR="00000000" w:rsidRDefault="00000000">
      <w:pPr>
        <w:pStyle w:val="ParaNo"/>
        <w:tabs>
          <w:tab w:val="clear" w:pos="360"/>
          <w:tab w:val="clear" w:pos="737"/>
        </w:tabs>
        <w:rPr>
          <w:lang w:val="en-GB"/>
        </w:rPr>
      </w:pPr>
      <w:r>
        <w:rPr>
          <w:lang w:val="en-GB"/>
        </w:rPr>
        <w:t>For the first time, after 1999 active programmes were applied to employment, such as public works and employment programmes.  Due to these measures, the unemployment rate started to decrease.</w:t>
      </w:r>
    </w:p>
    <w:p w:rsidR="00000000" w:rsidRDefault="00000000">
      <w:pPr>
        <w:pStyle w:val="ParaNo"/>
        <w:tabs>
          <w:tab w:val="clear" w:pos="360"/>
          <w:tab w:val="clear" w:pos="737"/>
        </w:tabs>
        <w:rPr>
          <w:lang w:val="en-GB"/>
        </w:rPr>
      </w:pPr>
      <w:r>
        <w:rPr>
          <w:lang w:val="en-GB"/>
        </w:rPr>
        <w:t>During 1999 the number of unemployed persons was reduced by 7,660 job-seekers.  Positive results of these programmes were reflected in significant decreases of the number of the unemployed, which in the year 2000 reached 215,000 persons, whilst in 2001 this figure was 180,000, or 13.5 per cent of the overall workforce.</w:t>
      </w:r>
    </w:p>
    <w:p w:rsidR="00000000" w:rsidRDefault="00000000">
      <w:pPr>
        <w:pStyle w:val="ParaNo"/>
        <w:tabs>
          <w:tab w:val="clear" w:pos="360"/>
          <w:tab w:val="clear" w:pos="737"/>
        </w:tabs>
        <w:rPr>
          <w:lang w:val="en-GB"/>
        </w:rPr>
      </w:pPr>
      <w:r>
        <w:rPr>
          <w:lang w:val="en-GB"/>
        </w:rPr>
        <w:br w:type="page"/>
        <w:t>Carrying out an analysis of the unemployment rate by comparing this phenomena in various districts, it can be noted that Durres, Fier, Gjirokastra, Tirana and Vlora have lower rates of employment, whilst districts of Kucova, Lac, Kukes, Mirdita, Puka, Tropoja and Shkodra, which are mostly situated in the north-eastern part of the country have higher rates of employment than the country’s average.  However, this rate was slightly lower than a year ago (2002).</w:t>
      </w:r>
    </w:p>
    <w:p w:rsidR="00000000" w:rsidRDefault="00000000">
      <w:pPr>
        <w:pStyle w:val="ParaNo"/>
        <w:tabs>
          <w:tab w:val="clear" w:pos="360"/>
          <w:tab w:val="clear" w:pos="737"/>
        </w:tabs>
        <w:rPr>
          <w:lang w:val="en-GB"/>
        </w:rPr>
      </w:pPr>
      <w:r>
        <w:rPr>
          <w:lang w:val="en-GB"/>
        </w:rPr>
        <w:t>In the north-eastern part of the country, the percentage of unemployment is the highest, 18.4 per cent.  This has been due to several factors, among which the most important are the relatively limited possibilities for development, the low level of business development and the structure of overall business, dominated mainly by small and medium enterprises.  Other factors that took place in those regions were the tendencies to transfer businesses from that area and social problems after the agrarian reform, which constrained many individuals to be registered as job-seekers.</w:t>
      </w:r>
    </w:p>
    <w:p w:rsidR="00000000" w:rsidRDefault="00000000">
      <w:pPr>
        <w:pStyle w:val="ParaNo"/>
        <w:tabs>
          <w:tab w:val="clear" w:pos="360"/>
          <w:tab w:val="clear" w:pos="737"/>
        </w:tabs>
        <w:rPr>
          <w:lang w:val="en-GB"/>
        </w:rPr>
      </w:pPr>
      <w:r>
        <w:rPr>
          <w:lang w:val="en-GB"/>
        </w:rPr>
        <w:t>Referring to statistical data, during 2002 the number of job-seekers was 172,000, or 13 per cent of the total active forces.  The supply of active services in the labour market, focused mainly on facilitating employment and the implementation of employment programmes, contributed to the decrease of the number of registered job-seekers at the Employment Offices throughout the country.</w:t>
      </w:r>
    </w:p>
    <w:p w:rsidR="00000000" w:rsidRDefault="00000000">
      <w:pPr>
        <w:pStyle w:val="Heading2"/>
      </w:pPr>
      <w:r>
        <w:t>Table 2</w:t>
      </w:r>
    </w:p>
    <w:p w:rsidR="00000000" w:rsidRDefault="00000000">
      <w:pPr>
        <w:pStyle w:val="Heading2"/>
      </w:pPr>
      <w:r>
        <w:t>Number of unemployed during 1990-2001</w:t>
      </w:r>
    </w:p>
    <w:tbl>
      <w:tblPr>
        <w:tblW w:w="916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612"/>
        <w:gridCol w:w="612"/>
        <w:gridCol w:w="613"/>
        <w:gridCol w:w="612"/>
        <w:gridCol w:w="612"/>
        <w:gridCol w:w="613"/>
        <w:gridCol w:w="612"/>
        <w:gridCol w:w="613"/>
        <w:gridCol w:w="612"/>
        <w:gridCol w:w="612"/>
        <w:gridCol w:w="613"/>
        <w:gridCol w:w="612"/>
        <w:gridCol w:w="613"/>
      </w:tblGrid>
      <w:tr w:rsidR="00000000">
        <w:tblPrEx>
          <w:tblCellMar>
            <w:top w:w="0" w:type="dxa"/>
            <w:bottom w:w="0" w:type="dxa"/>
          </w:tblCellMar>
        </w:tblPrEx>
        <w:tc>
          <w:tcPr>
            <w:tcW w:w="1200" w:type="dxa"/>
            <w:vAlign w:val="center"/>
          </w:tcPr>
          <w:p w:rsidR="00000000" w:rsidRDefault="00000000">
            <w:pPr>
              <w:spacing w:before="80" w:after="80"/>
              <w:rPr>
                <w:sz w:val="16"/>
                <w:szCs w:val="22"/>
              </w:rPr>
            </w:pPr>
          </w:p>
        </w:tc>
        <w:tc>
          <w:tcPr>
            <w:tcW w:w="612" w:type="dxa"/>
            <w:vAlign w:val="center"/>
          </w:tcPr>
          <w:p w:rsidR="00000000" w:rsidRDefault="00000000">
            <w:pPr>
              <w:spacing w:before="80" w:after="80"/>
              <w:jc w:val="center"/>
              <w:rPr>
                <w:sz w:val="16"/>
                <w:szCs w:val="22"/>
              </w:rPr>
            </w:pPr>
            <w:r>
              <w:rPr>
                <w:sz w:val="16"/>
                <w:szCs w:val="22"/>
              </w:rPr>
              <w:t>1990</w:t>
            </w:r>
          </w:p>
        </w:tc>
        <w:tc>
          <w:tcPr>
            <w:tcW w:w="612" w:type="dxa"/>
            <w:vAlign w:val="center"/>
          </w:tcPr>
          <w:p w:rsidR="00000000" w:rsidRDefault="00000000">
            <w:pPr>
              <w:spacing w:before="80" w:after="80"/>
              <w:jc w:val="center"/>
              <w:rPr>
                <w:sz w:val="16"/>
                <w:szCs w:val="22"/>
              </w:rPr>
            </w:pPr>
            <w:r>
              <w:rPr>
                <w:sz w:val="16"/>
                <w:szCs w:val="22"/>
              </w:rPr>
              <w:t>1991</w:t>
            </w:r>
          </w:p>
        </w:tc>
        <w:tc>
          <w:tcPr>
            <w:tcW w:w="613" w:type="dxa"/>
            <w:vAlign w:val="center"/>
          </w:tcPr>
          <w:p w:rsidR="00000000" w:rsidRDefault="00000000">
            <w:pPr>
              <w:spacing w:before="80" w:after="80"/>
              <w:jc w:val="center"/>
              <w:rPr>
                <w:sz w:val="16"/>
                <w:szCs w:val="22"/>
              </w:rPr>
            </w:pPr>
            <w:r>
              <w:rPr>
                <w:sz w:val="16"/>
                <w:szCs w:val="22"/>
              </w:rPr>
              <w:t>1992</w:t>
            </w:r>
          </w:p>
        </w:tc>
        <w:tc>
          <w:tcPr>
            <w:tcW w:w="612" w:type="dxa"/>
            <w:vAlign w:val="center"/>
          </w:tcPr>
          <w:p w:rsidR="00000000" w:rsidRDefault="00000000">
            <w:pPr>
              <w:spacing w:before="80" w:after="80"/>
              <w:jc w:val="center"/>
              <w:rPr>
                <w:sz w:val="16"/>
                <w:szCs w:val="22"/>
              </w:rPr>
            </w:pPr>
            <w:r>
              <w:rPr>
                <w:sz w:val="16"/>
                <w:szCs w:val="22"/>
              </w:rPr>
              <w:t>1993</w:t>
            </w:r>
          </w:p>
        </w:tc>
        <w:tc>
          <w:tcPr>
            <w:tcW w:w="612" w:type="dxa"/>
            <w:vAlign w:val="center"/>
          </w:tcPr>
          <w:p w:rsidR="00000000" w:rsidRDefault="00000000">
            <w:pPr>
              <w:spacing w:before="80" w:after="80"/>
              <w:jc w:val="center"/>
              <w:rPr>
                <w:sz w:val="16"/>
                <w:szCs w:val="22"/>
              </w:rPr>
            </w:pPr>
            <w:r>
              <w:rPr>
                <w:sz w:val="16"/>
                <w:szCs w:val="22"/>
              </w:rPr>
              <w:t>1994</w:t>
            </w:r>
          </w:p>
        </w:tc>
        <w:tc>
          <w:tcPr>
            <w:tcW w:w="613" w:type="dxa"/>
            <w:vAlign w:val="center"/>
          </w:tcPr>
          <w:p w:rsidR="00000000" w:rsidRDefault="00000000">
            <w:pPr>
              <w:spacing w:before="80" w:after="80"/>
              <w:jc w:val="center"/>
              <w:rPr>
                <w:sz w:val="16"/>
                <w:szCs w:val="22"/>
              </w:rPr>
            </w:pPr>
            <w:r>
              <w:rPr>
                <w:sz w:val="16"/>
                <w:szCs w:val="22"/>
              </w:rPr>
              <w:t>1995</w:t>
            </w:r>
          </w:p>
        </w:tc>
        <w:tc>
          <w:tcPr>
            <w:tcW w:w="612" w:type="dxa"/>
            <w:vAlign w:val="center"/>
          </w:tcPr>
          <w:p w:rsidR="00000000" w:rsidRDefault="00000000">
            <w:pPr>
              <w:spacing w:before="80" w:after="80"/>
              <w:jc w:val="center"/>
              <w:rPr>
                <w:sz w:val="16"/>
                <w:szCs w:val="22"/>
              </w:rPr>
            </w:pPr>
            <w:r>
              <w:rPr>
                <w:sz w:val="16"/>
                <w:szCs w:val="22"/>
              </w:rPr>
              <w:t>1996</w:t>
            </w:r>
          </w:p>
        </w:tc>
        <w:tc>
          <w:tcPr>
            <w:tcW w:w="613" w:type="dxa"/>
            <w:vAlign w:val="center"/>
          </w:tcPr>
          <w:p w:rsidR="00000000" w:rsidRDefault="00000000">
            <w:pPr>
              <w:spacing w:before="80" w:after="80"/>
              <w:jc w:val="center"/>
              <w:rPr>
                <w:sz w:val="16"/>
                <w:szCs w:val="22"/>
              </w:rPr>
            </w:pPr>
            <w:r>
              <w:rPr>
                <w:sz w:val="16"/>
                <w:szCs w:val="22"/>
              </w:rPr>
              <w:t>1997</w:t>
            </w:r>
          </w:p>
        </w:tc>
        <w:tc>
          <w:tcPr>
            <w:tcW w:w="612" w:type="dxa"/>
            <w:vAlign w:val="center"/>
          </w:tcPr>
          <w:p w:rsidR="00000000" w:rsidRDefault="00000000">
            <w:pPr>
              <w:spacing w:before="80" w:after="80"/>
              <w:jc w:val="center"/>
              <w:rPr>
                <w:sz w:val="16"/>
                <w:szCs w:val="22"/>
              </w:rPr>
            </w:pPr>
            <w:r>
              <w:rPr>
                <w:sz w:val="16"/>
                <w:szCs w:val="22"/>
              </w:rPr>
              <w:t>1998</w:t>
            </w:r>
          </w:p>
        </w:tc>
        <w:tc>
          <w:tcPr>
            <w:tcW w:w="612" w:type="dxa"/>
            <w:vAlign w:val="center"/>
          </w:tcPr>
          <w:p w:rsidR="00000000" w:rsidRDefault="00000000">
            <w:pPr>
              <w:spacing w:before="80" w:after="80"/>
              <w:jc w:val="center"/>
              <w:rPr>
                <w:sz w:val="16"/>
                <w:szCs w:val="22"/>
              </w:rPr>
            </w:pPr>
            <w:r>
              <w:rPr>
                <w:sz w:val="16"/>
                <w:szCs w:val="22"/>
              </w:rPr>
              <w:t>1999</w:t>
            </w:r>
          </w:p>
        </w:tc>
        <w:tc>
          <w:tcPr>
            <w:tcW w:w="613" w:type="dxa"/>
            <w:vAlign w:val="center"/>
          </w:tcPr>
          <w:p w:rsidR="00000000" w:rsidRDefault="00000000">
            <w:pPr>
              <w:spacing w:before="80" w:after="80"/>
              <w:jc w:val="center"/>
              <w:rPr>
                <w:sz w:val="16"/>
                <w:szCs w:val="22"/>
              </w:rPr>
            </w:pPr>
            <w:r>
              <w:rPr>
                <w:sz w:val="16"/>
                <w:szCs w:val="22"/>
              </w:rPr>
              <w:t>2000</w:t>
            </w:r>
          </w:p>
        </w:tc>
        <w:tc>
          <w:tcPr>
            <w:tcW w:w="612" w:type="dxa"/>
            <w:vAlign w:val="center"/>
          </w:tcPr>
          <w:p w:rsidR="00000000" w:rsidRDefault="00000000">
            <w:pPr>
              <w:spacing w:before="80" w:after="80"/>
              <w:jc w:val="center"/>
              <w:rPr>
                <w:sz w:val="16"/>
                <w:szCs w:val="22"/>
              </w:rPr>
            </w:pPr>
            <w:r>
              <w:rPr>
                <w:sz w:val="16"/>
                <w:szCs w:val="22"/>
              </w:rPr>
              <w:t>2001</w:t>
            </w:r>
          </w:p>
        </w:tc>
        <w:tc>
          <w:tcPr>
            <w:tcW w:w="613" w:type="dxa"/>
            <w:vAlign w:val="center"/>
          </w:tcPr>
          <w:p w:rsidR="00000000" w:rsidRDefault="00000000">
            <w:pPr>
              <w:spacing w:before="80" w:after="80"/>
              <w:jc w:val="center"/>
              <w:rPr>
                <w:sz w:val="16"/>
                <w:szCs w:val="22"/>
              </w:rPr>
            </w:pPr>
            <w:r>
              <w:rPr>
                <w:sz w:val="16"/>
                <w:szCs w:val="22"/>
              </w:rPr>
              <w:t>2002</w:t>
            </w:r>
          </w:p>
        </w:tc>
      </w:tr>
      <w:tr w:rsidR="00000000">
        <w:tblPrEx>
          <w:tblCellMar>
            <w:top w:w="0" w:type="dxa"/>
            <w:bottom w:w="0" w:type="dxa"/>
          </w:tblCellMar>
        </w:tblPrEx>
        <w:tc>
          <w:tcPr>
            <w:tcW w:w="1200" w:type="dxa"/>
            <w:vAlign w:val="center"/>
          </w:tcPr>
          <w:p w:rsidR="00000000" w:rsidRDefault="00000000">
            <w:pPr>
              <w:spacing w:before="80" w:after="80"/>
              <w:rPr>
                <w:sz w:val="16"/>
                <w:szCs w:val="22"/>
              </w:rPr>
            </w:pPr>
            <w:r>
              <w:rPr>
                <w:sz w:val="16"/>
                <w:szCs w:val="22"/>
              </w:rPr>
              <w:t>Total number of unemployed (in thousands)</w:t>
            </w:r>
          </w:p>
        </w:tc>
        <w:tc>
          <w:tcPr>
            <w:tcW w:w="612" w:type="dxa"/>
            <w:vAlign w:val="center"/>
          </w:tcPr>
          <w:p w:rsidR="00000000" w:rsidRDefault="00000000">
            <w:pPr>
              <w:spacing w:after="0"/>
              <w:jc w:val="center"/>
              <w:rPr>
                <w:sz w:val="16"/>
                <w:szCs w:val="22"/>
              </w:rPr>
            </w:pPr>
            <w:r>
              <w:rPr>
                <w:sz w:val="16"/>
                <w:szCs w:val="22"/>
              </w:rPr>
              <w:t>150.7</w:t>
            </w:r>
          </w:p>
        </w:tc>
        <w:tc>
          <w:tcPr>
            <w:tcW w:w="612" w:type="dxa"/>
            <w:vAlign w:val="center"/>
          </w:tcPr>
          <w:p w:rsidR="00000000" w:rsidRDefault="00000000">
            <w:pPr>
              <w:spacing w:after="0"/>
              <w:jc w:val="center"/>
              <w:rPr>
                <w:sz w:val="16"/>
                <w:szCs w:val="22"/>
              </w:rPr>
            </w:pPr>
            <w:r>
              <w:rPr>
                <w:sz w:val="16"/>
                <w:szCs w:val="22"/>
              </w:rPr>
              <w:t>139.8</w:t>
            </w:r>
          </w:p>
        </w:tc>
        <w:tc>
          <w:tcPr>
            <w:tcW w:w="613" w:type="dxa"/>
            <w:vAlign w:val="center"/>
          </w:tcPr>
          <w:p w:rsidR="00000000" w:rsidRDefault="00000000">
            <w:pPr>
              <w:spacing w:after="0"/>
              <w:jc w:val="center"/>
              <w:rPr>
                <w:sz w:val="16"/>
                <w:szCs w:val="22"/>
              </w:rPr>
            </w:pPr>
            <w:r>
              <w:rPr>
                <w:sz w:val="16"/>
                <w:szCs w:val="22"/>
              </w:rPr>
              <w:t>394</w:t>
            </w:r>
          </w:p>
        </w:tc>
        <w:tc>
          <w:tcPr>
            <w:tcW w:w="612" w:type="dxa"/>
            <w:vAlign w:val="center"/>
          </w:tcPr>
          <w:p w:rsidR="00000000" w:rsidRDefault="00000000">
            <w:pPr>
              <w:spacing w:after="0"/>
              <w:jc w:val="center"/>
              <w:rPr>
                <w:sz w:val="16"/>
                <w:szCs w:val="22"/>
              </w:rPr>
            </w:pPr>
            <w:r>
              <w:rPr>
                <w:sz w:val="16"/>
                <w:szCs w:val="22"/>
              </w:rPr>
              <w:t>301</w:t>
            </w:r>
          </w:p>
        </w:tc>
        <w:tc>
          <w:tcPr>
            <w:tcW w:w="612" w:type="dxa"/>
            <w:vAlign w:val="center"/>
          </w:tcPr>
          <w:p w:rsidR="00000000" w:rsidRDefault="00000000">
            <w:pPr>
              <w:spacing w:after="0"/>
              <w:jc w:val="center"/>
              <w:rPr>
                <w:sz w:val="16"/>
                <w:szCs w:val="22"/>
              </w:rPr>
            </w:pPr>
            <w:r>
              <w:rPr>
                <w:sz w:val="16"/>
                <w:szCs w:val="22"/>
              </w:rPr>
              <w:t>261.8</w:t>
            </w:r>
          </w:p>
        </w:tc>
        <w:tc>
          <w:tcPr>
            <w:tcW w:w="613" w:type="dxa"/>
            <w:vAlign w:val="center"/>
          </w:tcPr>
          <w:p w:rsidR="00000000" w:rsidRDefault="00000000">
            <w:pPr>
              <w:spacing w:after="0"/>
              <w:jc w:val="center"/>
              <w:rPr>
                <w:sz w:val="16"/>
                <w:szCs w:val="22"/>
              </w:rPr>
            </w:pPr>
            <w:r>
              <w:rPr>
                <w:sz w:val="16"/>
                <w:szCs w:val="22"/>
              </w:rPr>
              <w:t>171</w:t>
            </w:r>
          </w:p>
        </w:tc>
        <w:tc>
          <w:tcPr>
            <w:tcW w:w="612" w:type="dxa"/>
            <w:vAlign w:val="center"/>
          </w:tcPr>
          <w:p w:rsidR="00000000" w:rsidRDefault="00000000">
            <w:pPr>
              <w:spacing w:after="0"/>
              <w:jc w:val="center"/>
              <w:rPr>
                <w:sz w:val="16"/>
                <w:szCs w:val="22"/>
              </w:rPr>
            </w:pPr>
            <w:r>
              <w:rPr>
                <w:sz w:val="16"/>
                <w:szCs w:val="22"/>
              </w:rPr>
              <w:t>158.1</w:t>
            </w:r>
          </w:p>
        </w:tc>
        <w:tc>
          <w:tcPr>
            <w:tcW w:w="613" w:type="dxa"/>
            <w:vAlign w:val="center"/>
          </w:tcPr>
          <w:p w:rsidR="00000000" w:rsidRDefault="00000000">
            <w:pPr>
              <w:spacing w:after="0"/>
              <w:jc w:val="center"/>
              <w:rPr>
                <w:sz w:val="16"/>
                <w:szCs w:val="22"/>
              </w:rPr>
            </w:pPr>
            <w:r>
              <w:rPr>
                <w:sz w:val="16"/>
                <w:szCs w:val="22"/>
              </w:rPr>
              <w:t>193.5</w:t>
            </w:r>
          </w:p>
        </w:tc>
        <w:tc>
          <w:tcPr>
            <w:tcW w:w="612" w:type="dxa"/>
            <w:vAlign w:val="center"/>
          </w:tcPr>
          <w:p w:rsidR="00000000" w:rsidRDefault="00000000">
            <w:pPr>
              <w:spacing w:after="0"/>
              <w:jc w:val="center"/>
              <w:rPr>
                <w:sz w:val="16"/>
                <w:szCs w:val="22"/>
              </w:rPr>
            </w:pPr>
            <w:r>
              <w:rPr>
                <w:sz w:val="16"/>
                <w:szCs w:val="22"/>
              </w:rPr>
              <w:t>235</w:t>
            </w:r>
          </w:p>
        </w:tc>
        <w:tc>
          <w:tcPr>
            <w:tcW w:w="612" w:type="dxa"/>
            <w:vAlign w:val="center"/>
          </w:tcPr>
          <w:p w:rsidR="00000000" w:rsidRDefault="00000000">
            <w:pPr>
              <w:spacing w:after="0"/>
              <w:jc w:val="center"/>
              <w:rPr>
                <w:sz w:val="16"/>
                <w:szCs w:val="22"/>
              </w:rPr>
            </w:pPr>
            <w:r>
              <w:rPr>
                <w:sz w:val="16"/>
                <w:szCs w:val="22"/>
              </w:rPr>
              <w:t>240</w:t>
            </w:r>
          </w:p>
        </w:tc>
        <w:tc>
          <w:tcPr>
            <w:tcW w:w="613" w:type="dxa"/>
            <w:vAlign w:val="center"/>
          </w:tcPr>
          <w:p w:rsidR="00000000" w:rsidRDefault="00000000">
            <w:pPr>
              <w:spacing w:after="0"/>
              <w:jc w:val="center"/>
              <w:rPr>
                <w:sz w:val="16"/>
                <w:szCs w:val="22"/>
              </w:rPr>
            </w:pPr>
            <w:r>
              <w:rPr>
                <w:sz w:val="16"/>
                <w:szCs w:val="22"/>
              </w:rPr>
              <w:t>215</w:t>
            </w:r>
          </w:p>
        </w:tc>
        <w:tc>
          <w:tcPr>
            <w:tcW w:w="612" w:type="dxa"/>
            <w:vAlign w:val="center"/>
          </w:tcPr>
          <w:p w:rsidR="00000000" w:rsidRDefault="00000000">
            <w:pPr>
              <w:spacing w:after="0"/>
              <w:jc w:val="center"/>
              <w:rPr>
                <w:sz w:val="16"/>
                <w:szCs w:val="22"/>
              </w:rPr>
            </w:pPr>
            <w:r>
              <w:rPr>
                <w:sz w:val="16"/>
                <w:szCs w:val="22"/>
              </w:rPr>
              <w:t>181</w:t>
            </w:r>
          </w:p>
        </w:tc>
        <w:tc>
          <w:tcPr>
            <w:tcW w:w="613" w:type="dxa"/>
            <w:vAlign w:val="center"/>
          </w:tcPr>
          <w:p w:rsidR="00000000" w:rsidRDefault="00000000">
            <w:pPr>
              <w:spacing w:after="0"/>
              <w:jc w:val="center"/>
              <w:rPr>
                <w:sz w:val="16"/>
                <w:szCs w:val="22"/>
              </w:rPr>
            </w:pPr>
            <w:r>
              <w:rPr>
                <w:sz w:val="16"/>
                <w:szCs w:val="22"/>
              </w:rPr>
              <w:t>172</w:t>
            </w:r>
          </w:p>
        </w:tc>
      </w:tr>
    </w:tbl>
    <w:p w:rsidR="00000000" w:rsidRDefault="00000000">
      <w:pPr>
        <w:pStyle w:val="Heading3"/>
        <w:spacing w:before="240"/>
      </w:pPr>
      <w:r>
        <w:t>Most affected persons, groups and regions with regard to unemployment</w:t>
      </w:r>
    </w:p>
    <w:p w:rsidR="00000000" w:rsidRDefault="00000000">
      <w:pPr>
        <w:pStyle w:val="ParaNo"/>
        <w:tabs>
          <w:tab w:val="clear" w:pos="360"/>
          <w:tab w:val="clear" w:pos="737"/>
        </w:tabs>
        <w:rPr>
          <w:lang w:val="en-GB"/>
        </w:rPr>
      </w:pPr>
      <w:r>
        <w:rPr>
          <w:lang w:val="en-GB"/>
        </w:rPr>
        <w:t>Persons and groups most affected by unemployment:</w:t>
      </w:r>
    </w:p>
    <w:p w:rsidR="00000000" w:rsidRDefault="00000000">
      <w:pPr>
        <w:numPr>
          <w:ilvl w:val="0"/>
          <w:numId w:val="163"/>
        </w:numPr>
      </w:pPr>
      <w:r>
        <w:t>Women over 35 years old;</w:t>
      </w:r>
    </w:p>
    <w:p w:rsidR="00000000" w:rsidRDefault="00000000">
      <w:pPr>
        <w:numPr>
          <w:ilvl w:val="0"/>
          <w:numId w:val="163"/>
        </w:numPr>
      </w:pPr>
      <w:r>
        <w:t>Disabled persons;</w:t>
      </w:r>
    </w:p>
    <w:p w:rsidR="00000000" w:rsidRDefault="00000000">
      <w:pPr>
        <w:numPr>
          <w:ilvl w:val="0"/>
          <w:numId w:val="163"/>
        </w:numPr>
      </w:pPr>
      <w:r>
        <w:t>Trafficked women;</w:t>
      </w:r>
    </w:p>
    <w:p w:rsidR="00000000" w:rsidRDefault="00000000">
      <w:pPr>
        <w:numPr>
          <w:ilvl w:val="0"/>
          <w:numId w:val="163"/>
        </w:numPr>
      </w:pPr>
      <w:r>
        <w:t>Persons who benefit from social schemes;</w:t>
      </w:r>
    </w:p>
    <w:p w:rsidR="00000000" w:rsidRDefault="00000000">
      <w:pPr>
        <w:numPr>
          <w:ilvl w:val="0"/>
          <w:numId w:val="163"/>
        </w:numPr>
      </w:pPr>
      <w:r>
        <w:t>Persons becoming jobless due to privatization, reform and restructuring of State enterprises or institutions;</w:t>
      </w:r>
    </w:p>
    <w:p w:rsidR="00000000" w:rsidRDefault="00000000">
      <w:pPr>
        <w:numPr>
          <w:ilvl w:val="0"/>
          <w:numId w:val="163"/>
        </w:numPr>
      </w:pPr>
      <w:r>
        <w:t>Young unemployed mothers;</w:t>
      </w:r>
    </w:p>
    <w:p w:rsidR="00000000" w:rsidRDefault="00000000">
      <w:pPr>
        <w:numPr>
          <w:ilvl w:val="0"/>
          <w:numId w:val="163"/>
        </w:numPr>
      </w:pPr>
      <w:r>
        <w:t>Previously trafficked young girls;</w:t>
      </w:r>
    </w:p>
    <w:p w:rsidR="00000000" w:rsidRDefault="00000000">
      <w:pPr>
        <w:numPr>
          <w:ilvl w:val="0"/>
          <w:numId w:val="163"/>
        </w:numPr>
      </w:pPr>
      <w:r>
        <w:t>Divorced women facing economic problems;</w:t>
      </w:r>
    </w:p>
    <w:p w:rsidR="00000000" w:rsidRDefault="00000000">
      <w:pPr>
        <w:numPr>
          <w:ilvl w:val="0"/>
          <w:numId w:val="163"/>
        </w:numPr>
      </w:pPr>
      <w:r>
        <w:t>Immigrants returning in the country with economic problems;</w:t>
      </w:r>
    </w:p>
    <w:p w:rsidR="00000000" w:rsidRDefault="00000000">
      <w:pPr>
        <w:numPr>
          <w:ilvl w:val="0"/>
          <w:numId w:val="163"/>
        </w:numPr>
      </w:pPr>
      <w:r>
        <w:t>Recent graduates not yet familiar with the labour market;</w:t>
      </w:r>
    </w:p>
    <w:p w:rsidR="00000000" w:rsidRDefault="00000000">
      <w:pPr>
        <w:numPr>
          <w:ilvl w:val="0"/>
          <w:numId w:val="163"/>
        </w:numPr>
      </w:pPr>
      <w:r>
        <w:t>Ex-prisoners;</w:t>
      </w:r>
    </w:p>
    <w:p w:rsidR="00000000" w:rsidRDefault="00000000">
      <w:pPr>
        <w:numPr>
          <w:ilvl w:val="0"/>
          <w:numId w:val="163"/>
        </w:numPr>
      </w:pPr>
      <w:r>
        <w:t>Women with children;</w:t>
      </w:r>
    </w:p>
    <w:p w:rsidR="00000000" w:rsidRDefault="00000000">
      <w:pPr>
        <w:numPr>
          <w:ilvl w:val="0"/>
          <w:numId w:val="163"/>
        </w:numPr>
      </w:pPr>
      <w:r>
        <w:t>Persons under 18 years;</w:t>
      </w:r>
    </w:p>
    <w:p w:rsidR="00000000" w:rsidRDefault="00000000">
      <w:pPr>
        <w:numPr>
          <w:ilvl w:val="0"/>
          <w:numId w:val="163"/>
        </w:numPr>
      </w:pPr>
      <w:r>
        <w:t>The long-term unemployed;</w:t>
      </w:r>
    </w:p>
    <w:p w:rsidR="00000000" w:rsidRDefault="00000000">
      <w:pPr>
        <w:numPr>
          <w:ilvl w:val="0"/>
          <w:numId w:val="163"/>
        </w:numPr>
      </w:pPr>
      <w:r>
        <w:t>Persons from families under the poverty level.</w:t>
      </w:r>
    </w:p>
    <w:p w:rsidR="00000000" w:rsidRDefault="00000000">
      <w:r>
        <w:t>The most problematic regions with regard to unemployment are Kucova, 28.6 per cent; Laci, 45.5 per cent; Kukesi, 28.9 per cent; Mirdita, 26.2 per cent; Puka, 34.1 per cent; Tropoja, 42 per cent; and Shkodra, 28.8 per cent.</w:t>
      </w:r>
    </w:p>
    <w:p w:rsidR="00000000" w:rsidRDefault="00000000">
      <w:pPr>
        <w:pStyle w:val="Heading4"/>
      </w:pPr>
      <w:r>
        <w:t>Employment offices and their role</w:t>
      </w:r>
    </w:p>
    <w:p w:rsidR="00000000" w:rsidRDefault="00000000">
      <w:pPr>
        <w:pStyle w:val="ParaNo"/>
        <w:tabs>
          <w:tab w:val="clear" w:pos="360"/>
          <w:tab w:val="clear" w:pos="737"/>
        </w:tabs>
        <w:rPr>
          <w:lang w:val="en-GB"/>
        </w:rPr>
      </w:pPr>
      <w:r>
        <w:rPr>
          <w:lang w:val="en-GB"/>
        </w:rPr>
        <w:t>On the basis of information from the Employment Offices in the country, the number of employed persons in the republic by the end of May 2003 was 398,392, out of which 190,439 were employed in the State sector while 207,953 persons were employed in the private non</w:t>
      </w:r>
      <w:r>
        <w:rPr>
          <w:lang w:val="en-GB"/>
        </w:rPr>
        <w:noBreakHyphen/>
        <w:t>agriculture sector.</w:t>
      </w:r>
    </w:p>
    <w:p w:rsidR="00000000" w:rsidRDefault="00000000">
      <w:pPr>
        <w:pStyle w:val="ParaNo"/>
        <w:tabs>
          <w:tab w:val="clear" w:pos="360"/>
          <w:tab w:val="clear" w:pos="737"/>
        </w:tabs>
        <w:rPr>
          <w:lang w:val="en-GB"/>
        </w:rPr>
      </w:pPr>
      <w:r>
        <w:rPr>
          <w:lang w:val="en-GB"/>
        </w:rPr>
        <w:t>Employment in the State sector is concentrated mainly in education, 20 per cent, in the health-care system, 13 per cent, in the gas and power sector, 10 per cent, hostelry, 10 per cent, etc.  At the same time, in the private sector employment is concentred in commerce, 28 per cent, construction, 17 per cent, the processing industry, 16 per cent, hostelry and tourism, 13 per cent, etc.</w:t>
      </w:r>
    </w:p>
    <w:p w:rsidR="00000000" w:rsidRDefault="00000000">
      <w:pPr>
        <w:pStyle w:val="ParaNo"/>
        <w:tabs>
          <w:tab w:val="clear" w:pos="360"/>
          <w:tab w:val="clear" w:pos="737"/>
        </w:tabs>
        <w:rPr>
          <w:lang w:val="en-GB"/>
        </w:rPr>
      </w:pPr>
      <w:r>
        <w:rPr>
          <w:lang w:val="en-GB"/>
        </w:rPr>
        <w:t>By the end of May 2002, 166,126 job-seekers were registered, 12.54 per cent of the overall workforce.  In May 2002 the highest percentage of unemployed was registered in the region of Shkodra, 21 per cent, Kukes, 20 per cent, and Lezha, 22.1 per cent, while the lowest percentage was registered in the regions of Vlora, Tirana, Gjirokastra and Durres.  From the above numbers of registered job-seekers, 47 per cent were females while 44 per cent were heads of families and breadwinners.</w:t>
      </w:r>
    </w:p>
    <w:p w:rsidR="00000000" w:rsidRDefault="00000000">
      <w:pPr>
        <w:pStyle w:val="ParaNo"/>
        <w:tabs>
          <w:tab w:val="clear" w:pos="360"/>
          <w:tab w:val="clear" w:pos="737"/>
        </w:tabs>
        <w:rPr>
          <w:lang w:val="en-GB"/>
        </w:rPr>
      </w:pPr>
      <w:r>
        <w:rPr>
          <w:lang w:val="en-GB"/>
        </w:rPr>
        <w:t>With regard to the age structure, the largest percentage (50 per cent) of job-seekers is older than 45 years.  This is due to the fact that the labour market seeks young professionals, trained and qualified.  This older group of persons (50-plus) represents the most vulnerable group that needs support through special programmes of employment and formation, in order to facilitate their integration in the labour market.</w:t>
      </w:r>
    </w:p>
    <w:p w:rsidR="00000000" w:rsidRDefault="00000000">
      <w:pPr>
        <w:pStyle w:val="ParaNo"/>
        <w:tabs>
          <w:tab w:val="clear" w:pos="360"/>
          <w:tab w:val="clear" w:pos="737"/>
        </w:tabs>
        <w:rPr>
          <w:lang w:val="en-GB"/>
        </w:rPr>
      </w:pPr>
      <w:r>
        <w:rPr>
          <w:lang w:val="en-GB"/>
        </w:rPr>
        <w:t>These findings are confirmed by the fact that 52 per cent of the total numbers of job</w:t>
      </w:r>
      <w:r>
        <w:rPr>
          <w:lang w:val="en-GB"/>
        </w:rPr>
        <w:noBreakHyphen/>
        <w:t>seekers have completed only an eight-year education, while only 2 per cent of those have graduated from a faculty.  These data make more difficult the Employment Office’s efforts towards the integration of job-seekers in the labour market.  This has been deemed to be one of the principal reasons for the appearance of so-called long-term job-seekers, persons seeking a job for more than one year.  In percentage, they represent 68 per cent of the total.  The other part seems to be in continuous movement.</w:t>
      </w:r>
    </w:p>
    <w:p w:rsidR="00000000" w:rsidRDefault="00000000">
      <w:pPr>
        <w:pStyle w:val="ParaNo"/>
        <w:tabs>
          <w:tab w:val="clear" w:pos="360"/>
          <w:tab w:val="clear" w:pos="737"/>
        </w:tabs>
        <w:rPr>
          <w:lang w:val="en-GB"/>
        </w:rPr>
      </w:pPr>
      <w:r>
        <w:rPr>
          <w:lang w:val="en-GB"/>
        </w:rPr>
        <w:t>From the data of the Local Employment Offices, every month approximately 3,600 job</w:t>
      </w:r>
      <w:r>
        <w:rPr>
          <w:lang w:val="en-GB"/>
        </w:rPr>
        <w:noBreakHyphen/>
        <w:t>seekers are registered:  40 per cent of this number is generated from job cuts, 35 per cent from families benefiting economic aid, 3 per cent from newly graduated students and 22 per cent due to other reasons.</w:t>
      </w:r>
    </w:p>
    <w:p w:rsidR="00000000" w:rsidRDefault="00000000">
      <w:pPr>
        <w:pStyle w:val="ParaNo"/>
        <w:tabs>
          <w:tab w:val="clear" w:pos="360"/>
          <w:tab w:val="clear" w:pos="737"/>
        </w:tabs>
        <w:rPr>
          <w:lang w:val="en-GB"/>
        </w:rPr>
      </w:pPr>
      <w:r>
        <w:rPr>
          <w:lang w:val="en-GB"/>
        </w:rPr>
        <w:t xml:space="preserve">Meanwhile, approximately 5,000 persons leave Employment Office schemes every month, 15 per cent of them because they have found a job, 40 per cent no longer interested in being assisted by these offices, 3 per cent to take a training course, and the other part are subject to internal or external demographic movements, etc.  At the end of April 2003 there were 141,053 unemployed persons benefiting from economic aid and jobless benefits, according to particular decisions of the Council of Ministers.  </w:t>
      </w:r>
    </w:p>
    <w:p w:rsidR="00000000" w:rsidRDefault="00000000">
      <w:pPr>
        <w:pStyle w:val="ParaNo"/>
        <w:tabs>
          <w:tab w:val="clear" w:pos="360"/>
          <w:tab w:val="clear" w:pos="737"/>
        </w:tabs>
        <w:rPr>
          <w:lang w:val="en-GB"/>
        </w:rPr>
      </w:pPr>
      <w:r>
        <w:rPr>
          <w:lang w:val="en-GB"/>
        </w:rPr>
        <w:t>The employment of this category of individuals is very difficult as a result of the limited opportunities the Employment Offices have in offering suitable jobs, and even when found, certain jobs are shunned because of the low salary, unsatisfying working conditions, or unsuitable working status.  Due to the above reasons, job-seekers prefer State support, satisfying their needs by working part-time, informally, etc.</w:t>
      </w:r>
    </w:p>
    <w:p w:rsidR="00000000" w:rsidRDefault="00000000">
      <w:pPr>
        <w:pStyle w:val="Heading2"/>
      </w:pPr>
      <w:r>
        <w:t>Employment of foreigners</w:t>
      </w:r>
    </w:p>
    <w:p w:rsidR="00000000" w:rsidRDefault="00000000">
      <w:pPr>
        <w:pStyle w:val="ParaNo"/>
        <w:tabs>
          <w:tab w:val="clear" w:pos="360"/>
          <w:tab w:val="clear" w:pos="737"/>
        </w:tabs>
        <w:rPr>
          <w:lang w:val="en-GB"/>
        </w:rPr>
      </w:pPr>
      <w:r>
        <w:rPr>
          <w:lang w:val="en-GB"/>
        </w:rPr>
        <w:t>Foreign workers in Albania, including foreign investors who intend to work in Albania, must apply for a work permit in accordance with Law No. 7939 “On migration” and subsequently obtain a residency permit.  The work permit (which is valid for one year and is renewable) must be applied for at least one month before the commencement of employment.  There are three main types of work permits:</w:t>
      </w:r>
    </w:p>
    <w:p w:rsidR="00000000" w:rsidRDefault="00000000">
      <w:pPr>
        <w:numPr>
          <w:ilvl w:val="0"/>
          <w:numId w:val="164"/>
        </w:numPr>
      </w:pPr>
      <w:r>
        <w:t>One for foreign investors who plan to invest in Albania;</w:t>
      </w:r>
    </w:p>
    <w:p w:rsidR="00000000" w:rsidRDefault="00000000">
      <w:pPr>
        <w:numPr>
          <w:ilvl w:val="0"/>
          <w:numId w:val="164"/>
        </w:numPr>
      </w:pPr>
      <w:r>
        <w:t>Self-employed persons who limit their activity to a specific geographical area;</w:t>
      </w:r>
    </w:p>
    <w:p w:rsidR="00000000" w:rsidRDefault="00000000">
      <w:pPr>
        <w:numPr>
          <w:ilvl w:val="0"/>
          <w:numId w:val="164"/>
        </w:numPr>
      </w:pPr>
      <w:r>
        <w:t>Work permit for seasonal foreign workers.</w:t>
      </w:r>
    </w:p>
    <w:p w:rsidR="00000000" w:rsidRDefault="00000000">
      <w:pPr>
        <w:pStyle w:val="ParaNo"/>
        <w:tabs>
          <w:tab w:val="clear" w:pos="360"/>
          <w:tab w:val="clear" w:pos="737"/>
        </w:tabs>
        <w:rPr>
          <w:lang w:val="en-GB"/>
        </w:rPr>
      </w:pPr>
      <w:r>
        <w:rPr>
          <w:lang w:val="en-GB"/>
        </w:rPr>
        <w:t xml:space="preserve">A work permit application is made with the Emigration Department of the Ministry of Labour and Social Affairs.  The following documents must be presented to the above authorities in order to obtain a work permit: </w:t>
      </w:r>
    </w:p>
    <w:p w:rsidR="00000000" w:rsidRDefault="00000000">
      <w:pPr>
        <w:numPr>
          <w:ilvl w:val="0"/>
          <w:numId w:val="164"/>
        </w:numPr>
      </w:pPr>
      <w:r>
        <w:t xml:space="preserve">A written request; </w:t>
      </w:r>
    </w:p>
    <w:p w:rsidR="00000000" w:rsidRDefault="00000000">
      <w:pPr>
        <w:numPr>
          <w:ilvl w:val="0"/>
          <w:numId w:val="164"/>
        </w:numPr>
      </w:pPr>
      <w:r>
        <w:t xml:space="preserve">Where the applicant is an employee, a report from the employer on its activity in Albania; alternatively, where the applicant is a self-employed foreign investor, a notarized copy of the court decision registering the applicant as either a physical person or as a shareholder of an Albanian company; </w:t>
      </w:r>
    </w:p>
    <w:p w:rsidR="00000000" w:rsidRDefault="00000000">
      <w:pPr>
        <w:numPr>
          <w:ilvl w:val="0"/>
          <w:numId w:val="164"/>
        </w:numPr>
      </w:pPr>
      <w:r>
        <w:t xml:space="preserve">A valid passport or a certified copy of the same; </w:t>
      </w:r>
    </w:p>
    <w:p w:rsidR="00000000" w:rsidRDefault="00000000">
      <w:pPr>
        <w:numPr>
          <w:ilvl w:val="0"/>
          <w:numId w:val="164"/>
        </w:numPr>
      </w:pPr>
      <w:r>
        <w:t xml:space="preserve">A valid visa for Albania; </w:t>
      </w:r>
    </w:p>
    <w:p w:rsidR="00000000" w:rsidRDefault="00000000">
      <w:pPr>
        <w:numPr>
          <w:ilvl w:val="0"/>
          <w:numId w:val="164"/>
        </w:numPr>
      </w:pPr>
      <w:r>
        <w:t xml:space="preserve">The professional certification of the applicant; </w:t>
      </w:r>
    </w:p>
    <w:p w:rsidR="00000000" w:rsidRDefault="00000000">
      <w:pPr>
        <w:numPr>
          <w:ilvl w:val="0"/>
          <w:numId w:val="164"/>
        </w:numPr>
      </w:pPr>
      <w:r>
        <w:t xml:space="preserve">Where the applicant is an employee, a signed employment contract; </w:t>
      </w:r>
    </w:p>
    <w:p w:rsidR="00000000" w:rsidRDefault="00000000">
      <w:pPr>
        <w:numPr>
          <w:ilvl w:val="0"/>
          <w:numId w:val="164"/>
        </w:numPr>
      </w:pPr>
      <w:r>
        <w:t xml:space="preserve">A document demonstrating voluntary participation in the social security scheme; </w:t>
      </w:r>
    </w:p>
    <w:p w:rsidR="00000000" w:rsidRDefault="00000000">
      <w:pPr>
        <w:numPr>
          <w:ilvl w:val="0"/>
          <w:numId w:val="164"/>
        </w:numPr>
      </w:pPr>
      <w:r>
        <w:t xml:space="preserve">Certification from the competent authorities of the applicant’s home country on the existence or lack of a criminal record; </w:t>
      </w:r>
    </w:p>
    <w:p w:rsidR="00000000" w:rsidRDefault="00000000">
      <w:pPr>
        <w:numPr>
          <w:ilvl w:val="0"/>
          <w:numId w:val="164"/>
        </w:numPr>
      </w:pPr>
      <w:r>
        <w:t xml:space="preserve">A medical certificate; </w:t>
      </w:r>
    </w:p>
    <w:p w:rsidR="00000000" w:rsidRDefault="00000000">
      <w:pPr>
        <w:numPr>
          <w:ilvl w:val="0"/>
          <w:numId w:val="164"/>
        </w:numPr>
      </w:pPr>
      <w:r>
        <w:t>Five passport-sized photographs;</w:t>
      </w:r>
    </w:p>
    <w:p w:rsidR="00000000" w:rsidRDefault="00000000">
      <w:pPr>
        <w:numPr>
          <w:ilvl w:val="0"/>
          <w:numId w:val="164"/>
        </w:numPr>
      </w:pPr>
      <w:r>
        <w:t>A non-refundable application fee.</w:t>
      </w:r>
    </w:p>
    <w:p w:rsidR="00000000" w:rsidRDefault="00000000">
      <w:pPr>
        <w:pStyle w:val="ParaNo"/>
        <w:tabs>
          <w:tab w:val="clear" w:pos="360"/>
          <w:tab w:val="clear" w:pos="737"/>
        </w:tabs>
        <w:rPr>
          <w:lang w:val="en-GB"/>
        </w:rPr>
      </w:pPr>
      <w:r>
        <w:rPr>
          <w:lang w:val="en-GB"/>
        </w:rPr>
        <w:t xml:space="preserve">Following the approval of the work permit application, the Ministry of Labour and Social Affairs forwards the relevant materials to the Ministry of Public Order for issuance of a residency permit.  </w:t>
      </w:r>
    </w:p>
    <w:p w:rsidR="00000000" w:rsidRDefault="00000000">
      <w:pPr>
        <w:pStyle w:val="Heading2"/>
      </w:pPr>
      <w:r>
        <w:t>Employment promotion</w:t>
      </w:r>
    </w:p>
    <w:p w:rsidR="00000000" w:rsidRDefault="00000000">
      <w:pPr>
        <w:pStyle w:val="ParaNo"/>
        <w:tabs>
          <w:tab w:val="clear" w:pos="360"/>
          <w:tab w:val="clear" w:pos="737"/>
        </w:tabs>
        <w:rPr>
          <w:lang w:val="en-GB"/>
        </w:rPr>
      </w:pPr>
      <w:r>
        <w:rPr>
          <w:bCs/>
          <w:lang w:val="en-GB"/>
        </w:rPr>
        <w:t xml:space="preserve">The </w:t>
      </w:r>
      <w:r>
        <w:rPr>
          <w:lang w:val="en-GB"/>
        </w:rPr>
        <w:t>fundamental measures undertaken by the Government of Albania comprise active and passive policies for the promotion of employment.</w:t>
      </w:r>
    </w:p>
    <w:p w:rsidR="00000000" w:rsidRDefault="00000000">
      <w:pPr>
        <w:pStyle w:val="ParaNo"/>
        <w:tabs>
          <w:tab w:val="clear" w:pos="360"/>
          <w:tab w:val="clear" w:pos="737"/>
        </w:tabs>
        <w:rPr>
          <w:lang w:val="en-GB"/>
        </w:rPr>
      </w:pPr>
      <w:r>
        <w:rPr>
          <w:lang w:val="en-GB"/>
        </w:rPr>
        <w:t>One of the first programmes implemented in this regard by the Employment Offices was the programme of jobless benefits.  This programme constitutes part of labour market policies, which provide financial benefits to the recently unemployed.  Its main objectives are:  (a) to boost the incomes of the unemployed, (b) to support actively the beneficiaries of jobless benefits in order to help them find work as soon as possible.</w:t>
      </w:r>
    </w:p>
    <w:p w:rsidR="00000000" w:rsidRDefault="00000000">
      <w:pPr>
        <w:pStyle w:val="ParaNo"/>
        <w:tabs>
          <w:tab w:val="clear" w:pos="360"/>
          <w:tab w:val="clear" w:pos="737"/>
        </w:tabs>
        <w:rPr>
          <w:lang w:val="en-GB"/>
        </w:rPr>
      </w:pPr>
      <w:r>
        <w:rPr>
          <w:lang w:val="en-GB"/>
        </w:rPr>
        <w:t xml:space="preserve">The active policies pursued and implemented by the Employment Offices consist of employment services, employment promotion programmes and vocational training. </w:t>
      </w:r>
    </w:p>
    <w:p w:rsidR="00000000" w:rsidRDefault="00000000">
      <w:pPr>
        <w:pStyle w:val="ParaNo"/>
        <w:tabs>
          <w:tab w:val="clear" w:pos="360"/>
          <w:tab w:val="clear" w:pos="737"/>
        </w:tabs>
        <w:rPr>
          <w:lang w:val="en-GB"/>
        </w:rPr>
      </w:pPr>
      <w:r>
        <w:rPr>
          <w:lang w:val="en-GB"/>
        </w:rPr>
        <w:t xml:space="preserve">The employment services aim at serving as a basic source for overall information on the labour market and its situation. The information they accumulate comprises detailed data on available job opportunities and possible candidates.  At the same time, it assists various candidates to choose their career and other candidates to refocus their perspectives for their career.  These services also offer information on the opportunity of training, and serve as one of the main sources for recruitment on the basis of available vacancies offered by the employers.  Furthermore, these services represent an important source of information on labour market development and the formulation and implementation of relevant policies for the labour market. </w:t>
      </w:r>
    </w:p>
    <w:p w:rsidR="00000000" w:rsidRDefault="00000000">
      <w:pPr>
        <w:pStyle w:val="ParaNo"/>
        <w:tabs>
          <w:tab w:val="clear" w:pos="360"/>
          <w:tab w:val="clear" w:pos="737"/>
        </w:tabs>
        <w:rPr>
          <w:lang w:val="en-GB"/>
        </w:rPr>
      </w:pPr>
      <w:r>
        <w:rPr>
          <w:lang w:val="en-GB"/>
        </w:rPr>
        <w:br w:type="page"/>
        <w:t>Employment promotion represents one of the most active programmes; it affects employment demand through providing transitory employment that directly reflects unemployment reduction.  Through this programme, the Employment Offices can objectively and truly intervene for the promotion and support of the generation of vacancies, through active cooperation with employers, directly financing part of wages and mandatory insurance contributions for the employers and their vocational training and formation.  This programme first started to be implemented during 1999, in the framework of governmental policies focused in active measures for the reduction of unemployment, which at that time reached 17.1 per cent.  The programme was deemed to be successful, given the fact that during 1999-2001 alone there were 29,000 new jobs, thus contributing to the reduction of the unemployment percentage to 13 per cent at the end of 2000, or 4 per cent lower in comparison with 1999.</w:t>
      </w:r>
    </w:p>
    <w:p w:rsidR="00000000" w:rsidRDefault="00000000">
      <w:pPr>
        <w:pStyle w:val="ParaNo"/>
        <w:tabs>
          <w:tab w:val="clear" w:pos="360"/>
          <w:tab w:val="clear" w:pos="737"/>
        </w:tabs>
        <w:rPr>
          <w:lang w:val="en-GB"/>
        </w:rPr>
      </w:pPr>
      <w:r>
        <w:rPr>
          <w:lang w:val="en-GB"/>
        </w:rPr>
        <w:t>Vocational training aims at professional training of unemployed persons, making possible the concordance of their profession with labour market requirements.  The Employment Offices guide unemployed persons to the appropriate profession with regard to the labour market requirements.  The professional training system consists of the public network (eight public centres), the private and NGO network, as well.</w:t>
      </w:r>
    </w:p>
    <w:p w:rsidR="00000000" w:rsidRDefault="00000000">
      <w:pPr>
        <w:pStyle w:val="ParaNo"/>
        <w:tabs>
          <w:tab w:val="clear" w:pos="360"/>
          <w:tab w:val="clear" w:pos="737"/>
        </w:tabs>
        <w:rPr>
          <w:lang w:val="en-GB"/>
        </w:rPr>
      </w:pPr>
      <w:r>
        <w:rPr>
          <w:lang w:val="en-GB"/>
        </w:rPr>
        <w:t xml:space="preserve">The Ministry of Labour and Social Affairs, through the National Service of Employment, carries out some principal policies to assist without discrimination everybody in need of a job.  These policies are: </w:t>
      </w:r>
    </w:p>
    <w:p w:rsidR="00000000" w:rsidRDefault="00000000">
      <w:pPr>
        <w:numPr>
          <w:ilvl w:val="0"/>
          <w:numId w:val="165"/>
        </w:numPr>
      </w:pPr>
      <w:r>
        <w:t>Employment promotion programmes, starting from 1999 and concluded in 2003;</w:t>
      </w:r>
    </w:p>
    <w:p w:rsidR="00000000" w:rsidRDefault="00000000">
      <w:pPr>
        <w:numPr>
          <w:ilvl w:val="0"/>
          <w:numId w:val="165"/>
        </w:numPr>
      </w:pPr>
      <w:r>
        <w:t>Employment intervention, on which basis during the first five months of 2003 alone, there were 2,623 genuine interventions, of which 389 were in the public and 2,235 in the private sector.  Apart from the figures above, there were also 5,689 other jobs found with the intervention of the Employment Offices, due to the economic development of the country;</w:t>
      </w:r>
    </w:p>
    <w:p w:rsidR="00000000" w:rsidRDefault="00000000">
      <w:pPr>
        <w:numPr>
          <w:ilvl w:val="0"/>
          <w:numId w:val="165"/>
        </w:numPr>
      </w:pPr>
      <w:r>
        <w:t>The vocational training programme, on which basis during the first five months of 2003, 3,477 trainees were certified in 9 public vocational training centres, of which 2,180 unemployed persons and 3,416 females.  Referring to the subject of the courses it can be noted that 1,896 trainees were awarded certificates in foreign languages, 839 in computer proficiency, 289 in tailoring, and 164 in secretarial courses.</w:t>
      </w:r>
    </w:p>
    <w:p w:rsidR="00000000" w:rsidRDefault="00000000">
      <w:pPr>
        <w:pStyle w:val="ParaNo"/>
        <w:tabs>
          <w:tab w:val="clear" w:pos="360"/>
          <w:tab w:val="clear" w:pos="737"/>
        </w:tabs>
        <w:rPr>
          <w:lang w:val="en-GB"/>
        </w:rPr>
      </w:pPr>
      <w:r>
        <w:rPr>
          <w:lang w:val="en-GB"/>
        </w:rPr>
        <w:t xml:space="preserve">The increase of institutional capacities and vocational training levels are carried out through the public and private system and the system itself is influenced by the market requirements.  </w:t>
      </w:r>
    </w:p>
    <w:p w:rsidR="00000000" w:rsidRDefault="00000000">
      <w:pPr>
        <w:pStyle w:val="Heading3"/>
      </w:pPr>
      <w:r>
        <w:t xml:space="preserve">Technical and vocational training </w:t>
      </w:r>
    </w:p>
    <w:p w:rsidR="00000000" w:rsidRDefault="00000000">
      <w:pPr>
        <w:pStyle w:val="ParaNo"/>
        <w:tabs>
          <w:tab w:val="clear" w:pos="360"/>
          <w:tab w:val="clear" w:pos="737"/>
        </w:tabs>
        <w:rPr>
          <w:lang w:val="en-GB"/>
        </w:rPr>
      </w:pPr>
      <w:r>
        <w:rPr>
          <w:lang w:val="en-GB"/>
        </w:rPr>
        <w:t xml:space="preserve">Technical and vocational training is carried out by two separate systems that operate in parallel, public and private training.  If the public system until now has appeared basically in the shape of the vocational training centres, the private system is characterized by a much more liberal spirit, due to an open licensing policy in the NGO sector. </w:t>
      </w:r>
    </w:p>
    <w:p w:rsidR="00000000" w:rsidRDefault="00000000">
      <w:pPr>
        <w:pStyle w:val="ParaNo"/>
        <w:tabs>
          <w:tab w:val="clear" w:pos="360"/>
          <w:tab w:val="clear" w:pos="737"/>
        </w:tabs>
        <w:rPr>
          <w:lang w:val="en-GB"/>
        </w:rPr>
      </w:pPr>
      <w:r>
        <w:rPr>
          <w:lang w:val="en-GB"/>
        </w:rPr>
        <w:t xml:space="preserve">At present, there are eight centres for vocational training, operating in Shkoder, Tirana, Durres, Elbasan, Korce and Tepelena.  On the other hand, with the adoption of the recent law “On vocational education and training in the Republic of Albania”, it intends to reorganize the network of public institutions of vocational formation centres, in order to achieve two basic objectives: </w:t>
      </w:r>
    </w:p>
    <w:p w:rsidR="00000000" w:rsidRDefault="00000000">
      <w:pPr>
        <w:numPr>
          <w:ilvl w:val="0"/>
          <w:numId w:val="166"/>
        </w:numPr>
      </w:pPr>
      <w:r>
        <w:t>Satisfaction of labour market requirements by providing qualified individuals;</w:t>
      </w:r>
    </w:p>
    <w:p w:rsidR="00000000" w:rsidRDefault="00000000">
      <w:pPr>
        <w:numPr>
          <w:ilvl w:val="0"/>
          <w:numId w:val="166"/>
        </w:numPr>
      </w:pPr>
      <w:r>
        <w:t>Increase of cooperation with private businesses in the area of vocational training and counselling towards meeting business requirements.</w:t>
      </w:r>
    </w:p>
    <w:p w:rsidR="00000000" w:rsidRDefault="00000000">
      <w:pPr>
        <w:pStyle w:val="ParaNo"/>
        <w:tabs>
          <w:tab w:val="clear" w:pos="360"/>
          <w:tab w:val="clear" w:pos="737"/>
        </w:tabs>
        <w:rPr>
          <w:lang w:val="en-GB"/>
        </w:rPr>
      </w:pPr>
      <w:r>
        <w:rPr>
          <w:lang w:val="en-GB"/>
        </w:rPr>
        <w:t>Public vocational training centres organize short-term courses on various professions and specializations, such as foreign languages, computer and secretarial skills, vehicle maintenance, cosmetics, sewing, electro-domestic adjustments, shoemaking, hydraulics, radio/television repair, soldering, etc.</w:t>
      </w:r>
    </w:p>
    <w:p w:rsidR="00000000" w:rsidRDefault="00000000">
      <w:pPr>
        <w:pStyle w:val="ParaNo"/>
        <w:tabs>
          <w:tab w:val="clear" w:pos="360"/>
          <w:tab w:val="clear" w:pos="737"/>
        </w:tabs>
        <w:rPr>
          <w:lang w:val="en-GB"/>
        </w:rPr>
      </w:pPr>
      <w:r>
        <w:rPr>
          <w:lang w:val="en-GB"/>
        </w:rPr>
        <w:t>From the statistics, it can be concluded that the number of trainees in these centres have been increasing, even though the budgetary funds allocated for this purpose have not experienced any increase.  The same can be said of the number of trainees in the private system of vocational training, a fact that clearly indicates the increasing market requirements for trained individuals in different professions during a short period of time.</w:t>
      </w:r>
    </w:p>
    <w:p w:rsidR="00000000" w:rsidRDefault="00000000">
      <w:pPr>
        <w:pStyle w:val="ParaNo"/>
        <w:tabs>
          <w:tab w:val="clear" w:pos="360"/>
          <w:tab w:val="clear" w:pos="737"/>
        </w:tabs>
        <w:rPr>
          <w:lang w:val="en-GB"/>
        </w:rPr>
      </w:pPr>
      <w:r>
        <w:rPr>
          <w:lang w:val="en-GB"/>
        </w:rPr>
        <w:t>Furthermore, the vocational training system tends to grow in two ways, first in a horizontal extension, and also in broadening the choice of courses it currently offers.  As a near</w:t>
      </w:r>
      <w:r>
        <w:rPr>
          <w:lang w:val="en-GB"/>
        </w:rPr>
        <w:noBreakHyphen/>
        <w:t>term objective, the reconstruction of centres in Vlora, Shkodra, Elbasan, Gjirokastra and Lezha can be mentioned.</w:t>
      </w:r>
    </w:p>
    <w:p w:rsidR="00000000" w:rsidRDefault="00000000">
      <w:pPr>
        <w:pStyle w:val="ParaNo"/>
        <w:tabs>
          <w:tab w:val="clear" w:pos="360"/>
          <w:tab w:val="clear" w:pos="737"/>
        </w:tabs>
        <w:rPr>
          <w:lang w:val="en-GB"/>
        </w:rPr>
      </w:pPr>
      <w:r>
        <w:rPr>
          <w:lang w:val="en-GB"/>
        </w:rPr>
        <w:t>Regarding the increasing needs of the labour market, the setting up of new courses in priority economic areas such as tourism, agro-business, agro-tourism, construction and handicrafts, is in the planning phase.</w:t>
      </w:r>
    </w:p>
    <w:p w:rsidR="00000000" w:rsidRDefault="00000000">
      <w:pPr>
        <w:pStyle w:val="ParaNo"/>
        <w:tabs>
          <w:tab w:val="clear" w:pos="360"/>
          <w:tab w:val="clear" w:pos="737"/>
        </w:tabs>
        <w:rPr>
          <w:lang w:val="en-GB"/>
        </w:rPr>
      </w:pPr>
      <w:r>
        <w:rPr>
          <w:lang w:val="en-GB"/>
        </w:rPr>
        <w:t xml:space="preserve">With regard to vocational training, their funding through the state budget has been carried out in two ways:  </w:t>
      </w:r>
    </w:p>
    <w:p w:rsidR="00000000" w:rsidRDefault="00000000">
      <w:pPr>
        <w:numPr>
          <w:ilvl w:val="0"/>
          <w:numId w:val="167"/>
        </w:numPr>
      </w:pPr>
      <w:r>
        <w:t>Firstly, through funding the vocational centres of formation, based on the number of trainees (unemployed persons);</w:t>
      </w:r>
    </w:p>
    <w:p w:rsidR="00000000" w:rsidRDefault="00000000">
      <w:pPr>
        <w:numPr>
          <w:ilvl w:val="0"/>
          <w:numId w:val="167"/>
        </w:numPr>
      </w:pPr>
      <w:r>
        <w:t>Secondly, through funding the legal entities that offer vocational formation, in cases when after termination of the training it is guaranteed the employment of at least 20 per cent of the participants, or in cases when employers recruit unemployed persons in order to train them through the working process.</w:t>
      </w:r>
    </w:p>
    <w:p w:rsidR="00000000" w:rsidRDefault="00000000">
      <w:pPr>
        <w:pStyle w:val="ParaNo"/>
        <w:tabs>
          <w:tab w:val="clear" w:pos="360"/>
          <w:tab w:val="clear" w:pos="737"/>
        </w:tabs>
        <w:ind w:left="0" w:firstLine="0"/>
        <w:rPr>
          <w:lang w:val="en-GB"/>
        </w:rPr>
      </w:pPr>
      <w:r>
        <w:rPr>
          <w:lang w:val="en-GB"/>
        </w:rPr>
        <w:t>Regardless of the different legal basis, it is considered that the programmes on vocational training and employment promotion are closely and essentially interrelated</w:t>
      </w:r>
      <w:r>
        <w:rPr>
          <w:bCs/>
          <w:lang w:val="en-GB"/>
        </w:rPr>
        <w:t xml:space="preserve">.  </w:t>
      </w:r>
    </w:p>
    <w:p w:rsidR="00000000" w:rsidRDefault="00000000">
      <w:pPr>
        <w:pStyle w:val="ParaNo"/>
        <w:tabs>
          <w:tab w:val="clear" w:pos="360"/>
          <w:tab w:val="clear" w:pos="737"/>
        </w:tabs>
        <w:rPr>
          <w:lang w:val="en-GB"/>
        </w:rPr>
      </w:pPr>
      <w:r>
        <w:rPr>
          <w:lang w:val="en-GB"/>
        </w:rPr>
        <w:br w:type="page"/>
        <w:t>There are mainly two ways of recruiting the participants (trainees) in the public vocational training centres:</w:t>
      </w:r>
    </w:p>
    <w:p w:rsidR="00000000" w:rsidRDefault="00000000">
      <w:pPr>
        <w:numPr>
          <w:ilvl w:val="0"/>
          <w:numId w:val="168"/>
        </w:numPr>
      </w:pPr>
      <w:r>
        <w:t>Through Employment Offices, which offer as trainees the unemployed persons registered;</w:t>
      </w:r>
    </w:p>
    <w:p w:rsidR="00000000" w:rsidRDefault="00000000">
      <w:pPr>
        <w:numPr>
          <w:ilvl w:val="0"/>
          <w:numId w:val="168"/>
        </w:numPr>
      </w:pPr>
      <w:r>
        <w:t>Independently, other persons from these schemes who might require vocational formation, due to changes in occupation requirements</w:t>
      </w:r>
      <w:r>
        <w:rPr>
          <w:bCs/>
        </w:rPr>
        <w:t xml:space="preserve">.  </w:t>
      </w:r>
    </w:p>
    <w:p w:rsidR="00000000" w:rsidRDefault="00000000">
      <w:pPr>
        <w:pStyle w:val="ParaNo"/>
        <w:tabs>
          <w:tab w:val="clear" w:pos="360"/>
          <w:tab w:val="clear" w:pos="737"/>
        </w:tabs>
        <w:rPr>
          <w:lang w:val="en-GB"/>
        </w:rPr>
      </w:pPr>
      <w:r>
        <w:rPr>
          <w:lang w:val="en-GB"/>
        </w:rPr>
        <w:t>The intensification of activities within the public institutions of vocational training, the enhancement of their competencies, their decentralization, as well as the opportunity of establishing discretionary relations with private businesses, are considered essential in increasing the need for vocational training, and in increasing the human resources capacity</w:t>
      </w:r>
      <w:r>
        <w:rPr>
          <w:bCs/>
          <w:lang w:val="en-GB"/>
        </w:rPr>
        <w:t xml:space="preserve">.  </w:t>
      </w:r>
    </w:p>
    <w:p w:rsidR="00000000" w:rsidRDefault="00000000">
      <w:pPr>
        <w:pStyle w:val="Heading3"/>
      </w:pPr>
      <w:r>
        <w:t>Difficulties faced in the fulfilment of employment objectives</w:t>
      </w:r>
    </w:p>
    <w:p w:rsidR="00000000" w:rsidRDefault="00000000">
      <w:pPr>
        <w:pStyle w:val="ParaNo"/>
        <w:tabs>
          <w:tab w:val="clear" w:pos="360"/>
          <w:tab w:val="clear" w:pos="737"/>
        </w:tabs>
        <w:ind w:left="0" w:firstLine="0"/>
        <w:rPr>
          <w:lang w:val="en-GB"/>
        </w:rPr>
      </w:pPr>
      <w:r>
        <w:rPr>
          <w:lang w:val="en-GB"/>
        </w:rPr>
        <w:t xml:space="preserve">The following can be considered as the most frequent encountered difficulties in achieving the employment objectives:  </w:t>
      </w:r>
    </w:p>
    <w:p w:rsidR="00000000" w:rsidRDefault="00000000">
      <w:pPr>
        <w:numPr>
          <w:ilvl w:val="0"/>
          <w:numId w:val="169"/>
        </w:numPr>
      </w:pPr>
      <w:r>
        <w:t>The impossibility of founding the National Employment Fund, as laid down by Law No. 7995 of 20 September 1995 “For the encouragement of employment”.  This law provides that the Fund would have had different financial sources, among which the most important would be the State budget, the social insurance fund, donations, etc.  It was estimated that the establishing of the Fund would have brought to the fundraising for active employment programmes, consequently reducing the unemployment;</w:t>
      </w:r>
    </w:p>
    <w:p w:rsidR="00000000" w:rsidRDefault="00000000">
      <w:pPr>
        <w:numPr>
          <w:ilvl w:val="0"/>
          <w:numId w:val="169"/>
        </w:numPr>
      </w:pPr>
      <w:r>
        <w:t>Another difficulty faced during this period has been the tendency of reducing the State budget assistance intended for the employment encouragement programmes.</w:t>
      </w:r>
    </w:p>
    <w:p w:rsidR="00000000" w:rsidRDefault="00000000">
      <w:pPr>
        <w:pStyle w:val="ParaNo"/>
        <w:tabs>
          <w:tab w:val="clear" w:pos="360"/>
          <w:tab w:val="clear" w:pos="737"/>
        </w:tabs>
        <w:ind w:left="0" w:firstLine="0"/>
        <w:rPr>
          <w:lang w:val="en-GB"/>
        </w:rPr>
      </w:pPr>
      <w:r>
        <w:rPr>
          <w:lang w:val="en-GB"/>
        </w:rPr>
        <w:t xml:space="preserve">There are no data on members belonging to national, ethno-linguistic, religious and other minorities trained within the vocational training centres in Albania, due to the fact that the Ministry of Labour and Social Affairs considers that the collection of these statistics would have a discriminatory character.  </w:t>
      </w:r>
    </w:p>
    <w:p w:rsidR="00000000" w:rsidRDefault="00000000">
      <w:pPr>
        <w:pStyle w:val="ParaNo"/>
        <w:tabs>
          <w:tab w:val="clear" w:pos="360"/>
          <w:tab w:val="clear" w:pos="737"/>
        </w:tabs>
        <w:ind w:left="0" w:firstLine="0"/>
        <w:rPr>
          <w:lang w:val="en-GB"/>
        </w:rPr>
      </w:pPr>
      <w:r>
        <w:rPr>
          <w:lang w:val="en-GB"/>
        </w:rPr>
        <w:t xml:space="preserve">Referring to articles 16 and 18 of the Constitution, which provide equal legal status of Albanian citizens, foreigners and individuals without citizenship, there has not been noted any discrimination in the area of vocational training.  The registration of trainees in these centres requires the documents as provided by the law “On the civil status”, thus it never requires data on race, colour, religion or national origin.  </w:t>
      </w:r>
    </w:p>
    <w:p w:rsidR="00000000" w:rsidRDefault="00000000">
      <w:pPr>
        <w:pStyle w:val="Heading3"/>
      </w:pPr>
      <w:r>
        <w:t xml:space="preserve">International cooperation </w:t>
      </w:r>
    </w:p>
    <w:p w:rsidR="00000000" w:rsidRDefault="00000000">
      <w:pPr>
        <w:pStyle w:val="ParaNo"/>
        <w:tabs>
          <w:tab w:val="clear" w:pos="360"/>
          <w:tab w:val="clear" w:pos="737"/>
        </w:tabs>
        <w:ind w:left="0" w:firstLine="0"/>
        <w:rPr>
          <w:lang w:val="en-GB"/>
        </w:rPr>
      </w:pPr>
      <w:r>
        <w:rPr>
          <w:lang w:val="en-GB"/>
        </w:rPr>
        <w:t xml:space="preserve">In the framework of international assistance, there have been some assistance programmes in the area of labour market, as follows:  </w:t>
      </w:r>
    </w:p>
    <w:p w:rsidR="00000000" w:rsidRDefault="00000000">
      <w:pPr>
        <w:numPr>
          <w:ilvl w:val="0"/>
          <w:numId w:val="170"/>
        </w:numPr>
      </w:pPr>
      <w:r>
        <w:t>A project of the World Bank has been implemented during the recent years and its objective was the short-term assessment of the labour market;</w:t>
      </w:r>
    </w:p>
    <w:p w:rsidR="00000000" w:rsidRDefault="00000000">
      <w:pPr>
        <w:numPr>
          <w:ilvl w:val="0"/>
          <w:numId w:val="170"/>
        </w:numPr>
      </w:pPr>
      <w:r>
        <w:t>Another project of the World Bank had as its objective the introduction of a labour market information system;</w:t>
      </w:r>
    </w:p>
    <w:p w:rsidR="00000000" w:rsidRDefault="00000000">
      <w:pPr>
        <w:numPr>
          <w:ilvl w:val="0"/>
          <w:numId w:val="170"/>
        </w:numPr>
      </w:pPr>
      <w:r>
        <w:t>Furthermore, enormous assistance to the improvement of labour market assessment has been implemented through the Phare project VET 95.  This project made possible the review and compilation of a guideline on the registration of unemployed persons at the Local Employment Offices, thus improving the release of reliable statistics.  This technique was implemented primarily in 12 Employment Offices based in prefectures, extending it in the whole territory of the country, with the intention of unifying this technique;</w:t>
      </w:r>
    </w:p>
    <w:p w:rsidR="00000000" w:rsidRDefault="00000000">
      <w:pPr>
        <w:numPr>
          <w:ilvl w:val="0"/>
          <w:numId w:val="170"/>
        </w:numPr>
      </w:pPr>
      <w:r>
        <w:t>One of the components of the Phare project VET was the support for vocational education and formation.  Thus, the project provided support, assistance, curricula and didactic equipments for the Vocational Formation Centre No. 4 in Tirana;</w:t>
      </w:r>
    </w:p>
    <w:p w:rsidR="00000000" w:rsidRDefault="00000000">
      <w:pPr>
        <w:numPr>
          <w:ilvl w:val="0"/>
          <w:numId w:val="170"/>
        </w:numPr>
      </w:pPr>
      <w:r>
        <w:t xml:space="preserve">A USAID-funded project made possible the establishment of an Albanian network of vocational training centres. </w:t>
      </w:r>
    </w:p>
    <w:p w:rsidR="00000000" w:rsidRDefault="00000000">
      <w:pPr>
        <w:pStyle w:val="ParaNo"/>
        <w:tabs>
          <w:tab w:val="clear" w:pos="360"/>
          <w:tab w:val="clear" w:pos="737"/>
        </w:tabs>
        <w:ind w:left="0" w:firstLine="0"/>
        <w:rPr>
          <w:lang w:val="en-GB"/>
        </w:rPr>
      </w:pPr>
      <w:r>
        <w:rPr>
          <w:lang w:val="en-GB"/>
        </w:rPr>
        <w:t xml:space="preserve">Apart from public vocational training, this service is offered also by national and foreign NGOs, and non-public institutions.  Although the public institutions offer dignitary services, it cannot be assumed that the system can currently satisfy in quality and quantity all the needs for vocational training within the labour market.  Their achievements in the labour market are generally a consequence of the enormous need the market generates for knowledge that can be easily identified, such as secretarial and computer skills, cosmetics, foreign languages, etc.  </w:t>
      </w:r>
    </w:p>
    <w:p w:rsidR="00000000" w:rsidRDefault="00000000">
      <w:pPr>
        <w:pStyle w:val="ParaNo"/>
        <w:tabs>
          <w:tab w:val="clear" w:pos="360"/>
          <w:tab w:val="clear" w:pos="737"/>
        </w:tabs>
        <w:ind w:left="0" w:firstLine="0"/>
        <w:rPr>
          <w:lang w:val="en-GB"/>
        </w:rPr>
      </w:pPr>
      <w:r>
        <w:rPr>
          <w:lang w:val="en-GB"/>
        </w:rPr>
        <w:t xml:space="preserve">Public and private structures and institutions of formation generally encounter a lack of funding for their activities, expressed in the lack of sufficient funds to set up and maintain training capacities, and also in the lack of fee-paying capacities of the population expected to be trained (through private courses).  </w:t>
      </w:r>
    </w:p>
    <w:p w:rsidR="00000000" w:rsidRDefault="00000000">
      <w:pPr>
        <w:pStyle w:val="ParaNo"/>
        <w:tabs>
          <w:tab w:val="clear" w:pos="360"/>
          <w:tab w:val="clear" w:pos="737"/>
        </w:tabs>
        <w:ind w:left="0" w:firstLine="0"/>
        <w:rPr>
          <w:lang w:val="en-GB"/>
        </w:rPr>
      </w:pPr>
      <w:r>
        <w:rPr>
          <w:lang w:val="en-GB"/>
        </w:rPr>
        <w:t>The issues related to the reform of the vocational training system can be divided into issues relating to property matters, dependence, guidance and financing of existing centres of vocational training, as well as the establishment of a funding outline, which will support the vocational training.</w:t>
      </w:r>
    </w:p>
    <w:p w:rsidR="00000000" w:rsidRDefault="00000000">
      <w:pPr>
        <w:pStyle w:val="ParaNo"/>
        <w:tabs>
          <w:tab w:val="clear" w:pos="360"/>
          <w:tab w:val="clear" w:pos="737"/>
        </w:tabs>
        <w:ind w:left="0" w:firstLine="0"/>
        <w:rPr>
          <w:lang w:val="en-GB"/>
        </w:rPr>
      </w:pPr>
      <w:r>
        <w:rPr>
          <w:lang w:val="en-GB"/>
        </w:rPr>
        <w:t xml:space="preserve">The solution to the above problems must first of all satisfy the enormous need of the Albanian labour market for vocational training, both in quality and quantity.  At the same time the remedy should not require enormous and inert investments, but it has to take advantage of human resources, logistics and existing facility infrastructure.  The remedy should be able to attract potential financial sponsors, be they central or local authorities, international programmes or agencies, and must be also flexible and adaptable. </w:t>
      </w:r>
    </w:p>
    <w:p w:rsidR="00000000" w:rsidRDefault="00000000">
      <w:pPr>
        <w:pStyle w:val="Heading2"/>
      </w:pPr>
      <w:r>
        <w:br w:type="page"/>
        <w:t>Article 7</w:t>
      </w:r>
    </w:p>
    <w:p w:rsidR="00000000" w:rsidRDefault="00000000">
      <w:pPr>
        <w:pStyle w:val="Heading2"/>
      </w:pPr>
      <w:r>
        <w:t>Right to just and favourable working conditions</w:t>
      </w:r>
    </w:p>
    <w:p w:rsidR="00000000" w:rsidRDefault="00000000">
      <w:pPr>
        <w:pStyle w:val="ParaNo"/>
        <w:tabs>
          <w:tab w:val="clear" w:pos="360"/>
          <w:tab w:val="clear" w:pos="737"/>
        </w:tabs>
        <w:ind w:left="0" w:firstLine="0"/>
        <w:rPr>
          <w:lang w:val="en-GB"/>
        </w:rPr>
      </w:pPr>
      <w:r>
        <w:rPr>
          <w:lang w:val="en-GB"/>
        </w:rPr>
        <w:t>The Republic of Albania has ratified the following International Labour Organization (ILO) Conventions:</w:t>
      </w:r>
    </w:p>
    <w:p w:rsidR="00000000" w:rsidRDefault="00000000">
      <w:pPr>
        <w:numPr>
          <w:ilvl w:val="0"/>
          <w:numId w:val="171"/>
        </w:numPr>
      </w:pPr>
      <w:r>
        <w:t xml:space="preserve">The Minimum Wage Convention, No. 138 (1973), ratified on 16 February 1998; </w:t>
      </w:r>
    </w:p>
    <w:p w:rsidR="00000000" w:rsidRDefault="00000000">
      <w:pPr>
        <w:numPr>
          <w:ilvl w:val="0"/>
          <w:numId w:val="171"/>
        </w:numPr>
      </w:pPr>
      <w:r>
        <w:t>The Equal Remuneration Convention, No. 100 (1951), ratified on 3 June 3 1957;</w:t>
      </w:r>
    </w:p>
    <w:p w:rsidR="00000000" w:rsidRDefault="00000000">
      <w:pPr>
        <w:numPr>
          <w:ilvl w:val="0"/>
          <w:numId w:val="171"/>
        </w:numPr>
      </w:pPr>
      <w:r>
        <w:t>The Labour Inspection (Agriculture) Convention, No. 129 (1969);</w:t>
      </w:r>
    </w:p>
    <w:p w:rsidR="00000000" w:rsidRDefault="00000000">
      <w:pPr>
        <w:numPr>
          <w:ilvl w:val="0"/>
          <w:numId w:val="171"/>
        </w:numPr>
      </w:pPr>
      <w:r>
        <w:t>The Occupational Safety and Health Convention, No. 154 (1981).</w:t>
      </w:r>
    </w:p>
    <w:p w:rsidR="00000000" w:rsidRDefault="00000000">
      <w:pPr>
        <w:pStyle w:val="ParaNo"/>
        <w:numPr>
          <w:ilvl w:val="0"/>
          <w:numId w:val="0"/>
        </w:numPr>
        <w:tabs>
          <w:tab w:val="clear" w:pos="737"/>
        </w:tabs>
        <w:rPr>
          <w:lang w:val="en-GB"/>
        </w:rPr>
      </w:pPr>
      <w:r>
        <w:rPr>
          <w:lang w:val="en-GB"/>
        </w:rPr>
        <w:t xml:space="preserve">With Law No. 8185 of 23 January 1997, the Republic of Albania acceded to the ILO Labour Inspection Convention, No. 81 (1947), the Workers’ Representatives Convention No. 135 (1971) and the Rural Workers’ Organizations Convention No. 141 (1975).  No report has been so far submitted to the ILO’s respective bodies on the implementation of the above Conventions. </w:t>
      </w:r>
    </w:p>
    <w:p w:rsidR="00000000" w:rsidRDefault="00000000">
      <w:pPr>
        <w:pStyle w:val="ParaNo"/>
        <w:tabs>
          <w:tab w:val="clear" w:pos="360"/>
          <w:tab w:val="clear" w:pos="737"/>
        </w:tabs>
        <w:ind w:left="0" w:firstLine="0"/>
        <w:rPr>
          <w:lang w:val="en-GB"/>
        </w:rPr>
      </w:pPr>
      <w:r>
        <w:rPr>
          <w:lang w:val="en-GB"/>
        </w:rPr>
        <w:t>Article 55 of the Constitution provides that citizens enjoy in an equal manner the right to health care from the State.  The State, within its constitutional powers and the means at its disposal, aims to supplement private initiative and responsibility with employment under suitable conditions for all persons who are able to work (art. 59).</w:t>
      </w:r>
    </w:p>
    <w:p w:rsidR="00000000" w:rsidRDefault="00000000">
      <w:pPr>
        <w:pStyle w:val="ParaNo"/>
        <w:tabs>
          <w:tab w:val="clear" w:pos="360"/>
          <w:tab w:val="clear" w:pos="737"/>
        </w:tabs>
        <w:ind w:left="0" w:firstLine="0"/>
        <w:rPr>
          <w:lang w:val="en-GB"/>
        </w:rPr>
      </w:pPr>
      <w:r>
        <w:rPr>
          <w:lang w:val="en-GB"/>
        </w:rPr>
        <w:t xml:space="preserve">The observation on the legal requirements in employment relations and working standards and conditions is carried out by the Labour Inspectorate.  The main objectives of Law No. 7986, dated 13 September 1995, “On the Labour Inspectorate”, are to assure the implementation of legal labour provisions by employers and their employees. </w:t>
      </w:r>
    </w:p>
    <w:p w:rsidR="00000000" w:rsidRDefault="00000000">
      <w:pPr>
        <w:pStyle w:val="Heading2"/>
      </w:pPr>
      <w:r>
        <w:t>Wages</w:t>
      </w:r>
    </w:p>
    <w:p w:rsidR="00000000" w:rsidRDefault="00000000">
      <w:pPr>
        <w:pStyle w:val="ParaNo"/>
        <w:tabs>
          <w:tab w:val="clear" w:pos="360"/>
          <w:tab w:val="clear" w:pos="737"/>
        </w:tabs>
        <w:ind w:left="0" w:firstLine="0"/>
        <w:rPr>
          <w:lang w:val="en-GB"/>
        </w:rPr>
      </w:pPr>
      <w:r>
        <w:rPr>
          <w:lang w:val="en-GB"/>
        </w:rPr>
        <w:t xml:space="preserve">The level of wages and their delineation are provided by Law No. 8487, dated 13 May 1999, “On competencies of wage determination”, and amended by Law No. 8935 of 12 September 2002.  In compliance with the law, the Parliament, the Council of Ministers, Ministries, central independent institutions, local government bodies, State enterprises, and other juridical or physical entities have competencies in defining the wage levels.  </w:t>
      </w:r>
    </w:p>
    <w:p w:rsidR="00000000" w:rsidRDefault="00000000">
      <w:pPr>
        <w:pStyle w:val="ParaNo"/>
        <w:tabs>
          <w:tab w:val="clear" w:pos="360"/>
          <w:tab w:val="clear" w:pos="737"/>
        </w:tabs>
        <w:ind w:left="0" w:firstLine="0"/>
        <w:rPr>
          <w:lang w:val="en-GB"/>
        </w:rPr>
      </w:pPr>
      <w:r>
        <w:rPr>
          <w:lang w:val="en-GB"/>
        </w:rPr>
        <w:t xml:space="preserve">Within the budgetary State sector, wage levels are determined by State organs, according to competencies provided by the law, while the Council of Ministers defines the minimal and maximal wages in the non-budgetary sectors.  In the case of independent institutions, wages are determined by their managerial bodies.  </w:t>
      </w:r>
    </w:p>
    <w:p w:rsidR="00000000" w:rsidRDefault="00000000">
      <w:pPr>
        <w:pStyle w:val="ParaNo"/>
        <w:tabs>
          <w:tab w:val="clear" w:pos="360"/>
          <w:tab w:val="clear" w:pos="737"/>
        </w:tabs>
        <w:ind w:left="0" w:firstLine="0"/>
        <w:rPr>
          <w:lang w:val="en-GB"/>
        </w:rPr>
      </w:pPr>
      <w:r>
        <w:rPr>
          <w:lang w:val="en-GB"/>
        </w:rPr>
        <w:t xml:space="preserve">Generally, the wages are fixed by comparing the functions, but currently the Ministry of Labour and Social Affairs is working on some initiatives for the implementation of an evaluation method that would primarily take into account an evaluation of the work position.  </w:t>
      </w:r>
    </w:p>
    <w:p w:rsidR="00000000" w:rsidRDefault="00000000">
      <w:pPr>
        <w:pStyle w:val="Heading3"/>
      </w:pPr>
      <w:r>
        <w:t>Minimum wage</w:t>
      </w:r>
    </w:p>
    <w:p w:rsidR="00000000" w:rsidRDefault="00000000">
      <w:pPr>
        <w:pStyle w:val="ParaNo"/>
        <w:tabs>
          <w:tab w:val="clear" w:pos="360"/>
          <w:tab w:val="clear" w:pos="737"/>
        </w:tabs>
        <w:ind w:left="0" w:firstLine="0"/>
        <w:rPr>
          <w:lang w:val="en-GB"/>
        </w:rPr>
      </w:pPr>
      <w:r>
        <w:rPr>
          <w:lang w:val="en-GB"/>
        </w:rPr>
        <w:t>Pursuant to Law No. 8487, dated 13 May 1999, “On competencies for work wages classification” and Law No. 8935, dated 12 September 2002, “On some amendments to Law No. 8487”, the Council of Ministers, with the proposal of Minister of Labour and Social Affairs, approved:</w:t>
      </w:r>
    </w:p>
    <w:p w:rsidR="00000000" w:rsidRDefault="00000000">
      <w:pPr>
        <w:numPr>
          <w:ilvl w:val="0"/>
          <w:numId w:val="172"/>
        </w:numPr>
        <w:rPr>
          <w:szCs w:val="26"/>
        </w:rPr>
      </w:pPr>
      <w:r>
        <w:rPr>
          <w:szCs w:val="26"/>
        </w:rPr>
        <w:t>The minimum monthly wage, which is considered obligatory to be implemented by any natural and juridical person, native or foreigner;</w:t>
      </w:r>
    </w:p>
    <w:p w:rsidR="00000000" w:rsidRDefault="00000000">
      <w:pPr>
        <w:numPr>
          <w:ilvl w:val="0"/>
          <w:numId w:val="172"/>
        </w:numPr>
        <w:rPr>
          <w:szCs w:val="26"/>
        </w:rPr>
      </w:pPr>
      <w:r>
        <w:rPr>
          <w:szCs w:val="26"/>
        </w:rPr>
        <w:t>The wage’s structure for employees of the public central administration;</w:t>
      </w:r>
    </w:p>
    <w:p w:rsidR="00000000" w:rsidRDefault="00000000">
      <w:pPr>
        <w:numPr>
          <w:ilvl w:val="0"/>
          <w:numId w:val="172"/>
        </w:numPr>
        <w:rPr>
          <w:szCs w:val="26"/>
        </w:rPr>
      </w:pPr>
      <w:r>
        <w:rPr>
          <w:szCs w:val="26"/>
        </w:rPr>
        <w:t>The number of categories, the wage’s ceiling and its premium based on categories, for the employees of public administration not covered by Law No. 8549, dated 11 November 1999, “On the status of civil servants”;</w:t>
      </w:r>
    </w:p>
    <w:p w:rsidR="00000000" w:rsidRDefault="00000000">
      <w:pPr>
        <w:numPr>
          <w:ilvl w:val="0"/>
          <w:numId w:val="172"/>
        </w:numPr>
      </w:pPr>
      <w:r>
        <w:t xml:space="preserve">The rate of wage indexes, according to the changes expected in the consumer price indexes, by the beginning of any year, and the rules for its implementation. </w:t>
      </w:r>
    </w:p>
    <w:p w:rsidR="00000000" w:rsidRDefault="00000000">
      <w:pPr>
        <w:pStyle w:val="ParaNo"/>
        <w:tabs>
          <w:tab w:val="clear" w:pos="360"/>
          <w:tab w:val="clear" w:pos="737"/>
        </w:tabs>
        <w:ind w:left="0" w:firstLine="0"/>
        <w:rPr>
          <w:lang w:val="en-GB"/>
        </w:rPr>
      </w:pPr>
      <w:r>
        <w:rPr>
          <w:lang w:val="en-GB"/>
        </w:rPr>
        <w:t>Law No. 7961, of 12 July 1995, amended by Law No. 8085, of 13 March 1996, “Labour Code of the Republic of Albania”, in article 111 provides that the wage cannot be lower than the minimum wage established by the decision of the Council of Ministers.  The minimum wage is established based on:</w:t>
      </w:r>
    </w:p>
    <w:p w:rsidR="00000000" w:rsidRDefault="00000000">
      <w:r>
        <w:tab/>
        <w:t>(a)</w:t>
      </w:r>
      <w:r>
        <w:tab/>
        <w:t>The Economic factors, requirements of economic development, the decrease of unemployment, and production growth;</w:t>
      </w:r>
    </w:p>
    <w:p w:rsidR="00000000" w:rsidRDefault="00000000">
      <w:r>
        <w:tab/>
        <w:t>(b)</w:t>
      </w:r>
      <w:r>
        <w:tab/>
        <w:t xml:space="preserve">Needs of the employees and their families, having regard to the overall standard of living, incomes from social insurance and standard of living of different social groups.  </w:t>
      </w:r>
    </w:p>
    <w:p w:rsidR="00000000" w:rsidRDefault="00000000">
      <w:pPr>
        <w:pStyle w:val="ParaNo"/>
        <w:tabs>
          <w:tab w:val="clear" w:pos="360"/>
          <w:tab w:val="clear" w:pos="737"/>
        </w:tabs>
        <w:ind w:left="0" w:firstLine="0"/>
        <w:rPr>
          <w:szCs w:val="24"/>
          <w:lang w:val="en-GB"/>
        </w:rPr>
      </w:pPr>
      <w:r>
        <w:rPr>
          <w:szCs w:val="24"/>
          <w:lang w:val="en-GB"/>
        </w:rPr>
        <w:t>Decisions of the Council of Ministers related to wages include:</w:t>
      </w:r>
    </w:p>
    <w:p w:rsidR="00000000" w:rsidRDefault="00000000">
      <w:pPr>
        <w:numPr>
          <w:ilvl w:val="0"/>
          <w:numId w:val="173"/>
        </w:numPr>
        <w:rPr>
          <w:rFonts w:cs="Arial"/>
          <w:bCs/>
          <w:szCs w:val="26"/>
        </w:rPr>
      </w:pPr>
      <w:r>
        <w:rPr>
          <w:rFonts w:cs="Arial"/>
          <w:bCs/>
          <w:szCs w:val="26"/>
        </w:rPr>
        <w:t>The decision of the Council of Ministers, No. 424 of 11 June 2002, “On some amendments to Council of Ministers Decision No. 726, dated 21 December 2000, ‘On wages of the budget institution employees’ ”, provided a general increase of wages by the amount of 8 per cent.  This decision has extended its retroactive effect since 1 July 2001;</w:t>
      </w:r>
    </w:p>
    <w:p w:rsidR="00000000" w:rsidRDefault="00000000">
      <w:pPr>
        <w:numPr>
          <w:ilvl w:val="0"/>
          <w:numId w:val="173"/>
        </w:numPr>
        <w:rPr>
          <w:szCs w:val="26"/>
        </w:rPr>
      </w:pPr>
      <w:r>
        <w:rPr>
          <w:szCs w:val="26"/>
        </w:rPr>
        <w:t>The decision of the Council of Ministers No. 378, dated 14 July 2000, which amended the decision of Council of Ministers No. 393, dated 3 September 1992, (abolished by the decision of the Council of Ministers No. 726, dated 21 December 2000), provided an average increase of the wages of budget institution’s employees by the amount of 10 per cent;</w:t>
      </w:r>
    </w:p>
    <w:p w:rsidR="00000000" w:rsidRDefault="00000000">
      <w:pPr>
        <w:numPr>
          <w:ilvl w:val="0"/>
          <w:numId w:val="173"/>
        </w:numPr>
        <w:rPr>
          <w:szCs w:val="26"/>
        </w:rPr>
      </w:pPr>
      <w:r>
        <w:rPr>
          <w:szCs w:val="26"/>
        </w:rPr>
        <w:t xml:space="preserve">The decision of the Council of Ministers No. 214, dated 28 March 1998, “On some amendments to decision of the Council of Ministers No. 345, dated 10 August 1992, ‘On reward of employee’s work’ </w:t>
      </w:r>
      <w:r>
        <w:t>”</w:t>
      </w:r>
      <w:r>
        <w:rPr>
          <w:szCs w:val="26"/>
        </w:rPr>
        <w:t>, set out in the point 1, that the minimum base wage become 5,800 lek, and its financial effects start since 1 April 1998.  In the same decision, (point 1/b), has been provided that in the State enterprise and in the non</w:t>
      </w:r>
      <w:r>
        <w:rPr>
          <w:szCs w:val="26"/>
        </w:rPr>
        <w:noBreakHyphen/>
        <w:t>budget and partly non-budget State institutions, the average wage will increase up to 20 per cent, plus compensations;</w:t>
      </w:r>
    </w:p>
    <w:p w:rsidR="00000000" w:rsidRDefault="00000000">
      <w:pPr>
        <w:numPr>
          <w:ilvl w:val="0"/>
          <w:numId w:val="173"/>
        </w:numPr>
        <w:rPr>
          <w:szCs w:val="26"/>
        </w:rPr>
      </w:pPr>
      <w:r>
        <w:rPr>
          <w:szCs w:val="26"/>
        </w:rPr>
        <w:t>The decision of the Council of Ministers No. 423 dated 11 June 2001,  “On the classification of the average monthly wage”, has clearly defined that the minimum base wage for the employees all over the country is 7,580 leks.  In addition, the above</w:t>
      </w:r>
      <w:r>
        <w:rPr>
          <w:szCs w:val="26"/>
        </w:rPr>
        <w:noBreakHyphen/>
        <w:t>mentioned decision abolished the decision of Council of Ministers No. 24, dated 14 July 2000,  “On the increase of the minimum wage”, which forecast a minimum wage of 7,018 leks;</w:t>
      </w:r>
    </w:p>
    <w:p w:rsidR="00000000" w:rsidRDefault="00000000">
      <w:pPr>
        <w:numPr>
          <w:ilvl w:val="0"/>
          <w:numId w:val="173"/>
        </w:numPr>
        <w:rPr>
          <w:bCs/>
          <w:szCs w:val="26"/>
        </w:rPr>
      </w:pPr>
      <w:r>
        <w:rPr>
          <w:bCs/>
          <w:szCs w:val="26"/>
        </w:rPr>
        <w:t>The decision of the Council of Ministers No. 382, dated 14 July 2000, “On the increase of the unemployment payment level” forecast, in point 1, that the unemployment payment level in the country become 3,100 leks;</w:t>
      </w:r>
    </w:p>
    <w:p w:rsidR="00000000" w:rsidRDefault="00000000">
      <w:pPr>
        <w:numPr>
          <w:ilvl w:val="0"/>
          <w:numId w:val="173"/>
        </w:numPr>
        <w:rPr>
          <w:bCs/>
          <w:szCs w:val="26"/>
        </w:rPr>
      </w:pPr>
      <w:r>
        <w:rPr>
          <w:bCs/>
          <w:szCs w:val="26"/>
        </w:rPr>
        <w:t>The decision of the Council of Ministers No. 551, dated 7 November 2002, “On function classifications and grouping of local government units for wage effects as well as for classification of the wage ceiling of local government unit employees”, abolished part of the decision No. 726, with regard to the local government units.  The wage for high school graduates is 9,000 lek, the addition for seniority is 2 per cent after every work year up to 25 years and is counted in the group wage.  Point 15 of above-mentioned decision provided that the wage level of employees who have functions in the civil service, but don’t have higher education, are classified to a maximum ceiling up to 25,000 leks.  Point 16 sets out that the wages of other employees who are not civil servants of local government units are defined by the relevant decision of the Council of Ministers to a maximum ceiling up to 20,000 lek.  This decision took effect on 1 January 2003.</w:t>
      </w:r>
    </w:p>
    <w:p w:rsidR="00000000" w:rsidRDefault="00000000">
      <w:pPr>
        <w:pStyle w:val="ParaNo"/>
        <w:tabs>
          <w:tab w:val="clear" w:pos="360"/>
          <w:tab w:val="clear" w:pos="737"/>
        </w:tabs>
        <w:ind w:left="0" w:firstLine="0"/>
        <w:rPr>
          <w:lang w:val="en-GB"/>
        </w:rPr>
      </w:pPr>
      <w:r>
        <w:rPr>
          <w:bCs/>
          <w:szCs w:val="26"/>
          <w:lang w:val="en-GB"/>
        </w:rPr>
        <w:t xml:space="preserve">Law No. 8983 of 20 December 2002, “On the State budget for the year 2003”, provides in article 2 that the minimum wage, for the purposes of the payment of social and health insurance contributions until the increase of these wages, is 9,403 lek per month.  After an increase, the Council of Ministers defines new wages.  </w:t>
      </w:r>
      <w:r>
        <w:rPr>
          <w:lang w:val="en-GB"/>
        </w:rPr>
        <w:t>Every year wages increase according to real financial opportunities, pursuant to the estimate of the State budget, and priority is given to the minimum wage</w:t>
      </w:r>
      <w:r>
        <w:rPr>
          <w:bCs/>
          <w:szCs w:val="26"/>
          <w:lang w:val="en-GB"/>
        </w:rPr>
        <w:t xml:space="preserve">.  </w:t>
      </w:r>
      <w:r>
        <w:rPr>
          <w:lang w:val="en-GB"/>
        </w:rPr>
        <w:t>Thus, the increase in minimum wages is proportionally greater than the variation of the index for consumer prices</w:t>
      </w:r>
      <w:r>
        <w:rPr>
          <w:bCs/>
          <w:szCs w:val="26"/>
          <w:lang w:val="en-GB"/>
        </w:rPr>
        <w:t xml:space="preserve">.  </w:t>
      </w:r>
    </w:p>
    <w:p w:rsidR="00000000" w:rsidRDefault="00000000">
      <w:pPr>
        <w:pStyle w:val="ParaNo"/>
        <w:tabs>
          <w:tab w:val="clear" w:pos="360"/>
          <w:tab w:val="clear" w:pos="737"/>
        </w:tabs>
        <w:ind w:left="0" w:firstLine="0"/>
        <w:rPr>
          <w:lang w:val="en-GB"/>
        </w:rPr>
      </w:pPr>
      <w:r>
        <w:rPr>
          <w:lang w:val="en-GB"/>
        </w:rPr>
        <w:t>A study conducted during 2002 ascertained the living minimum wage per capita, the minimum for an employee and the minimum for a family of four members</w:t>
      </w:r>
      <w:r>
        <w:rPr>
          <w:bCs/>
          <w:szCs w:val="26"/>
          <w:lang w:val="en-GB"/>
        </w:rPr>
        <w:t xml:space="preserve">.  </w:t>
      </w:r>
      <w:r>
        <w:rPr>
          <w:lang w:val="en-GB"/>
        </w:rPr>
        <w:t>The study served as a tool for drawing up wage policies in general, and for the determination of the minimum wage countrywide</w:t>
      </w:r>
      <w:r>
        <w:rPr>
          <w:bCs/>
          <w:szCs w:val="26"/>
          <w:lang w:val="en-GB"/>
        </w:rPr>
        <w:t xml:space="preserve">.  </w:t>
      </w:r>
      <w:r>
        <w:rPr>
          <w:lang w:val="en-GB"/>
        </w:rPr>
        <w:t>As an outcome of this study, the living minimum for an employee was calculated to be 13,404 leks per month</w:t>
      </w:r>
      <w:r>
        <w:rPr>
          <w:bCs/>
          <w:szCs w:val="26"/>
          <w:lang w:val="en-GB"/>
        </w:rPr>
        <w:t xml:space="preserve">.  </w:t>
      </w:r>
    </w:p>
    <w:p w:rsidR="00000000" w:rsidRDefault="00000000">
      <w:pPr>
        <w:pStyle w:val="ParaNo"/>
        <w:tabs>
          <w:tab w:val="clear" w:pos="360"/>
          <w:tab w:val="clear" w:pos="737"/>
        </w:tabs>
        <w:ind w:left="0" w:firstLine="0"/>
        <w:rPr>
          <w:lang w:val="en-GB"/>
        </w:rPr>
      </w:pPr>
      <w:r>
        <w:rPr>
          <w:lang w:val="en-GB"/>
        </w:rPr>
        <w:t>The minimum wages in different branches of the economy are defined by collective agreements between social partners</w:t>
      </w:r>
      <w:r>
        <w:rPr>
          <w:bCs/>
          <w:szCs w:val="26"/>
          <w:lang w:val="en-GB"/>
        </w:rPr>
        <w:t xml:space="preserve">.  </w:t>
      </w:r>
      <w:r>
        <w:rPr>
          <w:lang w:val="en-GB"/>
        </w:rPr>
        <w:t>A special role for the definition of the minimum wage has been assigned to the National Labour Council (NLC), established pursuant to article 200 of the Labour Code of the Republic of Albania, due to the fact that one of the most important commissions within the NLC structure is the Wage Commission</w:t>
      </w:r>
      <w:r>
        <w:rPr>
          <w:bCs/>
          <w:szCs w:val="26"/>
          <w:lang w:val="en-GB"/>
        </w:rPr>
        <w:t xml:space="preserve">.  </w:t>
      </w:r>
      <w:r>
        <w:rPr>
          <w:lang w:val="en-GB"/>
        </w:rPr>
        <w:t>The National Labour Council is composed of 25 members (office-holders) and 25 candidates, of whom 10 office-holders and 10 candidates are representatives of employers, 10 office-holders and 10 candidates are representatives of employees, and 10 are representatives of the Government, both as office</w:t>
      </w:r>
      <w:r>
        <w:rPr>
          <w:lang w:val="en-GB"/>
        </w:rPr>
        <w:noBreakHyphen/>
        <w:t>holders and candidates</w:t>
      </w:r>
      <w:r>
        <w:rPr>
          <w:bCs/>
          <w:szCs w:val="26"/>
          <w:lang w:val="en-GB"/>
        </w:rPr>
        <w:t xml:space="preserve">.  </w:t>
      </w:r>
    </w:p>
    <w:p w:rsidR="00000000" w:rsidRDefault="00000000">
      <w:pPr>
        <w:pStyle w:val="ParaNo"/>
        <w:tabs>
          <w:tab w:val="clear" w:pos="360"/>
          <w:tab w:val="clear" w:pos="737"/>
        </w:tabs>
        <w:ind w:left="0" w:firstLine="0"/>
        <w:rPr>
          <w:lang w:val="en-GB"/>
        </w:rPr>
      </w:pPr>
      <w:r>
        <w:rPr>
          <w:lang w:val="en-GB"/>
        </w:rPr>
        <w:t>The provisions on the minimum wage are binding</w:t>
      </w:r>
      <w:r>
        <w:rPr>
          <w:bCs/>
          <w:szCs w:val="26"/>
          <w:lang w:val="en-GB"/>
        </w:rPr>
        <w:t xml:space="preserve">.  </w:t>
      </w:r>
      <w:r>
        <w:rPr>
          <w:lang w:val="en-GB"/>
        </w:rPr>
        <w:t>Thus, article 111/1 of the Labour Code provides that, when the employer applies wages lower than those stipulated, he is subject to fines equal to 30 monthly minimum wages</w:t>
      </w:r>
      <w:r>
        <w:rPr>
          <w:bCs/>
          <w:szCs w:val="26"/>
          <w:lang w:val="en-GB"/>
        </w:rPr>
        <w:t xml:space="preserve">.  </w:t>
      </w:r>
      <w:r>
        <w:rPr>
          <w:lang w:val="en-GB"/>
        </w:rPr>
        <w:t>The lawsuits against persons residing in the territory of the Republic are brought before the court of the place where the defendant has its domicile or residence</w:t>
      </w:r>
      <w:r>
        <w:rPr>
          <w:bCs/>
          <w:szCs w:val="26"/>
          <w:lang w:val="en-GB"/>
        </w:rPr>
        <w:t xml:space="preserve">.  </w:t>
      </w:r>
      <w:r>
        <w:rPr>
          <w:lang w:val="en-GB"/>
        </w:rPr>
        <w:t>The Labour Inspectorate is the competent authority, which supervises the implementation of rules provided by the Labour Code with regard to the protection of employees.</w:t>
      </w:r>
    </w:p>
    <w:p w:rsidR="00000000" w:rsidRDefault="00000000">
      <w:pPr>
        <w:pStyle w:val="Heading2"/>
      </w:pPr>
      <w:r>
        <w:t>Classification and trend of the wage levels</w:t>
      </w:r>
    </w:p>
    <w:p w:rsidR="00000000" w:rsidRDefault="00000000">
      <w:pPr>
        <w:pStyle w:val="ParaNo"/>
        <w:tabs>
          <w:tab w:val="clear" w:pos="360"/>
          <w:tab w:val="clear" w:pos="737"/>
        </w:tabs>
        <w:ind w:left="0" w:firstLine="0"/>
        <w:rPr>
          <w:bCs/>
          <w:szCs w:val="26"/>
          <w:lang w:val="en-GB"/>
        </w:rPr>
      </w:pPr>
      <w:r>
        <w:rPr>
          <w:bCs/>
          <w:szCs w:val="26"/>
          <w:lang w:val="en-GB"/>
        </w:rPr>
        <w:t>Classification of wages is based on Law No. 8487, dated 13 May 1999, amended by Law No. 8935, dated 12 September 2002, “On competencies in classification of work wages”.  According to this law, the competencies for classification of work wages are given to the Assembly, Council of Ministers, ministries, central institutions, local governments units, State enterprise and the other juridical and physical persons, domestic and foreigner.</w:t>
      </w:r>
    </w:p>
    <w:p w:rsidR="00000000" w:rsidRDefault="00000000">
      <w:pPr>
        <w:pStyle w:val="ParaNo"/>
        <w:tabs>
          <w:tab w:val="clear" w:pos="360"/>
          <w:tab w:val="clear" w:pos="737"/>
        </w:tabs>
        <w:ind w:left="0" w:firstLine="0"/>
        <w:rPr>
          <w:bCs/>
          <w:szCs w:val="26"/>
          <w:lang w:val="en-GB"/>
        </w:rPr>
      </w:pPr>
      <w:r>
        <w:rPr>
          <w:bCs/>
          <w:szCs w:val="26"/>
          <w:lang w:val="en-GB"/>
        </w:rPr>
        <w:t>In the State budget sector, the wages are classified by the State’s structures in compliance with the competencies stipulated by law, whereas in the non-State budget sector, the minimum and maximum wage is classified by the Council of Ministers.  For the other institutions, it is under the competencies of their managerial structures.</w:t>
      </w:r>
    </w:p>
    <w:p w:rsidR="00000000" w:rsidRDefault="00000000">
      <w:pPr>
        <w:pStyle w:val="ParaNo"/>
        <w:tabs>
          <w:tab w:val="clear" w:pos="360"/>
          <w:tab w:val="clear" w:pos="737"/>
        </w:tabs>
        <w:ind w:left="0" w:firstLine="0"/>
        <w:rPr>
          <w:bCs/>
          <w:szCs w:val="26"/>
          <w:lang w:val="en-GB"/>
        </w:rPr>
      </w:pPr>
      <w:r>
        <w:rPr>
          <w:bCs/>
          <w:szCs w:val="26"/>
          <w:lang w:val="en-GB"/>
        </w:rPr>
        <w:t>The main means of wage classification is comparison of functions.  The wage level is closely related to the possibilities of the State budget and the consumer price’s index increase.</w:t>
      </w:r>
    </w:p>
    <w:p w:rsidR="00000000" w:rsidRDefault="00000000">
      <w:pPr>
        <w:pStyle w:val="ParaNo"/>
        <w:tabs>
          <w:tab w:val="clear" w:pos="360"/>
          <w:tab w:val="clear" w:pos="737"/>
        </w:tabs>
        <w:ind w:left="0" w:firstLine="0"/>
        <w:rPr>
          <w:bCs/>
          <w:szCs w:val="26"/>
          <w:lang w:val="en-GB"/>
        </w:rPr>
      </w:pPr>
      <w:r>
        <w:rPr>
          <w:bCs/>
          <w:szCs w:val="26"/>
          <w:lang w:val="en-GB"/>
        </w:rPr>
        <w:t>The minimum wage scale is classified by a decision of the Council of Ministers, grounded in article 5 of Law No. 8487, dated 13 May 1999.  This is obligatory for every juridical and physical person, native and foreigner.  The minimum wage is being defined by collective bargaining through the partners, and is not lower than the minimum wage scale in the country.</w:t>
      </w:r>
    </w:p>
    <w:p w:rsidR="00000000" w:rsidRDefault="00000000">
      <w:pPr>
        <w:pStyle w:val="ParaNo"/>
        <w:tabs>
          <w:tab w:val="clear" w:pos="360"/>
          <w:tab w:val="clear" w:pos="737"/>
        </w:tabs>
        <w:ind w:left="0" w:firstLine="0"/>
        <w:rPr>
          <w:bCs/>
          <w:szCs w:val="26"/>
          <w:lang w:val="en-GB"/>
        </w:rPr>
      </w:pPr>
      <w:r>
        <w:rPr>
          <w:bCs/>
          <w:szCs w:val="26"/>
          <w:lang w:val="en-GB"/>
        </w:rPr>
        <w:t>The wage is a very important element of the labour market and, as such, in the course of the last 10 years continuing changes have occurred.  Until the end of 1989, the wage was considered the only source of population’s income.  Until 1990 the wage system was unique, unchangeable and defined by the State.  This system was based on compensation according to the quantity and quality of work.</w:t>
      </w:r>
    </w:p>
    <w:p w:rsidR="00000000" w:rsidRDefault="00000000">
      <w:pPr>
        <w:pStyle w:val="ParaNo"/>
        <w:tabs>
          <w:tab w:val="clear" w:pos="360"/>
          <w:tab w:val="clear" w:pos="737"/>
        </w:tabs>
        <w:ind w:left="0" w:firstLine="0"/>
        <w:rPr>
          <w:bCs/>
          <w:szCs w:val="26"/>
          <w:lang w:val="en-GB"/>
        </w:rPr>
      </w:pPr>
      <w:r>
        <w:rPr>
          <w:bCs/>
          <w:szCs w:val="26"/>
          <w:lang w:val="en-GB"/>
        </w:rPr>
        <w:t>The implementation of a very complex programme for restructuring and reform of the Albanian economy started at the moment when the country inherited a very high budget deficit and, on the other hand, domestic production was going down.  In these conditions, the wage was a very important element of monetary policy and a very important factor with high social sensitivity that should be adapted to the new conditions.</w:t>
      </w:r>
    </w:p>
    <w:p w:rsidR="00000000" w:rsidRDefault="00000000">
      <w:pPr>
        <w:pStyle w:val="ParaNo"/>
        <w:tabs>
          <w:tab w:val="clear" w:pos="360"/>
          <w:tab w:val="clear" w:pos="737"/>
        </w:tabs>
        <w:ind w:left="0" w:firstLine="0"/>
        <w:rPr>
          <w:bCs/>
          <w:szCs w:val="26"/>
          <w:lang w:val="en-GB"/>
        </w:rPr>
      </w:pPr>
      <w:r>
        <w:rPr>
          <w:bCs/>
          <w:szCs w:val="26"/>
          <w:lang w:val="en-GB"/>
        </w:rPr>
        <w:br w:type="page"/>
        <w:t>The first increase of wages occurred in the course of 1991, when the competencies for defining and controlling them in enterprises were liberalized.  This was accompanied with negative consequences, because it did not increase production.  The new wage system marked the beginning of a differentiated system among the wages for qualified and non-qualified work.</w:t>
      </w:r>
    </w:p>
    <w:p w:rsidR="00000000" w:rsidRDefault="00000000">
      <w:pPr>
        <w:pStyle w:val="ParaNo"/>
        <w:tabs>
          <w:tab w:val="clear" w:pos="360"/>
          <w:tab w:val="clear" w:pos="737"/>
        </w:tabs>
        <w:ind w:left="0" w:firstLine="0"/>
        <w:rPr>
          <w:bCs/>
          <w:szCs w:val="26"/>
          <w:lang w:val="en-GB"/>
        </w:rPr>
      </w:pPr>
      <w:r>
        <w:rPr>
          <w:bCs/>
          <w:szCs w:val="26"/>
          <w:lang w:val="en-GB"/>
        </w:rPr>
        <w:t xml:space="preserve">By the end of 1993, the ratio between the lowest wage and the highest was 1 to 4.  Based on the development programmes of the economy, during the period 1992-1994, it was determined that the wages of State sector employees should be reviewed twice a year according to the consumer price index.  For the first time, apart from quantitative improvement of the wage’s level, a new element was added, namely, compensation for food costs and later for fuel and electric power, which was conditioned on the full liberalization of their prices.  All these changes achieved by the end of 1994 brought about certain outcomes in the labour market.  The average monthly wage of an employee in the State sector by the end of 1994 had increased eight times in comparison with the year 1990.  The official minimum wage by the end of 1994 increased approximately 3.5 times in comparison with the year 1990.  The average wage of a manager was approximately twice as high as that of his subordinate.  </w:t>
      </w:r>
    </w:p>
    <w:p w:rsidR="00000000" w:rsidRDefault="00000000">
      <w:pPr>
        <w:pStyle w:val="ParaNo"/>
        <w:tabs>
          <w:tab w:val="clear" w:pos="360"/>
          <w:tab w:val="clear" w:pos="737"/>
        </w:tabs>
        <w:ind w:left="0" w:firstLine="0"/>
        <w:rPr>
          <w:bCs/>
          <w:szCs w:val="26"/>
          <w:lang w:val="en-GB"/>
        </w:rPr>
      </w:pPr>
      <w:r>
        <w:rPr>
          <w:bCs/>
          <w:szCs w:val="26"/>
          <w:lang w:val="en-GB"/>
        </w:rPr>
        <w:t>The average monthly wage (1994) of an employee in the budgetary sector increased by 60 per cent in comparison with the previous year.  The average wage for the period 1990</w:t>
      </w:r>
      <w:r>
        <w:rPr>
          <w:bCs/>
          <w:szCs w:val="26"/>
          <w:lang w:val="en-GB"/>
        </w:rPr>
        <w:noBreakHyphen/>
        <w:t>1994 increased 8 times, while prices of consumer goods have increased approximately 10 times.</w:t>
      </w:r>
    </w:p>
    <w:p w:rsidR="00000000" w:rsidRDefault="00000000">
      <w:pPr>
        <w:pStyle w:val="ParaNo"/>
        <w:tabs>
          <w:tab w:val="clear" w:pos="360"/>
          <w:tab w:val="clear" w:pos="737"/>
        </w:tabs>
        <w:ind w:left="0" w:firstLine="0"/>
        <w:rPr>
          <w:lang w:val="en-GB"/>
        </w:rPr>
      </w:pPr>
      <w:r>
        <w:rPr>
          <w:bCs/>
          <w:lang w:val="en-GB"/>
        </w:rPr>
        <w:t xml:space="preserve">During 1997, there was no change in the level of wages.  By the end of 1997 the average salary appeared to be 17 times higher than in 1990, while prices were 19 times higher, the real wage in 1997 decreased approximately 17 per cent.  This decrease had a direct influence in lowering </w:t>
      </w:r>
      <w:r>
        <w:rPr>
          <w:lang w:val="en-GB"/>
        </w:rPr>
        <w:t>the</w:t>
      </w:r>
      <w:r>
        <w:rPr>
          <w:bCs/>
          <w:lang w:val="en-GB"/>
        </w:rPr>
        <w:t xml:space="preserve"> standard of living of the population.  </w:t>
      </w:r>
    </w:p>
    <w:p w:rsidR="00000000" w:rsidRDefault="00000000">
      <w:pPr>
        <w:pStyle w:val="ParaNo"/>
        <w:tabs>
          <w:tab w:val="clear" w:pos="360"/>
          <w:tab w:val="clear" w:pos="737"/>
        </w:tabs>
        <w:ind w:left="0" w:firstLine="0"/>
        <w:rPr>
          <w:bCs/>
          <w:lang w:val="en-GB"/>
        </w:rPr>
      </w:pPr>
      <w:r>
        <w:rPr>
          <w:bCs/>
          <w:lang w:val="en-GB"/>
        </w:rPr>
        <w:t>During 1998 there was an increase of approximately 20 per cent in the average salary in the State sector.  By the end of 1998, wages and prices had increased approximately 20 times compared with those in 1990.</w:t>
      </w:r>
    </w:p>
    <w:p w:rsidR="00000000" w:rsidRDefault="00000000">
      <w:pPr>
        <w:pStyle w:val="ParaNo"/>
        <w:tabs>
          <w:tab w:val="clear" w:pos="360"/>
          <w:tab w:val="clear" w:pos="737"/>
        </w:tabs>
        <w:ind w:left="0" w:firstLine="0"/>
        <w:rPr>
          <w:bCs/>
          <w:lang w:val="en-GB"/>
        </w:rPr>
      </w:pPr>
      <w:r>
        <w:rPr>
          <w:bCs/>
          <w:lang w:val="en-GB"/>
        </w:rPr>
        <w:t>In 1999, average prices increased approximately 10 per cent, in 2000, 17.7 per cent, in 2001, 15.1 per cent and in 2002, 10.5 per cent.  Consumer prices from 1999 until 2003 have almost been stabilized with a 1 to 4.3 per cent increase.  Thus, by the end of 1999, the real wage showed a 10 per cent increase; in 2000 increased by 17.7 per cent while in 2001 it rose 11.6 per cent.</w:t>
      </w:r>
    </w:p>
    <w:p w:rsidR="00000000" w:rsidRDefault="00000000">
      <w:pPr>
        <w:pStyle w:val="ParaNo"/>
        <w:tabs>
          <w:tab w:val="clear" w:pos="360"/>
          <w:tab w:val="clear" w:pos="737"/>
        </w:tabs>
        <w:ind w:left="0" w:firstLine="0"/>
        <w:rPr>
          <w:bCs/>
          <w:lang w:val="en-GB"/>
        </w:rPr>
      </w:pPr>
      <w:r>
        <w:rPr>
          <w:lang w:val="en-GB"/>
        </w:rPr>
        <w:t>In addition to the measures to liberalize wages, the Government has been attentive to the minimum wage by increasing it continuously and by influencing the reduction of the number of employees receiving the minimum wage</w:t>
      </w:r>
      <w:r>
        <w:rPr>
          <w:bCs/>
          <w:lang w:val="en-GB"/>
        </w:rPr>
        <w:t xml:space="preserve">.  </w:t>
      </w:r>
      <w:r>
        <w:rPr>
          <w:lang w:val="en-GB"/>
        </w:rPr>
        <w:t>In comparison with the situation in 1999, the minimum wage has been increased approximately 24 times, while the number of those who are paid with a minimum wage has been reduced rapidly</w:t>
      </w:r>
      <w:r>
        <w:rPr>
          <w:bCs/>
          <w:lang w:val="en-GB"/>
        </w:rPr>
        <w:t>.  At present (2003), only 3 per cent of the State sector is paid the minimum wage.  In 2002, the minimum wage at the national level has been increased 25 per cent, while wages in general increased approximately 10.5 per cent.</w:t>
      </w:r>
    </w:p>
    <w:p w:rsidR="00000000" w:rsidRDefault="00000000">
      <w:pPr>
        <w:pStyle w:val="ParaNo"/>
        <w:tabs>
          <w:tab w:val="clear" w:pos="360"/>
          <w:tab w:val="clear" w:pos="737"/>
        </w:tabs>
        <w:ind w:left="0" w:firstLine="0"/>
        <w:rPr>
          <w:bCs/>
          <w:lang w:val="en-GB"/>
        </w:rPr>
      </w:pPr>
      <w:r>
        <w:rPr>
          <w:bCs/>
          <w:lang w:val="en-GB"/>
        </w:rPr>
        <w:t>Apart from increasing the minimum wage, priority was given to increasing wages for pre</w:t>
      </w:r>
      <w:r>
        <w:rPr>
          <w:bCs/>
          <w:lang w:val="en-GB"/>
        </w:rPr>
        <w:noBreakHyphen/>
        <w:t>university-education employees by about 12 per cent and by differentiating those of middle education, which were increased with 13-17 per cent.  Health system employees have benefited as well.  Following the overall growth of wages of 12 per cent, 3,269 employees with higher education working in the University Hospital Centre, district hospitals and paediatric service benefited an increase of wages by 26 per cent.</w:t>
      </w:r>
    </w:p>
    <w:p w:rsidR="00000000" w:rsidRDefault="00000000">
      <w:pPr>
        <w:pStyle w:val="ParaNo"/>
        <w:tabs>
          <w:tab w:val="clear" w:pos="360"/>
          <w:tab w:val="clear" w:pos="737"/>
        </w:tabs>
        <w:ind w:left="0" w:firstLine="0"/>
        <w:rPr>
          <w:bCs/>
          <w:lang w:val="en-GB"/>
        </w:rPr>
      </w:pPr>
      <w:r>
        <w:rPr>
          <w:bCs/>
          <w:lang w:val="en-GB"/>
        </w:rPr>
        <w:t>In the area of wage policy, especially in the non-budgetary and private sectors, there has been marked a good cooperation between employees and employers, aiming at reaching a social understanding, in order to make wages a crucial element to foster economic activities and reduce poverty.  This is realized through the mediation offered by the Ministry of Labour and Social Affairs to employees and employers and through the functioning of the Wage Commission in the National Labour Council.</w:t>
      </w:r>
    </w:p>
    <w:p w:rsidR="00000000" w:rsidRDefault="00000000">
      <w:pPr>
        <w:pStyle w:val="Heading2"/>
      </w:pPr>
      <w:r>
        <w:t xml:space="preserve">Equal remuneration for work of equal value </w:t>
      </w:r>
    </w:p>
    <w:p w:rsidR="00000000" w:rsidRDefault="00000000">
      <w:pPr>
        <w:pStyle w:val="ParaNo"/>
        <w:tabs>
          <w:tab w:val="clear" w:pos="360"/>
          <w:tab w:val="clear" w:pos="737"/>
        </w:tabs>
        <w:ind w:left="0" w:firstLine="0"/>
        <w:rPr>
          <w:lang w:val="en-GB"/>
        </w:rPr>
      </w:pPr>
      <w:r>
        <w:rPr>
          <w:lang w:val="en-GB"/>
        </w:rPr>
        <w:t xml:space="preserve">The legal basis for the wage system in Albania consists mainly of the following legal acts:  </w:t>
      </w:r>
    </w:p>
    <w:p w:rsidR="00000000" w:rsidRDefault="00000000">
      <w:pPr>
        <w:numPr>
          <w:ilvl w:val="0"/>
          <w:numId w:val="174"/>
        </w:numPr>
      </w:pPr>
      <w:r>
        <w:t xml:space="preserve">The Labour Code of the Republic of Albania; </w:t>
      </w:r>
    </w:p>
    <w:p w:rsidR="00000000" w:rsidRDefault="00000000">
      <w:pPr>
        <w:numPr>
          <w:ilvl w:val="0"/>
          <w:numId w:val="174"/>
        </w:numPr>
      </w:pPr>
      <w:r>
        <w:t xml:space="preserve">The law “On competencies of wage determination”; </w:t>
      </w:r>
    </w:p>
    <w:p w:rsidR="00000000" w:rsidRDefault="00000000">
      <w:pPr>
        <w:numPr>
          <w:ilvl w:val="0"/>
          <w:numId w:val="174"/>
        </w:numPr>
      </w:pPr>
      <w:r>
        <w:t>The law “On the civil servant’s status”, as well as other by-laws adopted for the implementation of the above acts</w:t>
      </w:r>
      <w:r>
        <w:rPr>
          <w:bCs/>
        </w:rPr>
        <w:t xml:space="preserve">.  </w:t>
      </w:r>
      <w:r>
        <w:t xml:space="preserve"> </w:t>
      </w:r>
    </w:p>
    <w:p w:rsidR="00000000" w:rsidRDefault="00000000">
      <w:pPr>
        <w:pStyle w:val="ParaNo"/>
        <w:tabs>
          <w:tab w:val="clear" w:pos="360"/>
          <w:tab w:val="clear" w:pos="737"/>
        </w:tabs>
        <w:ind w:left="0" w:firstLine="0"/>
        <w:rPr>
          <w:lang w:val="en-GB"/>
        </w:rPr>
      </w:pPr>
      <w:r>
        <w:rPr>
          <w:lang w:val="en-GB"/>
        </w:rPr>
        <w:t>The entire legislation given above basically is grounded on the ILO Conventions Nos. 26, 52, 95 and Convention No. 100 (1951) concerning equal remuneration.</w:t>
      </w:r>
    </w:p>
    <w:p w:rsidR="00000000" w:rsidRDefault="00000000">
      <w:pPr>
        <w:pStyle w:val="ParaNo"/>
        <w:tabs>
          <w:tab w:val="clear" w:pos="360"/>
          <w:tab w:val="clear" w:pos="737"/>
        </w:tabs>
        <w:ind w:left="0" w:firstLine="0"/>
        <w:rPr>
          <w:lang w:val="en-GB"/>
        </w:rPr>
      </w:pPr>
      <w:r>
        <w:rPr>
          <w:lang w:val="en-GB"/>
        </w:rPr>
        <w:t>Moreover, article 115 of the Labour Code expressly imposes an “equal pay for equal work” obligation</w:t>
      </w:r>
      <w:r>
        <w:rPr>
          <w:bCs/>
          <w:lang w:val="en-GB"/>
        </w:rPr>
        <w:t xml:space="preserve">.  </w:t>
      </w:r>
      <w:r>
        <w:rPr>
          <w:lang w:val="en-GB"/>
        </w:rPr>
        <w:t>Nevertheless, wage differences based on unprejudiced criteria, such as the quality and quantity of work, vocational qualifications and years of work are not considered as discriminatory, regardless of gender</w:t>
      </w:r>
      <w:r>
        <w:rPr>
          <w:bCs/>
          <w:lang w:val="en-GB"/>
        </w:rPr>
        <w:t xml:space="preserve">.  </w:t>
      </w:r>
    </w:p>
    <w:p w:rsidR="00000000" w:rsidRDefault="00000000">
      <w:pPr>
        <w:pStyle w:val="ParaNo"/>
        <w:tabs>
          <w:tab w:val="clear" w:pos="360"/>
          <w:tab w:val="clear" w:pos="737"/>
        </w:tabs>
        <w:ind w:left="0" w:firstLine="0"/>
        <w:rPr>
          <w:lang w:val="en-GB"/>
        </w:rPr>
      </w:pPr>
      <w:r>
        <w:rPr>
          <w:lang w:val="en-GB"/>
        </w:rPr>
        <w:t>The wages of employees in budgetary institutions are determined by a decision of the Council of Ministers</w:t>
      </w:r>
      <w:r>
        <w:rPr>
          <w:bCs/>
          <w:lang w:val="en-GB"/>
        </w:rPr>
        <w:t xml:space="preserve">.  </w:t>
      </w:r>
      <w:r>
        <w:rPr>
          <w:lang w:val="en-GB"/>
        </w:rPr>
        <w:t xml:space="preserve">The most important sub-legal acts in this framework are the following decisions of the Council of Ministers:  </w:t>
      </w:r>
    </w:p>
    <w:p w:rsidR="00000000" w:rsidRDefault="00000000">
      <w:pPr>
        <w:numPr>
          <w:ilvl w:val="0"/>
          <w:numId w:val="175"/>
        </w:numPr>
      </w:pPr>
      <w:r>
        <w:t>Decision No. 726 of 21 December 2000 “On the structure and wage levels in the institutions of central administration of the Presidency, the Parliament and the Council of Ministers”;</w:t>
      </w:r>
    </w:p>
    <w:p w:rsidR="00000000" w:rsidRDefault="00000000">
      <w:pPr>
        <w:numPr>
          <w:ilvl w:val="0"/>
          <w:numId w:val="175"/>
        </w:numPr>
      </w:pPr>
      <w:r>
        <w:t>Decision of the Council of Ministers “On wages of the employees in budgetary institutions”, and other decisions on particular structures, such as the Armed Forces, the State Police, etc.</w:t>
      </w:r>
    </w:p>
    <w:p w:rsidR="00000000" w:rsidRDefault="00000000">
      <w:pPr>
        <w:pStyle w:val="ParaNo"/>
        <w:tabs>
          <w:tab w:val="clear" w:pos="360"/>
          <w:tab w:val="clear" w:pos="737"/>
        </w:tabs>
        <w:ind w:left="0" w:firstLine="0"/>
        <w:rPr>
          <w:lang w:val="en-GB"/>
        </w:rPr>
      </w:pPr>
      <w:r>
        <w:rPr>
          <w:lang w:val="en-GB"/>
        </w:rPr>
        <w:t>With regard to joint stock companies, commercial companies and privately owned companies, wages are determined by collective or individual agreement, fully in compliance with the minimum and maximum limits provided by the decision of the Council of Ministers “On the minimum wage countrywide” and the decision “On the employee’s remuneration”</w:t>
      </w:r>
      <w:r>
        <w:rPr>
          <w:bCs/>
          <w:lang w:val="en-GB"/>
        </w:rPr>
        <w:t xml:space="preserve">.  </w:t>
      </w:r>
    </w:p>
    <w:p w:rsidR="00000000" w:rsidRDefault="00000000">
      <w:pPr>
        <w:pStyle w:val="ParaNo"/>
        <w:tabs>
          <w:tab w:val="clear" w:pos="360"/>
          <w:tab w:val="clear" w:pos="737"/>
        </w:tabs>
        <w:ind w:left="0" w:firstLine="0"/>
        <w:rPr>
          <w:lang w:val="en-GB"/>
        </w:rPr>
      </w:pPr>
      <w:r>
        <w:rPr>
          <w:lang w:val="en-GB"/>
        </w:rPr>
        <w:t>Based on the above, the decisions of the Council of Ministers determine the wage levels considering mainly the working positions, job descriptions, the requirements for a particular vacancy, and never gender differences</w:t>
      </w:r>
      <w:r>
        <w:rPr>
          <w:bCs/>
          <w:lang w:val="en-GB"/>
        </w:rPr>
        <w:t xml:space="preserve">.  </w:t>
      </w:r>
    </w:p>
    <w:p w:rsidR="00000000" w:rsidRDefault="00000000">
      <w:pPr>
        <w:pStyle w:val="ParaNo"/>
        <w:tabs>
          <w:tab w:val="clear" w:pos="360"/>
          <w:tab w:val="clear" w:pos="737"/>
        </w:tabs>
        <w:ind w:left="0" w:firstLine="0"/>
        <w:rPr>
          <w:lang w:val="en-GB"/>
        </w:rPr>
      </w:pPr>
      <w:r>
        <w:rPr>
          <w:lang w:val="en-GB"/>
        </w:rPr>
        <w:t>The State supervises the wages in non-budgetary State companies (where the State has possession of up to 100 per cent of the capital) and in other privately owned companies through the constant supervision carried out by the State Labour Inspectorate</w:t>
      </w:r>
      <w:r>
        <w:rPr>
          <w:bCs/>
          <w:lang w:val="en-GB"/>
        </w:rPr>
        <w:t xml:space="preserve">.  </w:t>
      </w:r>
      <w:r>
        <w:rPr>
          <w:lang w:val="en-GB"/>
        </w:rPr>
        <w:t>During the supervision of the individual employment contracts, there has not been noted any case of discrimination related to the minimum wage, or different remuneration for work of equal value</w:t>
      </w:r>
      <w:r>
        <w:rPr>
          <w:bCs/>
          <w:lang w:val="en-GB"/>
        </w:rPr>
        <w:t xml:space="preserve">.  </w:t>
      </w:r>
      <w:r>
        <w:rPr>
          <w:lang w:val="en-GB"/>
        </w:rPr>
        <w:t>The inspectorate has not so far recorded any complaint related to discrimination either toward women or men</w:t>
      </w:r>
      <w:r>
        <w:rPr>
          <w:bCs/>
          <w:lang w:val="en-GB"/>
        </w:rPr>
        <w:t xml:space="preserve">.  </w:t>
      </w:r>
      <w:r>
        <w:rPr>
          <w:lang w:val="en-GB"/>
        </w:rPr>
        <w:t>Pursuant to the law on the State Labour Inspectorate, the Inspectorate is entitled to take administrative measures on each entity, be it a State owned or private entity</w:t>
      </w:r>
      <w:r>
        <w:rPr>
          <w:bCs/>
          <w:lang w:val="en-GB"/>
        </w:rPr>
        <w:t xml:space="preserve">.  </w:t>
      </w:r>
    </w:p>
    <w:p w:rsidR="00000000" w:rsidRDefault="00000000">
      <w:pPr>
        <w:pStyle w:val="ParaNo"/>
        <w:tabs>
          <w:tab w:val="clear" w:pos="360"/>
          <w:tab w:val="clear" w:pos="737"/>
        </w:tabs>
        <w:ind w:left="0" w:firstLine="0"/>
        <w:rPr>
          <w:lang w:val="en-GB"/>
        </w:rPr>
      </w:pPr>
      <w:r>
        <w:rPr>
          <w:lang w:val="en-GB"/>
        </w:rPr>
        <w:t>The State is actively cooperating with employers and employees, especially in the non</w:t>
      </w:r>
      <w:r>
        <w:rPr>
          <w:lang w:val="en-GB"/>
        </w:rPr>
        <w:noBreakHyphen/>
        <w:t>budgetary and private sector, in order to achieve social understanding in formulating the wage policies, and to really evaluate the role of wages as an important element in economic development and poverty reduction</w:t>
      </w:r>
      <w:r>
        <w:rPr>
          <w:bCs/>
          <w:lang w:val="en-GB"/>
        </w:rPr>
        <w:t xml:space="preserve">.  </w:t>
      </w:r>
      <w:r>
        <w:rPr>
          <w:lang w:val="en-GB"/>
        </w:rPr>
        <w:t>This cooperation has been implemented through the intermediation between employers and employees carried out by the Ministry of Labour and Social Affairs, and also through the measures taken by the Wage Commission within the National Labour Council.</w:t>
      </w:r>
    </w:p>
    <w:p w:rsidR="00000000" w:rsidRDefault="00000000">
      <w:pPr>
        <w:pStyle w:val="Heading2"/>
      </w:pPr>
      <w:r>
        <w:t>Table 3</w:t>
      </w:r>
    </w:p>
    <w:p w:rsidR="00000000" w:rsidRDefault="00000000">
      <w:pPr>
        <w:pStyle w:val="Heading2"/>
      </w:pPr>
      <w:r>
        <w:t>Statistics on wages for the reporting period</w:t>
      </w:r>
    </w:p>
    <w:p w:rsidR="00000000" w:rsidRDefault="00000000">
      <w:pPr>
        <w:pStyle w:val="Heading2"/>
      </w:pPr>
      <w:r>
        <w:t>Average monthly wage in public sector and official</w:t>
      </w:r>
      <w:r>
        <w:br/>
        <w:t>minimum wage 1990-2001 (in leks)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85"/>
        <w:gridCol w:w="614"/>
        <w:gridCol w:w="614"/>
        <w:gridCol w:w="614"/>
        <w:gridCol w:w="615"/>
        <w:gridCol w:w="614"/>
        <w:gridCol w:w="614"/>
        <w:gridCol w:w="614"/>
        <w:gridCol w:w="615"/>
        <w:gridCol w:w="614"/>
        <w:gridCol w:w="614"/>
        <w:gridCol w:w="614"/>
        <w:gridCol w:w="615"/>
      </w:tblGrid>
      <w:tr w:rsidR="00000000">
        <w:tblPrEx>
          <w:tblCellMar>
            <w:top w:w="0" w:type="dxa"/>
            <w:bottom w:w="0" w:type="dxa"/>
          </w:tblCellMar>
        </w:tblPrEx>
        <w:trPr>
          <w:jc w:val="center"/>
        </w:trPr>
        <w:tc>
          <w:tcPr>
            <w:tcW w:w="1985" w:type="dxa"/>
            <w:tcBorders>
              <w:bottom w:val="single" w:sz="4" w:space="0" w:color="auto"/>
            </w:tcBorders>
          </w:tcPr>
          <w:p w:rsidR="00000000" w:rsidRDefault="00000000">
            <w:pPr>
              <w:spacing w:before="60" w:after="60"/>
              <w:jc w:val="center"/>
              <w:rPr>
                <w:sz w:val="18"/>
              </w:rPr>
            </w:pPr>
          </w:p>
        </w:tc>
        <w:tc>
          <w:tcPr>
            <w:tcW w:w="614" w:type="dxa"/>
            <w:tcBorders>
              <w:bottom w:val="single" w:sz="4" w:space="0" w:color="auto"/>
            </w:tcBorders>
          </w:tcPr>
          <w:p w:rsidR="00000000" w:rsidRDefault="00000000">
            <w:pPr>
              <w:spacing w:before="60" w:after="60"/>
              <w:jc w:val="center"/>
              <w:rPr>
                <w:sz w:val="18"/>
              </w:rPr>
            </w:pPr>
            <w:r>
              <w:rPr>
                <w:sz w:val="18"/>
              </w:rPr>
              <w:t>1990</w:t>
            </w:r>
          </w:p>
        </w:tc>
        <w:tc>
          <w:tcPr>
            <w:tcW w:w="614" w:type="dxa"/>
            <w:tcBorders>
              <w:bottom w:val="single" w:sz="4" w:space="0" w:color="auto"/>
            </w:tcBorders>
          </w:tcPr>
          <w:p w:rsidR="00000000" w:rsidRDefault="00000000">
            <w:pPr>
              <w:spacing w:before="60" w:after="60"/>
              <w:jc w:val="center"/>
              <w:rPr>
                <w:sz w:val="18"/>
              </w:rPr>
            </w:pPr>
            <w:r>
              <w:rPr>
                <w:sz w:val="18"/>
              </w:rPr>
              <w:t>1991</w:t>
            </w:r>
          </w:p>
        </w:tc>
        <w:tc>
          <w:tcPr>
            <w:tcW w:w="614" w:type="dxa"/>
            <w:tcBorders>
              <w:bottom w:val="single" w:sz="4" w:space="0" w:color="auto"/>
            </w:tcBorders>
          </w:tcPr>
          <w:p w:rsidR="00000000" w:rsidRDefault="00000000">
            <w:pPr>
              <w:spacing w:before="60" w:after="60"/>
              <w:jc w:val="center"/>
              <w:rPr>
                <w:sz w:val="18"/>
              </w:rPr>
            </w:pPr>
            <w:r>
              <w:rPr>
                <w:sz w:val="18"/>
              </w:rPr>
              <w:t>1992</w:t>
            </w:r>
          </w:p>
        </w:tc>
        <w:tc>
          <w:tcPr>
            <w:tcW w:w="615" w:type="dxa"/>
            <w:tcBorders>
              <w:bottom w:val="single" w:sz="4" w:space="0" w:color="auto"/>
            </w:tcBorders>
          </w:tcPr>
          <w:p w:rsidR="00000000" w:rsidRDefault="00000000">
            <w:pPr>
              <w:spacing w:before="60" w:after="60"/>
              <w:jc w:val="center"/>
              <w:rPr>
                <w:sz w:val="18"/>
              </w:rPr>
            </w:pPr>
            <w:r>
              <w:rPr>
                <w:sz w:val="18"/>
              </w:rPr>
              <w:t>1993</w:t>
            </w:r>
          </w:p>
        </w:tc>
        <w:tc>
          <w:tcPr>
            <w:tcW w:w="614" w:type="dxa"/>
            <w:tcBorders>
              <w:bottom w:val="single" w:sz="4" w:space="0" w:color="auto"/>
            </w:tcBorders>
          </w:tcPr>
          <w:p w:rsidR="00000000" w:rsidRDefault="00000000">
            <w:pPr>
              <w:spacing w:before="60" w:after="60"/>
              <w:jc w:val="center"/>
              <w:rPr>
                <w:sz w:val="18"/>
              </w:rPr>
            </w:pPr>
            <w:r>
              <w:rPr>
                <w:sz w:val="18"/>
              </w:rPr>
              <w:t>1994</w:t>
            </w:r>
          </w:p>
        </w:tc>
        <w:tc>
          <w:tcPr>
            <w:tcW w:w="614" w:type="dxa"/>
            <w:tcBorders>
              <w:bottom w:val="single" w:sz="4" w:space="0" w:color="auto"/>
            </w:tcBorders>
          </w:tcPr>
          <w:p w:rsidR="00000000" w:rsidRDefault="00000000">
            <w:pPr>
              <w:spacing w:before="60" w:after="60"/>
              <w:jc w:val="center"/>
              <w:rPr>
                <w:sz w:val="18"/>
              </w:rPr>
            </w:pPr>
            <w:r>
              <w:rPr>
                <w:sz w:val="18"/>
              </w:rPr>
              <w:t>1995</w:t>
            </w:r>
          </w:p>
        </w:tc>
        <w:tc>
          <w:tcPr>
            <w:tcW w:w="614" w:type="dxa"/>
            <w:tcBorders>
              <w:bottom w:val="single" w:sz="4" w:space="0" w:color="auto"/>
            </w:tcBorders>
          </w:tcPr>
          <w:p w:rsidR="00000000" w:rsidRDefault="00000000">
            <w:pPr>
              <w:spacing w:before="60" w:after="60"/>
              <w:jc w:val="center"/>
              <w:rPr>
                <w:sz w:val="18"/>
              </w:rPr>
            </w:pPr>
            <w:r>
              <w:rPr>
                <w:sz w:val="18"/>
              </w:rPr>
              <w:t>1996</w:t>
            </w:r>
          </w:p>
        </w:tc>
        <w:tc>
          <w:tcPr>
            <w:tcW w:w="615" w:type="dxa"/>
            <w:tcBorders>
              <w:bottom w:val="single" w:sz="4" w:space="0" w:color="auto"/>
            </w:tcBorders>
          </w:tcPr>
          <w:p w:rsidR="00000000" w:rsidRDefault="00000000">
            <w:pPr>
              <w:spacing w:before="60" w:after="60"/>
              <w:jc w:val="center"/>
              <w:rPr>
                <w:sz w:val="18"/>
              </w:rPr>
            </w:pPr>
            <w:r>
              <w:rPr>
                <w:sz w:val="18"/>
              </w:rPr>
              <w:t>1997</w:t>
            </w:r>
          </w:p>
        </w:tc>
        <w:tc>
          <w:tcPr>
            <w:tcW w:w="614" w:type="dxa"/>
            <w:tcBorders>
              <w:bottom w:val="single" w:sz="4" w:space="0" w:color="auto"/>
            </w:tcBorders>
          </w:tcPr>
          <w:p w:rsidR="00000000" w:rsidRDefault="00000000">
            <w:pPr>
              <w:spacing w:before="60" w:after="60"/>
              <w:jc w:val="center"/>
              <w:rPr>
                <w:sz w:val="18"/>
              </w:rPr>
            </w:pPr>
            <w:r>
              <w:rPr>
                <w:sz w:val="18"/>
              </w:rPr>
              <w:t>1998</w:t>
            </w:r>
          </w:p>
        </w:tc>
        <w:tc>
          <w:tcPr>
            <w:tcW w:w="614" w:type="dxa"/>
            <w:tcBorders>
              <w:bottom w:val="single" w:sz="4" w:space="0" w:color="auto"/>
            </w:tcBorders>
          </w:tcPr>
          <w:p w:rsidR="00000000" w:rsidRDefault="00000000">
            <w:pPr>
              <w:spacing w:before="60" w:after="60"/>
              <w:jc w:val="center"/>
              <w:rPr>
                <w:sz w:val="18"/>
              </w:rPr>
            </w:pPr>
            <w:r>
              <w:rPr>
                <w:sz w:val="18"/>
              </w:rPr>
              <w:t>1999</w:t>
            </w:r>
          </w:p>
        </w:tc>
        <w:tc>
          <w:tcPr>
            <w:tcW w:w="614" w:type="dxa"/>
            <w:tcBorders>
              <w:bottom w:val="single" w:sz="4" w:space="0" w:color="auto"/>
            </w:tcBorders>
          </w:tcPr>
          <w:p w:rsidR="00000000" w:rsidRDefault="00000000">
            <w:pPr>
              <w:spacing w:before="60" w:after="60"/>
              <w:jc w:val="center"/>
              <w:rPr>
                <w:sz w:val="18"/>
              </w:rPr>
            </w:pPr>
            <w:r>
              <w:rPr>
                <w:sz w:val="18"/>
              </w:rPr>
              <w:t>2000</w:t>
            </w:r>
          </w:p>
        </w:tc>
        <w:tc>
          <w:tcPr>
            <w:tcW w:w="615" w:type="dxa"/>
            <w:tcBorders>
              <w:bottom w:val="single" w:sz="4" w:space="0" w:color="auto"/>
            </w:tcBorders>
          </w:tcPr>
          <w:p w:rsidR="00000000" w:rsidRDefault="00000000">
            <w:pPr>
              <w:spacing w:before="60" w:after="60"/>
              <w:jc w:val="center"/>
              <w:rPr>
                <w:sz w:val="18"/>
              </w:rPr>
            </w:pPr>
            <w:r>
              <w:rPr>
                <w:sz w:val="18"/>
              </w:rPr>
              <w:t>2001</w:t>
            </w:r>
          </w:p>
        </w:tc>
      </w:tr>
      <w:tr w:rsidR="00000000">
        <w:tblPrEx>
          <w:tblCellMar>
            <w:top w:w="0" w:type="dxa"/>
            <w:bottom w:w="0" w:type="dxa"/>
          </w:tblCellMar>
        </w:tblPrEx>
        <w:trPr>
          <w:jc w:val="center"/>
        </w:trPr>
        <w:tc>
          <w:tcPr>
            <w:tcW w:w="1985" w:type="dxa"/>
            <w:tcBorders>
              <w:bottom w:val="nil"/>
            </w:tcBorders>
          </w:tcPr>
          <w:p w:rsidR="00000000" w:rsidRDefault="00000000">
            <w:pPr>
              <w:spacing w:after="0"/>
              <w:rPr>
                <w:sz w:val="18"/>
              </w:rPr>
            </w:pPr>
            <w:r>
              <w:rPr>
                <w:sz w:val="18"/>
              </w:rPr>
              <w:t>Public sector</w:t>
            </w:r>
          </w:p>
        </w:tc>
        <w:tc>
          <w:tcPr>
            <w:tcW w:w="614" w:type="dxa"/>
            <w:tcBorders>
              <w:bottom w:val="nil"/>
            </w:tcBorders>
          </w:tcPr>
          <w:p w:rsidR="00000000" w:rsidRDefault="00000000">
            <w:pPr>
              <w:spacing w:after="0"/>
              <w:ind w:right="113"/>
              <w:jc w:val="right"/>
              <w:rPr>
                <w:sz w:val="18"/>
              </w:rPr>
            </w:pPr>
            <w:r>
              <w:rPr>
                <w:sz w:val="18"/>
              </w:rPr>
              <w:t>570</w:t>
            </w:r>
          </w:p>
        </w:tc>
        <w:tc>
          <w:tcPr>
            <w:tcW w:w="614" w:type="dxa"/>
            <w:tcBorders>
              <w:bottom w:val="nil"/>
            </w:tcBorders>
          </w:tcPr>
          <w:p w:rsidR="00000000" w:rsidRDefault="00000000">
            <w:pPr>
              <w:spacing w:after="0"/>
              <w:ind w:right="113"/>
              <w:jc w:val="right"/>
              <w:rPr>
                <w:sz w:val="18"/>
              </w:rPr>
            </w:pPr>
            <w:r>
              <w:rPr>
                <w:sz w:val="18"/>
              </w:rPr>
              <w:t>727</w:t>
            </w:r>
          </w:p>
        </w:tc>
        <w:tc>
          <w:tcPr>
            <w:tcW w:w="614" w:type="dxa"/>
            <w:tcBorders>
              <w:bottom w:val="nil"/>
            </w:tcBorders>
          </w:tcPr>
          <w:p w:rsidR="00000000" w:rsidRDefault="00000000">
            <w:pPr>
              <w:spacing w:after="0"/>
              <w:jc w:val="right"/>
              <w:rPr>
                <w:sz w:val="18"/>
              </w:rPr>
            </w:pPr>
            <w:r>
              <w:rPr>
                <w:sz w:val="18"/>
              </w:rPr>
              <w:t>1 783</w:t>
            </w:r>
          </w:p>
        </w:tc>
        <w:tc>
          <w:tcPr>
            <w:tcW w:w="615" w:type="dxa"/>
            <w:tcBorders>
              <w:bottom w:val="nil"/>
            </w:tcBorders>
          </w:tcPr>
          <w:p w:rsidR="00000000" w:rsidRDefault="00000000">
            <w:pPr>
              <w:spacing w:after="0"/>
              <w:jc w:val="right"/>
              <w:rPr>
                <w:sz w:val="18"/>
              </w:rPr>
            </w:pPr>
            <w:r>
              <w:rPr>
                <w:sz w:val="18"/>
              </w:rPr>
              <w:t>3 084</w:t>
            </w:r>
          </w:p>
        </w:tc>
        <w:tc>
          <w:tcPr>
            <w:tcW w:w="614" w:type="dxa"/>
            <w:tcBorders>
              <w:bottom w:val="nil"/>
            </w:tcBorders>
          </w:tcPr>
          <w:p w:rsidR="00000000" w:rsidRDefault="00000000">
            <w:pPr>
              <w:spacing w:after="0"/>
              <w:jc w:val="right"/>
              <w:rPr>
                <w:sz w:val="18"/>
              </w:rPr>
            </w:pPr>
            <w:r>
              <w:rPr>
                <w:sz w:val="18"/>
              </w:rPr>
              <w:t>4 778</w:t>
            </w:r>
          </w:p>
        </w:tc>
        <w:tc>
          <w:tcPr>
            <w:tcW w:w="614" w:type="dxa"/>
            <w:tcBorders>
              <w:bottom w:val="nil"/>
            </w:tcBorders>
          </w:tcPr>
          <w:p w:rsidR="00000000" w:rsidRDefault="00000000">
            <w:pPr>
              <w:spacing w:after="0"/>
              <w:jc w:val="right"/>
              <w:rPr>
                <w:sz w:val="18"/>
              </w:rPr>
            </w:pPr>
            <w:r>
              <w:rPr>
                <w:sz w:val="18"/>
              </w:rPr>
              <w:t>6 406</w:t>
            </w:r>
          </w:p>
        </w:tc>
        <w:tc>
          <w:tcPr>
            <w:tcW w:w="614" w:type="dxa"/>
            <w:tcBorders>
              <w:bottom w:val="nil"/>
            </w:tcBorders>
          </w:tcPr>
          <w:p w:rsidR="00000000" w:rsidRDefault="00000000">
            <w:pPr>
              <w:spacing w:after="0"/>
              <w:jc w:val="right"/>
              <w:rPr>
                <w:sz w:val="18"/>
              </w:rPr>
            </w:pPr>
            <w:r>
              <w:rPr>
                <w:sz w:val="18"/>
              </w:rPr>
              <w:t>8 638</w:t>
            </w:r>
          </w:p>
        </w:tc>
        <w:tc>
          <w:tcPr>
            <w:tcW w:w="615" w:type="dxa"/>
            <w:tcBorders>
              <w:bottom w:val="nil"/>
            </w:tcBorders>
          </w:tcPr>
          <w:p w:rsidR="00000000" w:rsidRDefault="00000000">
            <w:pPr>
              <w:spacing w:after="0"/>
              <w:jc w:val="right"/>
              <w:rPr>
                <w:sz w:val="18"/>
              </w:rPr>
            </w:pPr>
            <w:r>
              <w:rPr>
                <w:sz w:val="18"/>
              </w:rPr>
              <w:t>9 558</w:t>
            </w:r>
          </w:p>
        </w:tc>
        <w:tc>
          <w:tcPr>
            <w:tcW w:w="614" w:type="dxa"/>
            <w:tcBorders>
              <w:bottom w:val="nil"/>
            </w:tcBorders>
          </w:tcPr>
          <w:p w:rsidR="00000000" w:rsidRDefault="00000000">
            <w:pPr>
              <w:spacing w:after="0"/>
              <w:jc w:val="right"/>
              <w:rPr>
                <w:sz w:val="18"/>
              </w:rPr>
            </w:pPr>
            <w:r>
              <w:rPr>
                <w:sz w:val="18"/>
              </w:rPr>
              <w:t>11 509</w:t>
            </w:r>
          </w:p>
        </w:tc>
        <w:tc>
          <w:tcPr>
            <w:tcW w:w="614" w:type="dxa"/>
            <w:tcBorders>
              <w:bottom w:val="nil"/>
            </w:tcBorders>
          </w:tcPr>
          <w:p w:rsidR="00000000" w:rsidRDefault="00000000">
            <w:pPr>
              <w:spacing w:after="0"/>
              <w:jc w:val="right"/>
              <w:rPr>
                <w:sz w:val="18"/>
              </w:rPr>
            </w:pPr>
            <w:r>
              <w:rPr>
                <w:sz w:val="18"/>
              </w:rPr>
              <w:t>12 708</w:t>
            </w:r>
          </w:p>
        </w:tc>
        <w:tc>
          <w:tcPr>
            <w:tcW w:w="614" w:type="dxa"/>
            <w:tcBorders>
              <w:bottom w:val="nil"/>
            </w:tcBorders>
          </w:tcPr>
          <w:p w:rsidR="00000000" w:rsidRDefault="00000000">
            <w:pPr>
              <w:spacing w:after="0"/>
              <w:jc w:val="right"/>
              <w:rPr>
                <w:sz w:val="18"/>
              </w:rPr>
            </w:pPr>
            <w:r>
              <w:rPr>
                <w:sz w:val="18"/>
              </w:rPr>
              <w:t>14 963</w:t>
            </w:r>
          </w:p>
        </w:tc>
        <w:tc>
          <w:tcPr>
            <w:tcW w:w="615" w:type="dxa"/>
            <w:tcBorders>
              <w:bottom w:val="nil"/>
            </w:tcBorders>
          </w:tcPr>
          <w:p w:rsidR="00000000" w:rsidRDefault="00000000">
            <w:pPr>
              <w:spacing w:after="0"/>
              <w:jc w:val="right"/>
              <w:rPr>
                <w:sz w:val="18"/>
              </w:rPr>
            </w:pPr>
            <w:r>
              <w:rPr>
                <w:sz w:val="18"/>
              </w:rPr>
              <w:t>17 218</w:t>
            </w:r>
          </w:p>
        </w:tc>
      </w:tr>
      <w:tr w:rsidR="00000000">
        <w:tblPrEx>
          <w:tblCellMar>
            <w:top w:w="0" w:type="dxa"/>
            <w:bottom w:w="0" w:type="dxa"/>
          </w:tblCellMar>
        </w:tblPrEx>
        <w:trPr>
          <w:jc w:val="center"/>
        </w:trPr>
        <w:tc>
          <w:tcPr>
            <w:tcW w:w="1985" w:type="dxa"/>
            <w:tcBorders>
              <w:top w:val="nil"/>
            </w:tcBorders>
          </w:tcPr>
          <w:p w:rsidR="00000000" w:rsidRDefault="00000000">
            <w:pPr>
              <w:spacing w:after="0"/>
              <w:rPr>
                <w:sz w:val="18"/>
              </w:rPr>
            </w:pPr>
            <w:r>
              <w:rPr>
                <w:sz w:val="18"/>
              </w:rPr>
              <w:t>Official minimum wage</w:t>
            </w:r>
          </w:p>
        </w:tc>
        <w:tc>
          <w:tcPr>
            <w:tcW w:w="614" w:type="dxa"/>
            <w:tcBorders>
              <w:top w:val="nil"/>
            </w:tcBorders>
          </w:tcPr>
          <w:p w:rsidR="00000000" w:rsidRDefault="00000000">
            <w:pPr>
              <w:spacing w:after="0"/>
              <w:ind w:right="113"/>
              <w:jc w:val="right"/>
              <w:rPr>
                <w:sz w:val="18"/>
              </w:rPr>
            </w:pPr>
            <w:r>
              <w:rPr>
                <w:sz w:val="18"/>
              </w:rPr>
              <w:t>345</w:t>
            </w:r>
          </w:p>
        </w:tc>
        <w:tc>
          <w:tcPr>
            <w:tcW w:w="614" w:type="dxa"/>
            <w:tcBorders>
              <w:top w:val="nil"/>
            </w:tcBorders>
          </w:tcPr>
          <w:p w:rsidR="00000000" w:rsidRDefault="00000000">
            <w:pPr>
              <w:spacing w:after="0"/>
              <w:ind w:right="113"/>
              <w:jc w:val="right"/>
              <w:rPr>
                <w:sz w:val="18"/>
              </w:rPr>
            </w:pPr>
            <w:r>
              <w:rPr>
                <w:sz w:val="18"/>
              </w:rPr>
              <w:t>675</w:t>
            </w:r>
          </w:p>
        </w:tc>
        <w:tc>
          <w:tcPr>
            <w:tcW w:w="614" w:type="dxa"/>
            <w:tcBorders>
              <w:top w:val="nil"/>
            </w:tcBorders>
          </w:tcPr>
          <w:p w:rsidR="00000000" w:rsidRDefault="00000000">
            <w:pPr>
              <w:spacing w:after="0"/>
              <w:jc w:val="right"/>
              <w:rPr>
                <w:sz w:val="18"/>
              </w:rPr>
            </w:pPr>
            <w:r>
              <w:rPr>
                <w:sz w:val="18"/>
              </w:rPr>
              <w:t>840</w:t>
            </w:r>
          </w:p>
        </w:tc>
        <w:tc>
          <w:tcPr>
            <w:tcW w:w="615" w:type="dxa"/>
            <w:tcBorders>
              <w:top w:val="nil"/>
            </w:tcBorders>
          </w:tcPr>
          <w:p w:rsidR="00000000" w:rsidRDefault="00000000">
            <w:pPr>
              <w:spacing w:after="0"/>
              <w:jc w:val="right"/>
              <w:rPr>
                <w:sz w:val="18"/>
              </w:rPr>
            </w:pPr>
            <w:r>
              <w:rPr>
                <w:sz w:val="18"/>
              </w:rPr>
              <w:t>1 200</w:t>
            </w:r>
          </w:p>
        </w:tc>
        <w:tc>
          <w:tcPr>
            <w:tcW w:w="614" w:type="dxa"/>
            <w:tcBorders>
              <w:top w:val="nil"/>
            </w:tcBorders>
          </w:tcPr>
          <w:p w:rsidR="00000000" w:rsidRDefault="00000000">
            <w:pPr>
              <w:spacing w:after="0"/>
              <w:jc w:val="right"/>
              <w:rPr>
                <w:sz w:val="18"/>
              </w:rPr>
            </w:pPr>
            <w:r>
              <w:rPr>
                <w:sz w:val="18"/>
              </w:rPr>
              <w:t>2 440</w:t>
            </w:r>
          </w:p>
        </w:tc>
        <w:tc>
          <w:tcPr>
            <w:tcW w:w="614" w:type="dxa"/>
            <w:tcBorders>
              <w:top w:val="nil"/>
            </w:tcBorders>
          </w:tcPr>
          <w:p w:rsidR="00000000" w:rsidRDefault="00000000">
            <w:pPr>
              <w:spacing w:after="0"/>
              <w:jc w:val="right"/>
              <w:rPr>
                <w:sz w:val="18"/>
              </w:rPr>
            </w:pPr>
            <w:r>
              <w:rPr>
                <w:sz w:val="18"/>
              </w:rPr>
              <w:t>3 400</w:t>
            </w:r>
          </w:p>
        </w:tc>
        <w:tc>
          <w:tcPr>
            <w:tcW w:w="614" w:type="dxa"/>
            <w:tcBorders>
              <w:top w:val="nil"/>
            </w:tcBorders>
          </w:tcPr>
          <w:p w:rsidR="00000000" w:rsidRDefault="00000000">
            <w:pPr>
              <w:spacing w:after="0"/>
              <w:jc w:val="right"/>
              <w:rPr>
                <w:sz w:val="18"/>
              </w:rPr>
            </w:pPr>
            <w:r>
              <w:rPr>
                <w:sz w:val="18"/>
              </w:rPr>
              <w:t>4 400</w:t>
            </w:r>
          </w:p>
        </w:tc>
        <w:tc>
          <w:tcPr>
            <w:tcW w:w="615" w:type="dxa"/>
            <w:tcBorders>
              <w:top w:val="nil"/>
            </w:tcBorders>
          </w:tcPr>
          <w:p w:rsidR="00000000" w:rsidRDefault="00000000">
            <w:pPr>
              <w:spacing w:after="0"/>
              <w:jc w:val="right"/>
              <w:rPr>
                <w:sz w:val="18"/>
              </w:rPr>
            </w:pPr>
            <w:r>
              <w:rPr>
                <w:sz w:val="18"/>
              </w:rPr>
              <w:t>4 400</w:t>
            </w:r>
          </w:p>
        </w:tc>
        <w:tc>
          <w:tcPr>
            <w:tcW w:w="614" w:type="dxa"/>
            <w:tcBorders>
              <w:top w:val="nil"/>
            </w:tcBorders>
          </w:tcPr>
          <w:p w:rsidR="00000000" w:rsidRDefault="00000000">
            <w:pPr>
              <w:spacing w:after="0"/>
              <w:jc w:val="right"/>
              <w:rPr>
                <w:sz w:val="18"/>
              </w:rPr>
            </w:pPr>
            <w:r>
              <w:rPr>
                <w:sz w:val="18"/>
              </w:rPr>
              <w:t>5 800</w:t>
            </w:r>
          </w:p>
        </w:tc>
        <w:tc>
          <w:tcPr>
            <w:tcW w:w="614" w:type="dxa"/>
            <w:tcBorders>
              <w:top w:val="nil"/>
            </w:tcBorders>
          </w:tcPr>
          <w:p w:rsidR="00000000" w:rsidRDefault="00000000">
            <w:pPr>
              <w:spacing w:after="0"/>
              <w:jc w:val="right"/>
              <w:rPr>
                <w:sz w:val="18"/>
              </w:rPr>
            </w:pPr>
            <w:r>
              <w:rPr>
                <w:sz w:val="18"/>
              </w:rPr>
              <w:t>6 380</w:t>
            </w:r>
          </w:p>
        </w:tc>
        <w:tc>
          <w:tcPr>
            <w:tcW w:w="614" w:type="dxa"/>
            <w:tcBorders>
              <w:top w:val="nil"/>
            </w:tcBorders>
          </w:tcPr>
          <w:p w:rsidR="00000000" w:rsidRDefault="00000000">
            <w:pPr>
              <w:spacing w:after="0"/>
              <w:jc w:val="right"/>
              <w:rPr>
                <w:sz w:val="18"/>
              </w:rPr>
            </w:pPr>
            <w:r>
              <w:rPr>
                <w:sz w:val="18"/>
              </w:rPr>
              <w:t>7 000</w:t>
            </w:r>
          </w:p>
        </w:tc>
        <w:tc>
          <w:tcPr>
            <w:tcW w:w="615" w:type="dxa"/>
            <w:tcBorders>
              <w:top w:val="nil"/>
            </w:tcBorders>
          </w:tcPr>
          <w:p w:rsidR="00000000" w:rsidRDefault="00000000">
            <w:pPr>
              <w:spacing w:after="0"/>
              <w:jc w:val="right"/>
              <w:rPr>
                <w:sz w:val="18"/>
              </w:rPr>
            </w:pPr>
            <w:r>
              <w:rPr>
                <w:sz w:val="18"/>
              </w:rPr>
              <w:t>7 580</w:t>
            </w:r>
          </w:p>
        </w:tc>
      </w:tr>
    </w:tbl>
    <w:p w:rsidR="00000000" w:rsidRDefault="00000000">
      <w:pPr>
        <w:pStyle w:val="FootnoteText"/>
        <w:spacing w:before="240"/>
      </w:pPr>
      <w:r>
        <w:tab/>
      </w:r>
      <w:r>
        <w:rPr>
          <w:i/>
          <w:iCs/>
        </w:rPr>
        <w:t>Source</w:t>
      </w:r>
      <w:r>
        <w:t xml:space="preserve">:  </w:t>
      </w:r>
      <w:r>
        <w:rPr>
          <w:i/>
        </w:rPr>
        <w:t>Statistical Yearbook, 1993-2001</w:t>
      </w:r>
      <w:r>
        <w:t>.</w:t>
      </w:r>
    </w:p>
    <w:p w:rsidR="00000000" w:rsidRDefault="00000000">
      <w:pPr>
        <w:pStyle w:val="Heading2"/>
      </w:pPr>
      <w:r>
        <w:t>Table 4</w:t>
      </w:r>
    </w:p>
    <w:p w:rsidR="00000000" w:rsidRDefault="00000000">
      <w:pPr>
        <w:pStyle w:val="Heading2"/>
      </w:pPr>
      <w:r>
        <w:t>Wage increases in the public sector (percentage)</w:t>
      </w:r>
    </w:p>
    <w:tbl>
      <w:tblPr>
        <w:tblW w:w="0" w:type="auto"/>
        <w:jc w:val="center"/>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48"/>
        <w:gridCol w:w="625"/>
        <w:gridCol w:w="626"/>
        <w:gridCol w:w="626"/>
        <w:gridCol w:w="625"/>
        <w:gridCol w:w="626"/>
        <w:gridCol w:w="626"/>
        <w:gridCol w:w="626"/>
        <w:gridCol w:w="625"/>
        <w:gridCol w:w="626"/>
        <w:gridCol w:w="626"/>
        <w:gridCol w:w="626"/>
      </w:tblGrid>
      <w:tr w:rsidR="00000000">
        <w:tblPrEx>
          <w:tblCellMar>
            <w:top w:w="0" w:type="dxa"/>
            <w:bottom w:w="0" w:type="dxa"/>
          </w:tblCellMar>
        </w:tblPrEx>
        <w:trPr>
          <w:jc w:val="center"/>
        </w:trPr>
        <w:tc>
          <w:tcPr>
            <w:tcW w:w="2348" w:type="dxa"/>
            <w:tcBorders>
              <w:bottom w:val="single" w:sz="4" w:space="0" w:color="auto"/>
            </w:tcBorders>
          </w:tcPr>
          <w:p w:rsidR="00000000" w:rsidRDefault="00000000">
            <w:pPr>
              <w:spacing w:before="60" w:after="60"/>
              <w:jc w:val="center"/>
              <w:rPr>
                <w:sz w:val="18"/>
              </w:rPr>
            </w:pPr>
          </w:p>
        </w:tc>
        <w:tc>
          <w:tcPr>
            <w:tcW w:w="625" w:type="dxa"/>
            <w:tcBorders>
              <w:bottom w:val="single" w:sz="4" w:space="0" w:color="auto"/>
            </w:tcBorders>
          </w:tcPr>
          <w:p w:rsidR="00000000" w:rsidRDefault="00000000">
            <w:pPr>
              <w:spacing w:before="60" w:after="60"/>
              <w:jc w:val="center"/>
              <w:rPr>
                <w:sz w:val="18"/>
              </w:rPr>
            </w:pPr>
            <w:r>
              <w:rPr>
                <w:sz w:val="18"/>
              </w:rPr>
              <w:t>1991</w:t>
            </w:r>
          </w:p>
        </w:tc>
        <w:tc>
          <w:tcPr>
            <w:tcW w:w="626" w:type="dxa"/>
            <w:tcBorders>
              <w:bottom w:val="single" w:sz="4" w:space="0" w:color="auto"/>
            </w:tcBorders>
          </w:tcPr>
          <w:p w:rsidR="00000000" w:rsidRDefault="00000000">
            <w:pPr>
              <w:spacing w:before="60" w:after="60"/>
              <w:jc w:val="center"/>
              <w:rPr>
                <w:sz w:val="18"/>
              </w:rPr>
            </w:pPr>
            <w:r>
              <w:rPr>
                <w:sz w:val="18"/>
              </w:rPr>
              <w:t>1992</w:t>
            </w:r>
          </w:p>
        </w:tc>
        <w:tc>
          <w:tcPr>
            <w:tcW w:w="626" w:type="dxa"/>
            <w:tcBorders>
              <w:bottom w:val="single" w:sz="4" w:space="0" w:color="auto"/>
            </w:tcBorders>
          </w:tcPr>
          <w:p w:rsidR="00000000" w:rsidRDefault="00000000">
            <w:pPr>
              <w:spacing w:before="60" w:after="60"/>
              <w:jc w:val="center"/>
              <w:rPr>
                <w:sz w:val="18"/>
              </w:rPr>
            </w:pPr>
            <w:r>
              <w:rPr>
                <w:sz w:val="18"/>
              </w:rPr>
              <w:t>1993</w:t>
            </w:r>
          </w:p>
        </w:tc>
        <w:tc>
          <w:tcPr>
            <w:tcW w:w="625" w:type="dxa"/>
            <w:tcBorders>
              <w:bottom w:val="single" w:sz="4" w:space="0" w:color="auto"/>
            </w:tcBorders>
          </w:tcPr>
          <w:p w:rsidR="00000000" w:rsidRDefault="00000000">
            <w:pPr>
              <w:spacing w:before="60" w:after="60"/>
              <w:jc w:val="center"/>
              <w:rPr>
                <w:sz w:val="18"/>
              </w:rPr>
            </w:pPr>
            <w:r>
              <w:rPr>
                <w:sz w:val="18"/>
              </w:rPr>
              <w:t>1994</w:t>
            </w:r>
          </w:p>
        </w:tc>
        <w:tc>
          <w:tcPr>
            <w:tcW w:w="626" w:type="dxa"/>
            <w:tcBorders>
              <w:bottom w:val="single" w:sz="4" w:space="0" w:color="auto"/>
            </w:tcBorders>
          </w:tcPr>
          <w:p w:rsidR="00000000" w:rsidRDefault="00000000">
            <w:pPr>
              <w:spacing w:before="60" w:after="60"/>
              <w:jc w:val="center"/>
              <w:rPr>
                <w:sz w:val="18"/>
              </w:rPr>
            </w:pPr>
            <w:r>
              <w:rPr>
                <w:sz w:val="18"/>
              </w:rPr>
              <w:t>1995</w:t>
            </w:r>
          </w:p>
        </w:tc>
        <w:tc>
          <w:tcPr>
            <w:tcW w:w="626" w:type="dxa"/>
            <w:tcBorders>
              <w:bottom w:val="single" w:sz="4" w:space="0" w:color="auto"/>
            </w:tcBorders>
          </w:tcPr>
          <w:p w:rsidR="00000000" w:rsidRDefault="00000000">
            <w:pPr>
              <w:spacing w:before="60" w:after="60"/>
              <w:jc w:val="center"/>
              <w:rPr>
                <w:sz w:val="18"/>
              </w:rPr>
            </w:pPr>
            <w:r>
              <w:rPr>
                <w:sz w:val="18"/>
              </w:rPr>
              <w:t>1996</w:t>
            </w:r>
          </w:p>
        </w:tc>
        <w:tc>
          <w:tcPr>
            <w:tcW w:w="626" w:type="dxa"/>
            <w:tcBorders>
              <w:bottom w:val="single" w:sz="4" w:space="0" w:color="auto"/>
            </w:tcBorders>
          </w:tcPr>
          <w:p w:rsidR="00000000" w:rsidRDefault="00000000">
            <w:pPr>
              <w:spacing w:before="60" w:after="60"/>
              <w:jc w:val="center"/>
              <w:rPr>
                <w:sz w:val="18"/>
              </w:rPr>
            </w:pPr>
            <w:r>
              <w:rPr>
                <w:sz w:val="18"/>
              </w:rPr>
              <w:t>1997</w:t>
            </w:r>
          </w:p>
        </w:tc>
        <w:tc>
          <w:tcPr>
            <w:tcW w:w="625" w:type="dxa"/>
            <w:tcBorders>
              <w:bottom w:val="single" w:sz="4" w:space="0" w:color="auto"/>
            </w:tcBorders>
          </w:tcPr>
          <w:p w:rsidR="00000000" w:rsidRDefault="00000000">
            <w:pPr>
              <w:spacing w:before="60" w:after="60"/>
              <w:jc w:val="center"/>
              <w:rPr>
                <w:sz w:val="18"/>
              </w:rPr>
            </w:pPr>
            <w:r>
              <w:rPr>
                <w:sz w:val="18"/>
              </w:rPr>
              <w:t>1998</w:t>
            </w:r>
          </w:p>
        </w:tc>
        <w:tc>
          <w:tcPr>
            <w:tcW w:w="626" w:type="dxa"/>
            <w:tcBorders>
              <w:bottom w:val="single" w:sz="4" w:space="0" w:color="auto"/>
            </w:tcBorders>
          </w:tcPr>
          <w:p w:rsidR="00000000" w:rsidRDefault="00000000">
            <w:pPr>
              <w:spacing w:before="60" w:after="60"/>
              <w:jc w:val="center"/>
              <w:rPr>
                <w:sz w:val="18"/>
              </w:rPr>
            </w:pPr>
            <w:r>
              <w:rPr>
                <w:sz w:val="18"/>
              </w:rPr>
              <w:t>1999</w:t>
            </w:r>
          </w:p>
        </w:tc>
        <w:tc>
          <w:tcPr>
            <w:tcW w:w="626" w:type="dxa"/>
            <w:tcBorders>
              <w:bottom w:val="single" w:sz="4" w:space="0" w:color="auto"/>
            </w:tcBorders>
          </w:tcPr>
          <w:p w:rsidR="00000000" w:rsidRDefault="00000000">
            <w:pPr>
              <w:spacing w:before="60" w:after="60"/>
              <w:jc w:val="center"/>
              <w:rPr>
                <w:sz w:val="18"/>
              </w:rPr>
            </w:pPr>
            <w:r>
              <w:rPr>
                <w:sz w:val="18"/>
              </w:rPr>
              <w:t>2000</w:t>
            </w:r>
          </w:p>
        </w:tc>
        <w:tc>
          <w:tcPr>
            <w:tcW w:w="626" w:type="dxa"/>
            <w:tcBorders>
              <w:bottom w:val="single" w:sz="4" w:space="0" w:color="auto"/>
            </w:tcBorders>
          </w:tcPr>
          <w:p w:rsidR="00000000" w:rsidRDefault="00000000">
            <w:pPr>
              <w:spacing w:before="60" w:after="60"/>
              <w:jc w:val="center"/>
              <w:rPr>
                <w:sz w:val="18"/>
              </w:rPr>
            </w:pPr>
            <w:r>
              <w:rPr>
                <w:sz w:val="18"/>
              </w:rPr>
              <w:t>2001</w:t>
            </w:r>
          </w:p>
        </w:tc>
      </w:tr>
      <w:tr w:rsidR="00000000">
        <w:tblPrEx>
          <w:tblCellMar>
            <w:top w:w="0" w:type="dxa"/>
            <w:bottom w:w="0" w:type="dxa"/>
          </w:tblCellMar>
        </w:tblPrEx>
        <w:trPr>
          <w:jc w:val="center"/>
        </w:trPr>
        <w:tc>
          <w:tcPr>
            <w:tcW w:w="2348" w:type="dxa"/>
            <w:tcBorders>
              <w:bottom w:val="nil"/>
            </w:tcBorders>
          </w:tcPr>
          <w:p w:rsidR="00000000" w:rsidRDefault="00000000">
            <w:pPr>
              <w:spacing w:after="0"/>
              <w:rPr>
                <w:sz w:val="18"/>
              </w:rPr>
            </w:pPr>
            <w:r>
              <w:rPr>
                <w:sz w:val="18"/>
              </w:rPr>
              <w:t>Monthly wage changes</w:t>
            </w:r>
          </w:p>
        </w:tc>
        <w:tc>
          <w:tcPr>
            <w:tcW w:w="625" w:type="dxa"/>
            <w:tcBorders>
              <w:bottom w:val="nil"/>
            </w:tcBorders>
          </w:tcPr>
          <w:p w:rsidR="00000000" w:rsidRDefault="00000000">
            <w:pPr>
              <w:spacing w:after="0"/>
              <w:ind w:right="113"/>
              <w:jc w:val="right"/>
              <w:rPr>
                <w:sz w:val="18"/>
              </w:rPr>
            </w:pPr>
            <w:r>
              <w:rPr>
                <w:sz w:val="18"/>
              </w:rPr>
              <w:t>27.5</w:t>
            </w:r>
          </w:p>
        </w:tc>
        <w:tc>
          <w:tcPr>
            <w:tcW w:w="626" w:type="dxa"/>
            <w:tcBorders>
              <w:bottom w:val="nil"/>
            </w:tcBorders>
          </w:tcPr>
          <w:p w:rsidR="00000000" w:rsidRDefault="00000000">
            <w:pPr>
              <w:spacing w:after="0"/>
              <w:ind w:right="57"/>
              <w:jc w:val="right"/>
              <w:rPr>
                <w:sz w:val="18"/>
              </w:rPr>
            </w:pPr>
            <w:r>
              <w:rPr>
                <w:sz w:val="18"/>
              </w:rPr>
              <w:t>145.3</w:t>
            </w:r>
          </w:p>
        </w:tc>
        <w:tc>
          <w:tcPr>
            <w:tcW w:w="626" w:type="dxa"/>
            <w:tcBorders>
              <w:bottom w:val="nil"/>
            </w:tcBorders>
          </w:tcPr>
          <w:p w:rsidR="00000000" w:rsidRDefault="00000000">
            <w:pPr>
              <w:spacing w:after="0"/>
              <w:ind w:right="57"/>
              <w:jc w:val="right"/>
              <w:rPr>
                <w:sz w:val="18"/>
              </w:rPr>
            </w:pPr>
            <w:r>
              <w:rPr>
                <w:sz w:val="18"/>
              </w:rPr>
              <w:t>72.8</w:t>
            </w:r>
          </w:p>
        </w:tc>
        <w:tc>
          <w:tcPr>
            <w:tcW w:w="625" w:type="dxa"/>
            <w:tcBorders>
              <w:bottom w:val="nil"/>
            </w:tcBorders>
          </w:tcPr>
          <w:p w:rsidR="00000000" w:rsidRDefault="00000000">
            <w:pPr>
              <w:spacing w:after="0"/>
              <w:ind w:right="57"/>
              <w:jc w:val="right"/>
              <w:rPr>
                <w:sz w:val="18"/>
              </w:rPr>
            </w:pPr>
            <w:r>
              <w:rPr>
                <w:sz w:val="18"/>
              </w:rPr>
              <w:t>54.9</w:t>
            </w:r>
          </w:p>
        </w:tc>
        <w:tc>
          <w:tcPr>
            <w:tcW w:w="626" w:type="dxa"/>
            <w:tcBorders>
              <w:bottom w:val="nil"/>
            </w:tcBorders>
          </w:tcPr>
          <w:p w:rsidR="00000000" w:rsidRDefault="00000000">
            <w:pPr>
              <w:spacing w:after="0"/>
              <w:ind w:right="57"/>
              <w:jc w:val="right"/>
              <w:rPr>
                <w:sz w:val="18"/>
              </w:rPr>
            </w:pPr>
            <w:r>
              <w:rPr>
                <w:sz w:val="18"/>
              </w:rPr>
              <w:t>34.1</w:t>
            </w:r>
          </w:p>
        </w:tc>
        <w:tc>
          <w:tcPr>
            <w:tcW w:w="626" w:type="dxa"/>
            <w:tcBorders>
              <w:bottom w:val="nil"/>
            </w:tcBorders>
          </w:tcPr>
          <w:p w:rsidR="00000000" w:rsidRDefault="00000000">
            <w:pPr>
              <w:spacing w:after="0"/>
              <w:ind w:right="57"/>
              <w:jc w:val="right"/>
              <w:rPr>
                <w:sz w:val="18"/>
              </w:rPr>
            </w:pPr>
            <w:r>
              <w:rPr>
                <w:sz w:val="18"/>
              </w:rPr>
              <w:t>34.8</w:t>
            </w:r>
          </w:p>
        </w:tc>
        <w:tc>
          <w:tcPr>
            <w:tcW w:w="626" w:type="dxa"/>
            <w:tcBorders>
              <w:bottom w:val="nil"/>
            </w:tcBorders>
          </w:tcPr>
          <w:p w:rsidR="00000000" w:rsidRDefault="00000000">
            <w:pPr>
              <w:spacing w:after="0"/>
              <w:ind w:right="57"/>
              <w:jc w:val="right"/>
              <w:rPr>
                <w:sz w:val="18"/>
              </w:rPr>
            </w:pPr>
            <w:r>
              <w:rPr>
                <w:sz w:val="18"/>
              </w:rPr>
              <w:t>10.6</w:t>
            </w:r>
          </w:p>
        </w:tc>
        <w:tc>
          <w:tcPr>
            <w:tcW w:w="625" w:type="dxa"/>
            <w:tcBorders>
              <w:bottom w:val="nil"/>
            </w:tcBorders>
          </w:tcPr>
          <w:p w:rsidR="00000000" w:rsidRDefault="00000000">
            <w:pPr>
              <w:spacing w:after="0"/>
              <w:ind w:right="57"/>
              <w:jc w:val="right"/>
              <w:rPr>
                <w:sz w:val="18"/>
              </w:rPr>
            </w:pPr>
            <w:r>
              <w:rPr>
                <w:sz w:val="18"/>
              </w:rPr>
              <w:t>20.40</w:t>
            </w:r>
          </w:p>
        </w:tc>
        <w:tc>
          <w:tcPr>
            <w:tcW w:w="626" w:type="dxa"/>
            <w:tcBorders>
              <w:bottom w:val="nil"/>
            </w:tcBorders>
          </w:tcPr>
          <w:p w:rsidR="00000000" w:rsidRDefault="00000000">
            <w:pPr>
              <w:spacing w:after="0"/>
              <w:ind w:right="57"/>
              <w:jc w:val="right"/>
              <w:rPr>
                <w:sz w:val="18"/>
              </w:rPr>
            </w:pPr>
            <w:r>
              <w:rPr>
                <w:sz w:val="18"/>
              </w:rPr>
              <w:t>10.40</w:t>
            </w:r>
          </w:p>
        </w:tc>
        <w:tc>
          <w:tcPr>
            <w:tcW w:w="626" w:type="dxa"/>
            <w:tcBorders>
              <w:bottom w:val="nil"/>
            </w:tcBorders>
          </w:tcPr>
          <w:p w:rsidR="00000000" w:rsidRDefault="00000000">
            <w:pPr>
              <w:spacing w:after="0"/>
              <w:ind w:right="57"/>
              <w:jc w:val="right"/>
              <w:rPr>
                <w:sz w:val="18"/>
              </w:rPr>
            </w:pPr>
            <w:r>
              <w:rPr>
                <w:sz w:val="18"/>
              </w:rPr>
              <w:t>17.70</w:t>
            </w:r>
          </w:p>
        </w:tc>
        <w:tc>
          <w:tcPr>
            <w:tcW w:w="626" w:type="dxa"/>
            <w:tcBorders>
              <w:bottom w:val="nil"/>
            </w:tcBorders>
          </w:tcPr>
          <w:p w:rsidR="00000000" w:rsidRDefault="00000000">
            <w:pPr>
              <w:spacing w:after="0"/>
              <w:ind w:right="57"/>
              <w:jc w:val="right"/>
              <w:rPr>
                <w:sz w:val="18"/>
              </w:rPr>
            </w:pPr>
            <w:r>
              <w:rPr>
                <w:sz w:val="18"/>
              </w:rPr>
              <w:t>15.10</w:t>
            </w:r>
          </w:p>
        </w:tc>
      </w:tr>
      <w:tr w:rsidR="00000000">
        <w:tblPrEx>
          <w:tblCellMar>
            <w:top w:w="0" w:type="dxa"/>
            <w:bottom w:w="0" w:type="dxa"/>
          </w:tblCellMar>
        </w:tblPrEx>
        <w:trPr>
          <w:jc w:val="center"/>
        </w:trPr>
        <w:tc>
          <w:tcPr>
            <w:tcW w:w="2348" w:type="dxa"/>
            <w:tcBorders>
              <w:top w:val="nil"/>
              <w:bottom w:val="nil"/>
            </w:tcBorders>
          </w:tcPr>
          <w:p w:rsidR="00000000" w:rsidRDefault="00000000">
            <w:pPr>
              <w:spacing w:after="0"/>
              <w:rPr>
                <w:sz w:val="18"/>
              </w:rPr>
            </w:pPr>
            <w:r>
              <w:rPr>
                <w:sz w:val="18"/>
              </w:rPr>
              <w:t>Changes in consumer prices</w:t>
            </w:r>
          </w:p>
        </w:tc>
        <w:tc>
          <w:tcPr>
            <w:tcW w:w="625" w:type="dxa"/>
            <w:tcBorders>
              <w:top w:val="nil"/>
              <w:bottom w:val="nil"/>
            </w:tcBorders>
          </w:tcPr>
          <w:p w:rsidR="00000000" w:rsidRDefault="00000000">
            <w:pPr>
              <w:spacing w:after="0"/>
              <w:ind w:right="113"/>
              <w:jc w:val="right"/>
              <w:rPr>
                <w:sz w:val="18"/>
              </w:rPr>
            </w:pPr>
            <w:r>
              <w:rPr>
                <w:sz w:val="18"/>
              </w:rPr>
              <w:t>35.5</w:t>
            </w:r>
          </w:p>
        </w:tc>
        <w:tc>
          <w:tcPr>
            <w:tcW w:w="626" w:type="dxa"/>
            <w:tcBorders>
              <w:top w:val="nil"/>
              <w:bottom w:val="nil"/>
            </w:tcBorders>
          </w:tcPr>
          <w:p w:rsidR="00000000" w:rsidRDefault="00000000">
            <w:pPr>
              <w:spacing w:after="0"/>
              <w:ind w:right="170"/>
              <w:jc w:val="right"/>
              <w:rPr>
                <w:sz w:val="18"/>
              </w:rPr>
            </w:pPr>
            <w:r>
              <w:rPr>
                <w:sz w:val="18"/>
              </w:rPr>
              <w:t>226</w:t>
            </w:r>
          </w:p>
        </w:tc>
        <w:tc>
          <w:tcPr>
            <w:tcW w:w="626" w:type="dxa"/>
            <w:tcBorders>
              <w:top w:val="nil"/>
              <w:bottom w:val="nil"/>
            </w:tcBorders>
          </w:tcPr>
          <w:p w:rsidR="00000000" w:rsidRDefault="00000000">
            <w:pPr>
              <w:spacing w:after="0"/>
              <w:ind w:right="170"/>
              <w:jc w:val="right"/>
              <w:rPr>
                <w:sz w:val="18"/>
              </w:rPr>
            </w:pPr>
            <w:r>
              <w:rPr>
                <w:sz w:val="18"/>
              </w:rPr>
              <w:t>85</w:t>
            </w:r>
          </w:p>
        </w:tc>
        <w:tc>
          <w:tcPr>
            <w:tcW w:w="625" w:type="dxa"/>
            <w:tcBorders>
              <w:top w:val="nil"/>
              <w:bottom w:val="nil"/>
            </w:tcBorders>
          </w:tcPr>
          <w:p w:rsidR="00000000" w:rsidRDefault="00000000">
            <w:pPr>
              <w:spacing w:after="0"/>
              <w:ind w:right="57"/>
              <w:jc w:val="right"/>
              <w:rPr>
                <w:sz w:val="18"/>
              </w:rPr>
            </w:pPr>
            <w:r>
              <w:rPr>
                <w:sz w:val="18"/>
              </w:rPr>
              <w:t>22.5</w:t>
            </w:r>
          </w:p>
        </w:tc>
        <w:tc>
          <w:tcPr>
            <w:tcW w:w="626" w:type="dxa"/>
            <w:tcBorders>
              <w:top w:val="nil"/>
              <w:bottom w:val="nil"/>
            </w:tcBorders>
          </w:tcPr>
          <w:p w:rsidR="00000000" w:rsidRDefault="00000000">
            <w:pPr>
              <w:spacing w:after="0"/>
              <w:ind w:right="57"/>
              <w:jc w:val="right"/>
              <w:rPr>
                <w:sz w:val="18"/>
              </w:rPr>
            </w:pPr>
            <w:r>
              <w:rPr>
                <w:sz w:val="18"/>
              </w:rPr>
              <w:t>7.8</w:t>
            </w:r>
          </w:p>
        </w:tc>
        <w:tc>
          <w:tcPr>
            <w:tcW w:w="626" w:type="dxa"/>
            <w:tcBorders>
              <w:top w:val="nil"/>
              <w:bottom w:val="nil"/>
            </w:tcBorders>
          </w:tcPr>
          <w:p w:rsidR="00000000" w:rsidRDefault="00000000">
            <w:pPr>
              <w:spacing w:after="0"/>
              <w:ind w:right="57"/>
              <w:jc w:val="right"/>
              <w:rPr>
                <w:sz w:val="18"/>
              </w:rPr>
            </w:pPr>
            <w:r>
              <w:rPr>
                <w:sz w:val="18"/>
              </w:rPr>
              <w:t>12.7</w:t>
            </w:r>
          </w:p>
        </w:tc>
        <w:tc>
          <w:tcPr>
            <w:tcW w:w="626" w:type="dxa"/>
            <w:tcBorders>
              <w:top w:val="nil"/>
              <w:bottom w:val="nil"/>
            </w:tcBorders>
          </w:tcPr>
          <w:p w:rsidR="00000000" w:rsidRDefault="00000000">
            <w:pPr>
              <w:spacing w:after="0"/>
              <w:ind w:right="57"/>
              <w:jc w:val="right"/>
              <w:rPr>
                <w:sz w:val="18"/>
              </w:rPr>
            </w:pPr>
            <w:r>
              <w:rPr>
                <w:sz w:val="18"/>
              </w:rPr>
              <w:t>33.2</w:t>
            </w:r>
          </w:p>
        </w:tc>
        <w:tc>
          <w:tcPr>
            <w:tcW w:w="625" w:type="dxa"/>
            <w:tcBorders>
              <w:top w:val="nil"/>
              <w:bottom w:val="nil"/>
            </w:tcBorders>
          </w:tcPr>
          <w:p w:rsidR="00000000" w:rsidRDefault="00000000">
            <w:pPr>
              <w:spacing w:after="0"/>
              <w:ind w:right="142"/>
              <w:jc w:val="right"/>
              <w:rPr>
                <w:sz w:val="18"/>
              </w:rPr>
            </w:pPr>
            <w:r>
              <w:rPr>
                <w:sz w:val="18"/>
              </w:rPr>
              <w:t>20.6</w:t>
            </w:r>
          </w:p>
        </w:tc>
        <w:tc>
          <w:tcPr>
            <w:tcW w:w="626" w:type="dxa"/>
            <w:tcBorders>
              <w:top w:val="nil"/>
              <w:bottom w:val="nil"/>
            </w:tcBorders>
          </w:tcPr>
          <w:p w:rsidR="00000000" w:rsidRDefault="00000000">
            <w:pPr>
              <w:spacing w:after="0"/>
              <w:ind w:right="57"/>
              <w:jc w:val="right"/>
              <w:rPr>
                <w:sz w:val="18"/>
              </w:rPr>
            </w:pPr>
            <w:r>
              <w:rPr>
                <w:sz w:val="18"/>
              </w:rPr>
              <w:t>0.39</w:t>
            </w:r>
          </w:p>
        </w:tc>
        <w:tc>
          <w:tcPr>
            <w:tcW w:w="626" w:type="dxa"/>
            <w:tcBorders>
              <w:top w:val="nil"/>
              <w:bottom w:val="nil"/>
            </w:tcBorders>
          </w:tcPr>
          <w:p w:rsidR="00000000" w:rsidRDefault="00000000">
            <w:pPr>
              <w:spacing w:after="0"/>
              <w:ind w:right="57"/>
              <w:jc w:val="right"/>
              <w:rPr>
                <w:sz w:val="18"/>
              </w:rPr>
            </w:pPr>
            <w:r>
              <w:rPr>
                <w:sz w:val="18"/>
              </w:rPr>
              <w:t>0.00</w:t>
            </w:r>
          </w:p>
        </w:tc>
        <w:tc>
          <w:tcPr>
            <w:tcW w:w="626" w:type="dxa"/>
            <w:tcBorders>
              <w:top w:val="nil"/>
              <w:bottom w:val="nil"/>
            </w:tcBorders>
          </w:tcPr>
          <w:p w:rsidR="00000000" w:rsidRDefault="00000000">
            <w:pPr>
              <w:spacing w:after="0"/>
              <w:ind w:right="57"/>
              <w:jc w:val="right"/>
              <w:rPr>
                <w:sz w:val="18"/>
              </w:rPr>
            </w:pPr>
            <w:r>
              <w:rPr>
                <w:sz w:val="18"/>
              </w:rPr>
              <w:t>3.10</w:t>
            </w:r>
          </w:p>
        </w:tc>
      </w:tr>
      <w:tr w:rsidR="00000000">
        <w:tblPrEx>
          <w:tblCellMar>
            <w:top w:w="0" w:type="dxa"/>
            <w:bottom w:w="0" w:type="dxa"/>
          </w:tblCellMar>
        </w:tblPrEx>
        <w:trPr>
          <w:jc w:val="center"/>
        </w:trPr>
        <w:tc>
          <w:tcPr>
            <w:tcW w:w="2348" w:type="dxa"/>
            <w:tcBorders>
              <w:top w:val="nil"/>
            </w:tcBorders>
          </w:tcPr>
          <w:p w:rsidR="00000000" w:rsidRDefault="00000000">
            <w:pPr>
              <w:spacing w:after="0"/>
              <w:rPr>
                <w:sz w:val="18"/>
              </w:rPr>
            </w:pPr>
            <w:r>
              <w:rPr>
                <w:sz w:val="18"/>
              </w:rPr>
              <w:t>Real increase/decrease</w:t>
            </w:r>
            <w:r>
              <w:rPr>
                <w:sz w:val="18"/>
              </w:rPr>
              <w:br/>
              <w:t xml:space="preserve">  in wages</w:t>
            </w:r>
          </w:p>
        </w:tc>
        <w:tc>
          <w:tcPr>
            <w:tcW w:w="625" w:type="dxa"/>
            <w:tcBorders>
              <w:top w:val="nil"/>
            </w:tcBorders>
          </w:tcPr>
          <w:p w:rsidR="00000000" w:rsidRDefault="00000000">
            <w:pPr>
              <w:spacing w:after="0"/>
              <w:ind w:right="113"/>
              <w:jc w:val="right"/>
              <w:rPr>
                <w:sz w:val="18"/>
              </w:rPr>
            </w:pPr>
            <w:r>
              <w:rPr>
                <w:sz w:val="18"/>
              </w:rPr>
              <w:t>-5.9</w:t>
            </w:r>
          </w:p>
        </w:tc>
        <w:tc>
          <w:tcPr>
            <w:tcW w:w="626" w:type="dxa"/>
            <w:tcBorders>
              <w:top w:val="nil"/>
            </w:tcBorders>
          </w:tcPr>
          <w:p w:rsidR="00000000" w:rsidRDefault="00000000">
            <w:pPr>
              <w:spacing w:after="0"/>
              <w:ind w:right="57"/>
              <w:jc w:val="right"/>
              <w:rPr>
                <w:sz w:val="18"/>
              </w:rPr>
            </w:pPr>
            <w:r>
              <w:rPr>
                <w:sz w:val="18"/>
              </w:rPr>
              <w:t>-24.8</w:t>
            </w:r>
          </w:p>
        </w:tc>
        <w:tc>
          <w:tcPr>
            <w:tcW w:w="626" w:type="dxa"/>
            <w:tcBorders>
              <w:top w:val="nil"/>
            </w:tcBorders>
          </w:tcPr>
          <w:p w:rsidR="00000000" w:rsidRDefault="00000000">
            <w:pPr>
              <w:spacing w:after="0"/>
              <w:ind w:right="57"/>
              <w:jc w:val="right"/>
              <w:rPr>
                <w:sz w:val="18"/>
              </w:rPr>
            </w:pPr>
            <w:r>
              <w:rPr>
                <w:sz w:val="18"/>
              </w:rPr>
              <w:t>-6.6</w:t>
            </w:r>
          </w:p>
        </w:tc>
        <w:tc>
          <w:tcPr>
            <w:tcW w:w="625" w:type="dxa"/>
            <w:tcBorders>
              <w:top w:val="nil"/>
            </w:tcBorders>
          </w:tcPr>
          <w:p w:rsidR="00000000" w:rsidRDefault="00000000">
            <w:pPr>
              <w:spacing w:after="0"/>
              <w:ind w:right="57"/>
              <w:jc w:val="right"/>
              <w:rPr>
                <w:sz w:val="18"/>
              </w:rPr>
            </w:pPr>
            <w:r>
              <w:rPr>
                <w:sz w:val="18"/>
              </w:rPr>
              <w:t>26.4</w:t>
            </w:r>
          </w:p>
        </w:tc>
        <w:tc>
          <w:tcPr>
            <w:tcW w:w="626" w:type="dxa"/>
            <w:tcBorders>
              <w:top w:val="nil"/>
            </w:tcBorders>
          </w:tcPr>
          <w:p w:rsidR="00000000" w:rsidRDefault="00000000">
            <w:pPr>
              <w:spacing w:after="0"/>
              <w:ind w:right="57"/>
              <w:jc w:val="right"/>
              <w:rPr>
                <w:sz w:val="18"/>
              </w:rPr>
            </w:pPr>
            <w:r>
              <w:rPr>
                <w:sz w:val="18"/>
              </w:rPr>
              <w:t>24.4</w:t>
            </w:r>
          </w:p>
        </w:tc>
        <w:tc>
          <w:tcPr>
            <w:tcW w:w="626" w:type="dxa"/>
            <w:tcBorders>
              <w:top w:val="nil"/>
            </w:tcBorders>
          </w:tcPr>
          <w:p w:rsidR="00000000" w:rsidRDefault="00000000">
            <w:pPr>
              <w:spacing w:after="0"/>
              <w:ind w:right="57"/>
              <w:jc w:val="right"/>
              <w:rPr>
                <w:sz w:val="18"/>
              </w:rPr>
            </w:pPr>
            <w:r>
              <w:rPr>
                <w:sz w:val="18"/>
              </w:rPr>
              <w:t>19.6</w:t>
            </w:r>
          </w:p>
        </w:tc>
        <w:tc>
          <w:tcPr>
            <w:tcW w:w="626" w:type="dxa"/>
            <w:tcBorders>
              <w:top w:val="nil"/>
            </w:tcBorders>
          </w:tcPr>
          <w:p w:rsidR="00000000" w:rsidRDefault="00000000">
            <w:pPr>
              <w:spacing w:after="0"/>
              <w:ind w:right="57"/>
              <w:jc w:val="right"/>
              <w:rPr>
                <w:sz w:val="18"/>
              </w:rPr>
            </w:pPr>
            <w:r>
              <w:rPr>
                <w:sz w:val="18"/>
              </w:rPr>
              <w:t>-16.9</w:t>
            </w:r>
          </w:p>
        </w:tc>
        <w:tc>
          <w:tcPr>
            <w:tcW w:w="625" w:type="dxa"/>
            <w:tcBorders>
              <w:top w:val="nil"/>
            </w:tcBorders>
          </w:tcPr>
          <w:p w:rsidR="00000000" w:rsidRDefault="00000000">
            <w:pPr>
              <w:spacing w:after="0"/>
              <w:ind w:right="57"/>
              <w:jc w:val="right"/>
              <w:rPr>
                <w:sz w:val="18"/>
              </w:rPr>
            </w:pPr>
            <w:r>
              <w:rPr>
                <w:sz w:val="18"/>
              </w:rPr>
              <w:t>-0.17</w:t>
            </w:r>
          </w:p>
        </w:tc>
        <w:tc>
          <w:tcPr>
            <w:tcW w:w="626" w:type="dxa"/>
            <w:tcBorders>
              <w:top w:val="nil"/>
            </w:tcBorders>
          </w:tcPr>
          <w:p w:rsidR="00000000" w:rsidRDefault="00000000">
            <w:pPr>
              <w:spacing w:after="0"/>
              <w:ind w:right="142"/>
              <w:jc w:val="right"/>
              <w:rPr>
                <w:sz w:val="18"/>
              </w:rPr>
            </w:pPr>
            <w:r>
              <w:rPr>
                <w:sz w:val="18"/>
              </w:rPr>
              <w:t>9.9</w:t>
            </w:r>
          </w:p>
        </w:tc>
        <w:tc>
          <w:tcPr>
            <w:tcW w:w="626" w:type="dxa"/>
            <w:tcBorders>
              <w:top w:val="nil"/>
            </w:tcBorders>
          </w:tcPr>
          <w:p w:rsidR="00000000" w:rsidRDefault="00000000">
            <w:pPr>
              <w:spacing w:after="0"/>
              <w:ind w:right="142"/>
              <w:jc w:val="right"/>
              <w:rPr>
                <w:sz w:val="18"/>
              </w:rPr>
            </w:pPr>
            <w:r>
              <w:rPr>
                <w:sz w:val="18"/>
              </w:rPr>
              <w:t>17.7</w:t>
            </w:r>
          </w:p>
        </w:tc>
        <w:tc>
          <w:tcPr>
            <w:tcW w:w="626" w:type="dxa"/>
            <w:tcBorders>
              <w:top w:val="nil"/>
            </w:tcBorders>
          </w:tcPr>
          <w:p w:rsidR="00000000" w:rsidRDefault="00000000">
            <w:pPr>
              <w:spacing w:after="0"/>
              <w:ind w:right="142"/>
              <w:jc w:val="right"/>
              <w:rPr>
                <w:sz w:val="18"/>
              </w:rPr>
            </w:pPr>
            <w:r>
              <w:rPr>
                <w:sz w:val="18"/>
              </w:rPr>
              <w:t>11.6</w:t>
            </w:r>
          </w:p>
        </w:tc>
      </w:tr>
    </w:tbl>
    <w:p w:rsidR="00000000" w:rsidRDefault="00000000">
      <w:pPr>
        <w:pStyle w:val="Header"/>
        <w:tabs>
          <w:tab w:val="clear" w:pos="4320"/>
          <w:tab w:val="clear" w:pos="8640"/>
        </w:tabs>
        <w:spacing w:before="240"/>
        <w:rPr>
          <w:szCs w:val="24"/>
        </w:rPr>
      </w:pPr>
      <w:r>
        <w:rPr>
          <w:i/>
          <w:iCs/>
          <w:szCs w:val="24"/>
        </w:rPr>
        <w:tab/>
        <w:t>Source</w:t>
      </w:r>
      <w:r>
        <w:rPr>
          <w:szCs w:val="24"/>
        </w:rPr>
        <w:t xml:space="preserve">:  </w:t>
      </w:r>
      <w:r>
        <w:rPr>
          <w:i/>
          <w:szCs w:val="24"/>
        </w:rPr>
        <w:t>Statistical Yearbook, 1993-2001</w:t>
      </w:r>
      <w:r>
        <w:rPr>
          <w:szCs w:val="24"/>
        </w:rPr>
        <w:t>.</w:t>
      </w:r>
    </w:p>
    <w:p w:rsidR="00000000" w:rsidRDefault="00000000">
      <w:pPr>
        <w:pStyle w:val="Heading2"/>
      </w:pPr>
      <w:r>
        <w:t>Table 5</w:t>
      </w:r>
    </w:p>
    <w:p w:rsidR="00000000" w:rsidRDefault="00000000">
      <w:pPr>
        <w:pStyle w:val="Heading2"/>
      </w:pPr>
      <w:r>
        <w:t xml:space="preserve">Average monthly wage for an employee, according to main </w:t>
      </w:r>
      <w:r>
        <w:br/>
        <w:t>groups of professions in the public sector  (in leks)</w:t>
      </w:r>
    </w:p>
    <w:tbl>
      <w:tblPr>
        <w:tblW w:w="0" w:type="auto"/>
        <w:jc w:val="center"/>
        <w:tblInd w:w="-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10"/>
        <w:gridCol w:w="773"/>
        <w:gridCol w:w="773"/>
        <w:gridCol w:w="774"/>
        <w:gridCol w:w="773"/>
        <w:gridCol w:w="774"/>
        <w:gridCol w:w="773"/>
        <w:gridCol w:w="774"/>
        <w:gridCol w:w="773"/>
        <w:gridCol w:w="774"/>
      </w:tblGrid>
      <w:tr w:rsidR="00000000">
        <w:tblPrEx>
          <w:tblCellMar>
            <w:top w:w="0" w:type="dxa"/>
            <w:bottom w:w="0" w:type="dxa"/>
          </w:tblCellMar>
        </w:tblPrEx>
        <w:trPr>
          <w:jc w:val="center"/>
        </w:trPr>
        <w:tc>
          <w:tcPr>
            <w:tcW w:w="2410" w:type="dxa"/>
            <w:tcBorders>
              <w:bottom w:val="single" w:sz="4" w:space="0" w:color="auto"/>
            </w:tcBorders>
          </w:tcPr>
          <w:p w:rsidR="00000000" w:rsidRDefault="00000000">
            <w:pPr>
              <w:spacing w:before="60" w:after="60"/>
              <w:jc w:val="center"/>
              <w:rPr>
                <w:sz w:val="18"/>
              </w:rPr>
            </w:pPr>
          </w:p>
        </w:tc>
        <w:tc>
          <w:tcPr>
            <w:tcW w:w="773" w:type="dxa"/>
            <w:tcBorders>
              <w:bottom w:val="single" w:sz="4" w:space="0" w:color="auto"/>
            </w:tcBorders>
          </w:tcPr>
          <w:p w:rsidR="00000000" w:rsidRDefault="00000000">
            <w:pPr>
              <w:spacing w:before="60" w:after="60"/>
              <w:jc w:val="center"/>
              <w:rPr>
                <w:sz w:val="18"/>
              </w:rPr>
            </w:pPr>
            <w:r>
              <w:rPr>
                <w:sz w:val="18"/>
              </w:rPr>
              <w:t>1993</w:t>
            </w:r>
          </w:p>
        </w:tc>
        <w:tc>
          <w:tcPr>
            <w:tcW w:w="773" w:type="dxa"/>
            <w:tcBorders>
              <w:bottom w:val="single" w:sz="4" w:space="0" w:color="auto"/>
            </w:tcBorders>
          </w:tcPr>
          <w:p w:rsidR="00000000" w:rsidRDefault="00000000">
            <w:pPr>
              <w:spacing w:before="60" w:after="60"/>
              <w:jc w:val="center"/>
              <w:rPr>
                <w:sz w:val="18"/>
              </w:rPr>
            </w:pPr>
            <w:r>
              <w:rPr>
                <w:sz w:val="18"/>
              </w:rPr>
              <w:t>1994</w:t>
            </w:r>
          </w:p>
        </w:tc>
        <w:tc>
          <w:tcPr>
            <w:tcW w:w="774" w:type="dxa"/>
            <w:tcBorders>
              <w:bottom w:val="single" w:sz="4" w:space="0" w:color="auto"/>
            </w:tcBorders>
          </w:tcPr>
          <w:p w:rsidR="00000000" w:rsidRDefault="00000000">
            <w:pPr>
              <w:spacing w:before="60" w:after="60"/>
              <w:jc w:val="center"/>
              <w:rPr>
                <w:sz w:val="18"/>
              </w:rPr>
            </w:pPr>
            <w:r>
              <w:rPr>
                <w:sz w:val="18"/>
              </w:rPr>
              <w:t>1995</w:t>
            </w:r>
          </w:p>
        </w:tc>
        <w:tc>
          <w:tcPr>
            <w:tcW w:w="773" w:type="dxa"/>
            <w:tcBorders>
              <w:bottom w:val="single" w:sz="4" w:space="0" w:color="auto"/>
            </w:tcBorders>
          </w:tcPr>
          <w:p w:rsidR="00000000" w:rsidRDefault="00000000">
            <w:pPr>
              <w:spacing w:before="60" w:after="60"/>
              <w:jc w:val="center"/>
              <w:rPr>
                <w:sz w:val="18"/>
              </w:rPr>
            </w:pPr>
            <w:r>
              <w:rPr>
                <w:sz w:val="18"/>
              </w:rPr>
              <w:t>1996</w:t>
            </w:r>
          </w:p>
        </w:tc>
        <w:tc>
          <w:tcPr>
            <w:tcW w:w="774" w:type="dxa"/>
            <w:tcBorders>
              <w:bottom w:val="single" w:sz="4" w:space="0" w:color="auto"/>
            </w:tcBorders>
          </w:tcPr>
          <w:p w:rsidR="00000000" w:rsidRDefault="00000000">
            <w:pPr>
              <w:spacing w:before="60" w:after="60"/>
              <w:jc w:val="center"/>
              <w:rPr>
                <w:sz w:val="18"/>
              </w:rPr>
            </w:pPr>
            <w:r>
              <w:rPr>
                <w:sz w:val="18"/>
              </w:rPr>
              <w:t>1997</w:t>
            </w:r>
          </w:p>
        </w:tc>
        <w:tc>
          <w:tcPr>
            <w:tcW w:w="773" w:type="dxa"/>
            <w:tcBorders>
              <w:bottom w:val="single" w:sz="4" w:space="0" w:color="auto"/>
            </w:tcBorders>
          </w:tcPr>
          <w:p w:rsidR="00000000" w:rsidRDefault="00000000">
            <w:pPr>
              <w:spacing w:before="60" w:after="60"/>
              <w:jc w:val="center"/>
              <w:rPr>
                <w:sz w:val="18"/>
              </w:rPr>
            </w:pPr>
            <w:r>
              <w:rPr>
                <w:sz w:val="18"/>
              </w:rPr>
              <w:t>1998</w:t>
            </w:r>
          </w:p>
        </w:tc>
        <w:tc>
          <w:tcPr>
            <w:tcW w:w="774" w:type="dxa"/>
            <w:tcBorders>
              <w:bottom w:val="single" w:sz="4" w:space="0" w:color="auto"/>
            </w:tcBorders>
          </w:tcPr>
          <w:p w:rsidR="00000000" w:rsidRDefault="00000000">
            <w:pPr>
              <w:spacing w:before="60" w:after="60"/>
              <w:jc w:val="center"/>
              <w:rPr>
                <w:sz w:val="18"/>
              </w:rPr>
            </w:pPr>
            <w:r>
              <w:rPr>
                <w:sz w:val="18"/>
              </w:rPr>
              <w:t>1999</w:t>
            </w:r>
          </w:p>
        </w:tc>
        <w:tc>
          <w:tcPr>
            <w:tcW w:w="773" w:type="dxa"/>
            <w:tcBorders>
              <w:bottom w:val="single" w:sz="4" w:space="0" w:color="auto"/>
            </w:tcBorders>
          </w:tcPr>
          <w:p w:rsidR="00000000" w:rsidRDefault="00000000">
            <w:pPr>
              <w:spacing w:before="60" w:after="60"/>
              <w:jc w:val="center"/>
              <w:rPr>
                <w:sz w:val="18"/>
              </w:rPr>
            </w:pPr>
            <w:r>
              <w:rPr>
                <w:sz w:val="18"/>
              </w:rPr>
              <w:t>2000</w:t>
            </w:r>
          </w:p>
        </w:tc>
        <w:tc>
          <w:tcPr>
            <w:tcW w:w="774" w:type="dxa"/>
            <w:tcBorders>
              <w:bottom w:val="single" w:sz="4" w:space="0" w:color="auto"/>
            </w:tcBorders>
          </w:tcPr>
          <w:p w:rsidR="00000000" w:rsidRDefault="00000000">
            <w:pPr>
              <w:spacing w:before="60" w:after="60"/>
              <w:jc w:val="center"/>
              <w:rPr>
                <w:sz w:val="18"/>
              </w:rPr>
            </w:pPr>
            <w:r>
              <w:rPr>
                <w:sz w:val="18"/>
              </w:rPr>
              <w:t>2001</w:t>
            </w:r>
          </w:p>
        </w:tc>
      </w:tr>
      <w:tr w:rsidR="00000000">
        <w:tblPrEx>
          <w:tblCellMar>
            <w:top w:w="0" w:type="dxa"/>
            <w:bottom w:w="0" w:type="dxa"/>
          </w:tblCellMar>
        </w:tblPrEx>
        <w:trPr>
          <w:jc w:val="center"/>
        </w:trPr>
        <w:tc>
          <w:tcPr>
            <w:tcW w:w="2410" w:type="dxa"/>
            <w:tcBorders>
              <w:bottom w:val="nil"/>
            </w:tcBorders>
          </w:tcPr>
          <w:p w:rsidR="00000000" w:rsidRDefault="00000000">
            <w:pPr>
              <w:spacing w:after="0"/>
              <w:rPr>
                <w:sz w:val="18"/>
              </w:rPr>
            </w:pPr>
            <w:r>
              <w:rPr>
                <w:sz w:val="18"/>
              </w:rPr>
              <w:t>Average monthly wage for:</w:t>
            </w:r>
          </w:p>
        </w:tc>
        <w:tc>
          <w:tcPr>
            <w:tcW w:w="773" w:type="dxa"/>
            <w:tcBorders>
              <w:bottom w:val="nil"/>
            </w:tcBorders>
          </w:tcPr>
          <w:p w:rsidR="00000000" w:rsidRDefault="00000000">
            <w:pPr>
              <w:spacing w:after="0"/>
              <w:ind w:right="113"/>
              <w:jc w:val="right"/>
              <w:rPr>
                <w:sz w:val="18"/>
              </w:rPr>
            </w:pPr>
            <w:r>
              <w:rPr>
                <w:sz w:val="18"/>
              </w:rPr>
              <w:t>3 084</w:t>
            </w:r>
          </w:p>
        </w:tc>
        <w:tc>
          <w:tcPr>
            <w:tcW w:w="773" w:type="dxa"/>
            <w:tcBorders>
              <w:bottom w:val="nil"/>
            </w:tcBorders>
          </w:tcPr>
          <w:p w:rsidR="00000000" w:rsidRDefault="00000000">
            <w:pPr>
              <w:spacing w:after="0"/>
              <w:ind w:right="113"/>
              <w:jc w:val="right"/>
              <w:rPr>
                <w:sz w:val="18"/>
              </w:rPr>
            </w:pPr>
            <w:r>
              <w:rPr>
                <w:sz w:val="18"/>
              </w:rPr>
              <w:t>4 778</w:t>
            </w:r>
          </w:p>
        </w:tc>
        <w:tc>
          <w:tcPr>
            <w:tcW w:w="774" w:type="dxa"/>
            <w:tcBorders>
              <w:bottom w:val="nil"/>
            </w:tcBorders>
          </w:tcPr>
          <w:p w:rsidR="00000000" w:rsidRDefault="00000000">
            <w:pPr>
              <w:spacing w:after="0"/>
              <w:ind w:right="113"/>
              <w:jc w:val="right"/>
              <w:rPr>
                <w:sz w:val="18"/>
              </w:rPr>
            </w:pPr>
            <w:r>
              <w:rPr>
                <w:sz w:val="18"/>
              </w:rPr>
              <w:t>6 406</w:t>
            </w:r>
          </w:p>
        </w:tc>
        <w:tc>
          <w:tcPr>
            <w:tcW w:w="773" w:type="dxa"/>
            <w:tcBorders>
              <w:bottom w:val="nil"/>
            </w:tcBorders>
          </w:tcPr>
          <w:p w:rsidR="00000000" w:rsidRDefault="00000000">
            <w:pPr>
              <w:spacing w:after="0"/>
              <w:ind w:right="113"/>
              <w:jc w:val="right"/>
              <w:rPr>
                <w:sz w:val="18"/>
              </w:rPr>
            </w:pPr>
            <w:r>
              <w:rPr>
                <w:sz w:val="18"/>
              </w:rPr>
              <w:t>8 638</w:t>
            </w:r>
          </w:p>
        </w:tc>
        <w:tc>
          <w:tcPr>
            <w:tcW w:w="774" w:type="dxa"/>
            <w:tcBorders>
              <w:bottom w:val="nil"/>
            </w:tcBorders>
          </w:tcPr>
          <w:p w:rsidR="00000000" w:rsidRDefault="00000000">
            <w:pPr>
              <w:spacing w:after="0"/>
              <w:ind w:right="113"/>
              <w:jc w:val="right"/>
              <w:rPr>
                <w:sz w:val="18"/>
              </w:rPr>
            </w:pPr>
            <w:r>
              <w:rPr>
                <w:sz w:val="18"/>
              </w:rPr>
              <w:t>9 558</w:t>
            </w:r>
          </w:p>
        </w:tc>
        <w:tc>
          <w:tcPr>
            <w:tcW w:w="773" w:type="dxa"/>
            <w:tcBorders>
              <w:bottom w:val="nil"/>
            </w:tcBorders>
          </w:tcPr>
          <w:p w:rsidR="00000000" w:rsidRDefault="00000000">
            <w:pPr>
              <w:spacing w:after="0"/>
              <w:ind w:right="113"/>
              <w:jc w:val="right"/>
              <w:rPr>
                <w:sz w:val="18"/>
              </w:rPr>
            </w:pPr>
            <w:r>
              <w:rPr>
                <w:sz w:val="18"/>
              </w:rPr>
              <w:t>11 509</w:t>
            </w:r>
          </w:p>
        </w:tc>
        <w:tc>
          <w:tcPr>
            <w:tcW w:w="774" w:type="dxa"/>
            <w:tcBorders>
              <w:bottom w:val="nil"/>
            </w:tcBorders>
          </w:tcPr>
          <w:p w:rsidR="00000000" w:rsidRDefault="00000000">
            <w:pPr>
              <w:spacing w:after="0"/>
              <w:ind w:right="113"/>
              <w:jc w:val="right"/>
              <w:rPr>
                <w:sz w:val="18"/>
              </w:rPr>
            </w:pPr>
            <w:r>
              <w:rPr>
                <w:sz w:val="18"/>
              </w:rPr>
              <w:t>12 708</w:t>
            </w:r>
          </w:p>
        </w:tc>
        <w:tc>
          <w:tcPr>
            <w:tcW w:w="773" w:type="dxa"/>
            <w:tcBorders>
              <w:bottom w:val="nil"/>
            </w:tcBorders>
          </w:tcPr>
          <w:p w:rsidR="00000000" w:rsidRDefault="00000000">
            <w:pPr>
              <w:spacing w:after="0"/>
              <w:ind w:right="113"/>
              <w:jc w:val="right"/>
              <w:rPr>
                <w:sz w:val="18"/>
              </w:rPr>
            </w:pPr>
            <w:r>
              <w:rPr>
                <w:sz w:val="18"/>
              </w:rPr>
              <w:t>24 437</w:t>
            </w:r>
          </w:p>
        </w:tc>
        <w:tc>
          <w:tcPr>
            <w:tcW w:w="774" w:type="dxa"/>
            <w:tcBorders>
              <w:bottom w:val="nil"/>
            </w:tcBorders>
          </w:tcPr>
          <w:p w:rsidR="00000000" w:rsidRDefault="00000000">
            <w:pPr>
              <w:spacing w:after="0"/>
              <w:ind w:right="113"/>
              <w:jc w:val="right"/>
              <w:rPr>
                <w:sz w:val="18"/>
              </w:rPr>
            </w:pPr>
            <w:r>
              <w:rPr>
                <w:sz w:val="18"/>
              </w:rPr>
              <w:t>29 043</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rPr>
                <w:sz w:val="18"/>
              </w:rPr>
            </w:pPr>
            <w:r>
              <w:rPr>
                <w:sz w:val="18"/>
              </w:rPr>
              <w:t xml:space="preserve">  Managers</w:t>
            </w:r>
          </w:p>
        </w:tc>
        <w:tc>
          <w:tcPr>
            <w:tcW w:w="773" w:type="dxa"/>
            <w:tcBorders>
              <w:top w:val="nil"/>
              <w:bottom w:val="nil"/>
            </w:tcBorders>
          </w:tcPr>
          <w:p w:rsidR="00000000" w:rsidRDefault="00000000">
            <w:pPr>
              <w:spacing w:after="0"/>
              <w:ind w:right="113"/>
              <w:jc w:val="right"/>
              <w:rPr>
                <w:sz w:val="18"/>
              </w:rPr>
            </w:pPr>
            <w:r>
              <w:rPr>
                <w:sz w:val="18"/>
              </w:rPr>
              <w:t>4 595</w:t>
            </w:r>
          </w:p>
        </w:tc>
        <w:tc>
          <w:tcPr>
            <w:tcW w:w="773" w:type="dxa"/>
            <w:tcBorders>
              <w:top w:val="nil"/>
              <w:bottom w:val="nil"/>
            </w:tcBorders>
          </w:tcPr>
          <w:p w:rsidR="00000000" w:rsidRDefault="00000000">
            <w:pPr>
              <w:spacing w:after="0"/>
              <w:ind w:right="113"/>
              <w:jc w:val="right"/>
              <w:rPr>
                <w:sz w:val="18"/>
              </w:rPr>
            </w:pPr>
            <w:r>
              <w:rPr>
                <w:sz w:val="18"/>
              </w:rPr>
              <w:t>7 503</w:t>
            </w:r>
          </w:p>
        </w:tc>
        <w:tc>
          <w:tcPr>
            <w:tcW w:w="774" w:type="dxa"/>
            <w:tcBorders>
              <w:top w:val="nil"/>
              <w:bottom w:val="nil"/>
            </w:tcBorders>
          </w:tcPr>
          <w:p w:rsidR="00000000" w:rsidRDefault="00000000">
            <w:pPr>
              <w:spacing w:after="0"/>
              <w:ind w:right="113"/>
              <w:jc w:val="right"/>
              <w:rPr>
                <w:sz w:val="18"/>
              </w:rPr>
            </w:pPr>
            <w:r>
              <w:rPr>
                <w:sz w:val="18"/>
              </w:rPr>
              <w:t>10 105</w:t>
            </w:r>
          </w:p>
        </w:tc>
        <w:tc>
          <w:tcPr>
            <w:tcW w:w="773" w:type="dxa"/>
            <w:tcBorders>
              <w:top w:val="nil"/>
              <w:bottom w:val="nil"/>
            </w:tcBorders>
          </w:tcPr>
          <w:p w:rsidR="00000000" w:rsidRDefault="00000000">
            <w:pPr>
              <w:spacing w:after="0"/>
              <w:ind w:right="113"/>
              <w:jc w:val="right"/>
              <w:rPr>
                <w:sz w:val="18"/>
              </w:rPr>
            </w:pPr>
            <w:r>
              <w:rPr>
                <w:sz w:val="18"/>
              </w:rPr>
              <w:t>14 067</w:t>
            </w:r>
          </w:p>
        </w:tc>
        <w:tc>
          <w:tcPr>
            <w:tcW w:w="774" w:type="dxa"/>
            <w:tcBorders>
              <w:top w:val="nil"/>
              <w:bottom w:val="nil"/>
            </w:tcBorders>
          </w:tcPr>
          <w:p w:rsidR="00000000" w:rsidRDefault="00000000">
            <w:pPr>
              <w:spacing w:after="0"/>
              <w:ind w:right="113"/>
              <w:jc w:val="right"/>
              <w:rPr>
                <w:sz w:val="18"/>
              </w:rPr>
            </w:pPr>
            <w:r>
              <w:rPr>
                <w:sz w:val="18"/>
              </w:rPr>
              <w:t>16 129</w:t>
            </w:r>
          </w:p>
        </w:tc>
        <w:tc>
          <w:tcPr>
            <w:tcW w:w="773" w:type="dxa"/>
            <w:tcBorders>
              <w:top w:val="nil"/>
              <w:bottom w:val="nil"/>
            </w:tcBorders>
          </w:tcPr>
          <w:p w:rsidR="00000000" w:rsidRDefault="00000000">
            <w:pPr>
              <w:spacing w:after="0"/>
              <w:ind w:right="113"/>
              <w:jc w:val="right"/>
              <w:rPr>
                <w:sz w:val="18"/>
              </w:rPr>
            </w:pPr>
            <w:r>
              <w:rPr>
                <w:sz w:val="18"/>
              </w:rPr>
              <w:t>19 450</w:t>
            </w:r>
          </w:p>
        </w:tc>
        <w:tc>
          <w:tcPr>
            <w:tcW w:w="774" w:type="dxa"/>
            <w:tcBorders>
              <w:top w:val="nil"/>
              <w:bottom w:val="nil"/>
            </w:tcBorders>
          </w:tcPr>
          <w:p w:rsidR="00000000" w:rsidRDefault="00000000">
            <w:pPr>
              <w:spacing w:after="0"/>
              <w:ind w:right="113"/>
              <w:jc w:val="right"/>
              <w:rPr>
                <w:sz w:val="18"/>
              </w:rPr>
            </w:pPr>
            <w:r>
              <w:rPr>
                <w:sz w:val="18"/>
              </w:rPr>
              <w:t>22 750</w:t>
            </w:r>
          </w:p>
        </w:tc>
        <w:tc>
          <w:tcPr>
            <w:tcW w:w="773" w:type="dxa"/>
            <w:tcBorders>
              <w:top w:val="nil"/>
              <w:bottom w:val="nil"/>
            </w:tcBorders>
          </w:tcPr>
          <w:p w:rsidR="00000000" w:rsidRDefault="00000000">
            <w:pPr>
              <w:spacing w:after="0"/>
              <w:ind w:right="113"/>
              <w:jc w:val="right"/>
              <w:rPr>
                <w:sz w:val="18"/>
              </w:rPr>
            </w:pPr>
            <w:r>
              <w:rPr>
                <w:sz w:val="18"/>
              </w:rPr>
              <w:t>24 437</w:t>
            </w:r>
          </w:p>
        </w:tc>
        <w:tc>
          <w:tcPr>
            <w:tcW w:w="774" w:type="dxa"/>
            <w:tcBorders>
              <w:top w:val="nil"/>
              <w:bottom w:val="nil"/>
            </w:tcBorders>
          </w:tcPr>
          <w:p w:rsidR="00000000" w:rsidRDefault="00000000">
            <w:pPr>
              <w:spacing w:after="0"/>
              <w:ind w:right="113"/>
              <w:jc w:val="right"/>
              <w:rPr>
                <w:sz w:val="18"/>
              </w:rPr>
            </w:pPr>
            <w:r>
              <w:rPr>
                <w:sz w:val="18"/>
              </w:rPr>
              <w:t>29 043</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rPr>
                <w:sz w:val="18"/>
              </w:rPr>
            </w:pPr>
            <w:r>
              <w:rPr>
                <w:sz w:val="18"/>
              </w:rPr>
              <w:t xml:space="preserve">  Professionals</w:t>
            </w:r>
          </w:p>
        </w:tc>
        <w:tc>
          <w:tcPr>
            <w:tcW w:w="773" w:type="dxa"/>
            <w:tcBorders>
              <w:top w:val="nil"/>
              <w:bottom w:val="nil"/>
            </w:tcBorders>
          </w:tcPr>
          <w:p w:rsidR="00000000" w:rsidRDefault="00000000">
            <w:pPr>
              <w:spacing w:after="0"/>
              <w:ind w:right="113"/>
              <w:jc w:val="right"/>
              <w:rPr>
                <w:sz w:val="18"/>
              </w:rPr>
            </w:pPr>
            <w:r>
              <w:rPr>
                <w:sz w:val="18"/>
              </w:rPr>
              <w:t>3 447</w:t>
            </w:r>
          </w:p>
        </w:tc>
        <w:tc>
          <w:tcPr>
            <w:tcW w:w="773" w:type="dxa"/>
            <w:tcBorders>
              <w:top w:val="nil"/>
              <w:bottom w:val="nil"/>
            </w:tcBorders>
          </w:tcPr>
          <w:p w:rsidR="00000000" w:rsidRDefault="00000000">
            <w:pPr>
              <w:spacing w:after="0"/>
              <w:ind w:right="113"/>
              <w:jc w:val="right"/>
              <w:rPr>
                <w:sz w:val="18"/>
              </w:rPr>
            </w:pPr>
            <w:r>
              <w:rPr>
                <w:sz w:val="18"/>
              </w:rPr>
              <w:t>5 334</w:t>
            </w:r>
          </w:p>
        </w:tc>
        <w:tc>
          <w:tcPr>
            <w:tcW w:w="774" w:type="dxa"/>
            <w:tcBorders>
              <w:top w:val="nil"/>
              <w:bottom w:val="nil"/>
            </w:tcBorders>
          </w:tcPr>
          <w:p w:rsidR="00000000" w:rsidRDefault="00000000">
            <w:pPr>
              <w:spacing w:after="0"/>
              <w:ind w:right="113"/>
              <w:jc w:val="right"/>
              <w:rPr>
                <w:sz w:val="18"/>
              </w:rPr>
            </w:pPr>
            <w:r>
              <w:rPr>
                <w:sz w:val="18"/>
              </w:rPr>
              <w:t>7 747</w:t>
            </w:r>
          </w:p>
        </w:tc>
        <w:tc>
          <w:tcPr>
            <w:tcW w:w="773" w:type="dxa"/>
            <w:tcBorders>
              <w:top w:val="nil"/>
              <w:bottom w:val="nil"/>
            </w:tcBorders>
          </w:tcPr>
          <w:p w:rsidR="00000000" w:rsidRDefault="00000000">
            <w:pPr>
              <w:spacing w:after="0"/>
              <w:ind w:right="113"/>
              <w:jc w:val="right"/>
              <w:rPr>
                <w:sz w:val="18"/>
              </w:rPr>
            </w:pPr>
            <w:r>
              <w:rPr>
                <w:sz w:val="18"/>
              </w:rPr>
              <w:t>10 158</w:t>
            </w:r>
          </w:p>
        </w:tc>
        <w:tc>
          <w:tcPr>
            <w:tcW w:w="774" w:type="dxa"/>
            <w:tcBorders>
              <w:top w:val="nil"/>
              <w:bottom w:val="nil"/>
            </w:tcBorders>
          </w:tcPr>
          <w:p w:rsidR="00000000" w:rsidRDefault="00000000">
            <w:pPr>
              <w:spacing w:after="0"/>
              <w:ind w:right="113"/>
              <w:jc w:val="right"/>
              <w:rPr>
                <w:sz w:val="18"/>
              </w:rPr>
            </w:pPr>
            <w:r>
              <w:rPr>
                <w:sz w:val="18"/>
              </w:rPr>
              <w:t>11 554</w:t>
            </w:r>
          </w:p>
        </w:tc>
        <w:tc>
          <w:tcPr>
            <w:tcW w:w="773" w:type="dxa"/>
            <w:tcBorders>
              <w:top w:val="nil"/>
              <w:bottom w:val="nil"/>
            </w:tcBorders>
          </w:tcPr>
          <w:p w:rsidR="00000000" w:rsidRDefault="00000000">
            <w:pPr>
              <w:spacing w:after="0"/>
              <w:ind w:right="113"/>
              <w:jc w:val="right"/>
              <w:rPr>
                <w:sz w:val="18"/>
              </w:rPr>
            </w:pPr>
            <w:r>
              <w:rPr>
                <w:sz w:val="18"/>
              </w:rPr>
              <w:t>13 877</w:t>
            </w:r>
          </w:p>
        </w:tc>
        <w:tc>
          <w:tcPr>
            <w:tcW w:w="774" w:type="dxa"/>
            <w:tcBorders>
              <w:top w:val="nil"/>
              <w:bottom w:val="nil"/>
            </w:tcBorders>
          </w:tcPr>
          <w:p w:rsidR="00000000" w:rsidRDefault="00000000">
            <w:pPr>
              <w:spacing w:after="0"/>
              <w:ind w:right="113"/>
              <w:jc w:val="right"/>
              <w:rPr>
                <w:sz w:val="18"/>
              </w:rPr>
            </w:pPr>
            <w:r>
              <w:rPr>
                <w:sz w:val="18"/>
              </w:rPr>
              <w:t>15 913</w:t>
            </w:r>
          </w:p>
        </w:tc>
        <w:tc>
          <w:tcPr>
            <w:tcW w:w="773" w:type="dxa"/>
            <w:tcBorders>
              <w:top w:val="nil"/>
              <w:bottom w:val="nil"/>
            </w:tcBorders>
          </w:tcPr>
          <w:p w:rsidR="00000000" w:rsidRDefault="00000000">
            <w:pPr>
              <w:spacing w:after="0"/>
              <w:ind w:right="113"/>
              <w:jc w:val="right"/>
              <w:rPr>
                <w:sz w:val="18"/>
              </w:rPr>
            </w:pPr>
            <w:r>
              <w:rPr>
                <w:sz w:val="18"/>
              </w:rPr>
              <w:t>18 159</w:t>
            </w:r>
          </w:p>
        </w:tc>
        <w:tc>
          <w:tcPr>
            <w:tcW w:w="774" w:type="dxa"/>
            <w:tcBorders>
              <w:top w:val="nil"/>
              <w:bottom w:val="nil"/>
            </w:tcBorders>
          </w:tcPr>
          <w:p w:rsidR="00000000" w:rsidRDefault="00000000">
            <w:pPr>
              <w:spacing w:after="0"/>
              <w:ind w:right="113"/>
              <w:jc w:val="right"/>
              <w:rPr>
                <w:sz w:val="18"/>
              </w:rPr>
            </w:pPr>
            <w:r>
              <w:rPr>
                <w:sz w:val="18"/>
              </w:rPr>
              <w:t>20 217</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rPr>
                <w:sz w:val="18"/>
              </w:rPr>
            </w:pPr>
            <w:r>
              <w:rPr>
                <w:sz w:val="18"/>
              </w:rPr>
              <w:t xml:space="preserve">  Technicians</w:t>
            </w:r>
          </w:p>
        </w:tc>
        <w:tc>
          <w:tcPr>
            <w:tcW w:w="773" w:type="dxa"/>
            <w:tcBorders>
              <w:top w:val="nil"/>
              <w:bottom w:val="nil"/>
            </w:tcBorders>
          </w:tcPr>
          <w:p w:rsidR="00000000" w:rsidRDefault="00000000">
            <w:pPr>
              <w:spacing w:after="0"/>
              <w:ind w:right="113"/>
              <w:jc w:val="right"/>
              <w:rPr>
                <w:sz w:val="18"/>
              </w:rPr>
            </w:pPr>
            <w:r>
              <w:rPr>
                <w:sz w:val="18"/>
              </w:rPr>
              <w:t>3 044</w:t>
            </w:r>
          </w:p>
        </w:tc>
        <w:tc>
          <w:tcPr>
            <w:tcW w:w="773" w:type="dxa"/>
            <w:tcBorders>
              <w:top w:val="nil"/>
              <w:bottom w:val="nil"/>
            </w:tcBorders>
          </w:tcPr>
          <w:p w:rsidR="00000000" w:rsidRDefault="00000000">
            <w:pPr>
              <w:spacing w:after="0"/>
              <w:ind w:right="113"/>
              <w:jc w:val="right"/>
              <w:rPr>
                <w:sz w:val="18"/>
              </w:rPr>
            </w:pPr>
            <w:r>
              <w:rPr>
                <w:sz w:val="18"/>
              </w:rPr>
              <w:t>4 756</w:t>
            </w:r>
          </w:p>
        </w:tc>
        <w:tc>
          <w:tcPr>
            <w:tcW w:w="774" w:type="dxa"/>
            <w:tcBorders>
              <w:top w:val="nil"/>
              <w:bottom w:val="nil"/>
            </w:tcBorders>
          </w:tcPr>
          <w:p w:rsidR="00000000" w:rsidRDefault="00000000">
            <w:pPr>
              <w:spacing w:after="0"/>
              <w:ind w:right="113"/>
              <w:jc w:val="right"/>
              <w:rPr>
                <w:sz w:val="18"/>
              </w:rPr>
            </w:pPr>
            <w:r>
              <w:rPr>
                <w:sz w:val="18"/>
              </w:rPr>
              <w:t>6 286</w:t>
            </w:r>
          </w:p>
        </w:tc>
        <w:tc>
          <w:tcPr>
            <w:tcW w:w="773" w:type="dxa"/>
            <w:tcBorders>
              <w:top w:val="nil"/>
              <w:bottom w:val="nil"/>
            </w:tcBorders>
          </w:tcPr>
          <w:p w:rsidR="00000000" w:rsidRDefault="00000000">
            <w:pPr>
              <w:spacing w:after="0"/>
              <w:ind w:right="113"/>
              <w:jc w:val="right"/>
              <w:rPr>
                <w:sz w:val="18"/>
              </w:rPr>
            </w:pPr>
            <w:r>
              <w:rPr>
                <w:sz w:val="18"/>
              </w:rPr>
              <w:t>8 237</w:t>
            </w:r>
          </w:p>
        </w:tc>
        <w:tc>
          <w:tcPr>
            <w:tcW w:w="774" w:type="dxa"/>
            <w:tcBorders>
              <w:top w:val="nil"/>
              <w:bottom w:val="nil"/>
            </w:tcBorders>
          </w:tcPr>
          <w:p w:rsidR="00000000" w:rsidRDefault="00000000">
            <w:pPr>
              <w:spacing w:after="0"/>
              <w:ind w:right="113"/>
              <w:jc w:val="right"/>
              <w:rPr>
                <w:sz w:val="18"/>
              </w:rPr>
            </w:pPr>
            <w:r>
              <w:rPr>
                <w:sz w:val="18"/>
              </w:rPr>
              <w:t>8 440</w:t>
            </w:r>
          </w:p>
        </w:tc>
        <w:tc>
          <w:tcPr>
            <w:tcW w:w="773" w:type="dxa"/>
            <w:tcBorders>
              <w:top w:val="nil"/>
              <w:bottom w:val="nil"/>
            </w:tcBorders>
          </w:tcPr>
          <w:p w:rsidR="00000000" w:rsidRDefault="00000000">
            <w:pPr>
              <w:spacing w:after="0"/>
              <w:ind w:right="113"/>
              <w:jc w:val="right"/>
              <w:rPr>
                <w:sz w:val="18"/>
              </w:rPr>
            </w:pPr>
            <w:r>
              <w:rPr>
                <w:sz w:val="18"/>
              </w:rPr>
              <w:t>9 411</w:t>
            </w:r>
          </w:p>
        </w:tc>
        <w:tc>
          <w:tcPr>
            <w:tcW w:w="774" w:type="dxa"/>
            <w:tcBorders>
              <w:top w:val="nil"/>
              <w:bottom w:val="nil"/>
            </w:tcBorders>
          </w:tcPr>
          <w:p w:rsidR="00000000" w:rsidRDefault="00000000">
            <w:pPr>
              <w:spacing w:after="0"/>
              <w:ind w:right="113"/>
              <w:jc w:val="right"/>
              <w:rPr>
                <w:sz w:val="18"/>
              </w:rPr>
            </w:pPr>
            <w:r>
              <w:rPr>
                <w:sz w:val="18"/>
              </w:rPr>
              <w:t>11 951</w:t>
            </w:r>
          </w:p>
        </w:tc>
        <w:tc>
          <w:tcPr>
            <w:tcW w:w="773" w:type="dxa"/>
            <w:tcBorders>
              <w:top w:val="nil"/>
              <w:bottom w:val="nil"/>
            </w:tcBorders>
          </w:tcPr>
          <w:p w:rsidR="00000000" w:rsidRDefault="00000000">
            <w:pPr>
              <w:spacing w:after="0"/>
              <w:ind w:right="113"/>
              <w:jc w:val="right"/>
              <w:rPr>
                <w:sz w:val="18"/>
              </w:rPr>
            </w:pPr>
            <w:r>
              <w:rPr>
                <w:sz w:val="18"/>
              </w:rPr>
              <w:t>13 482</w:t>
            </w:r>
          </w:p>
        </w:tc>
        <w:tc>
          <w:tcPr>
            <w:tcW w:w="774" w:type="dxa"/>
            <w:tcBorders>
              <w:top w:val="nil"/>
              <w:bottom w:val="nil"/>
            </w:tcBorders>
          </w:tcPr>
          <w:p w:rsidR="00000000" w:rsidRDefault="00000000">
            <w:pPr>
              <w:spacing w:after="0"/>
              <w:ind w:right="113"/>
              <w:jc w:val="right"/>
              <w:rPr>
                <w:sz w:val="18"/>
              </w:rPr>
            </w:pPr>
            <w:r>
              <w:rPr>
                <w:sz w:val="18"/>
              </w:rPr>
              <w:t>16 310</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rPr>
                <w:sz w:val="18"/>
              </w:rPr>
            </w:pPr>
            <w:r>
              <w:rPr>
                <w:sz w:val="18"/>
              </w:rPr>
              <w:t xml:space="preserve">  Clerks</w:t>
            </w:r>
          </w:p>
        </w:tc>
        <w:tc>
          <w:tcPr>
            <w:tcW w:w="773" w:type="dxa"/>
            <w:tcBorders>
              <w:top w:val="nil"/>
              <w:bottom w:val="nil"/>
            </w:tcBorders>
          </w:tcPr>
          <w:p w:rsidR="00000000" w:rsidRDefault="00000000">
            <w:pPr>
              <w:spacing w:after="0"/>
              <w:ind w:right="113"/>
              <w:jc w:val="right"/>
              <w:rPr>
                <w:sz w:val="18"/>
              </w:rPr>
            </w:pPr>
            <w:r>
              <w:rPr>
                <w:sz w:val="18"/>
              </w:rPr>
              <w:t>2 905</w:t>
            </w:r>
          </w:p>
        </w:tc>
        <w:tc>
          <w:tcPr>
            <w:tcW w:w="773" w:type="dxa"/>
            <w:tcBorders>
              <w:top w:val="nil"/>
              <w:bottom w:val="nil"/>
            </w:tcBorders>
          </w:tcPr>
          <w:p w:rsidR="00000000" w:rsidRDefault="00000000">
            <w:pPr>
              <w:spacing w:after="0"/>
              <w:ind w:right="113"/>
              <w:jc w:val="right"/>
              <w:rPr>
                <w:sz w:val="18"/>
              </w:rPr>
            </w:pPr>
            <w:r>
              <w:rPr>
                <w:sz w:val="18"/>
              </w:rPr>
              <w:t>4 674</w:t>
            </w:r>
          </w:p>
        </w:tc>
        <w:tc>
          <w:tcPr>
            <w:tcW w:w="774" w:type="dxa"/>
            <w:tcBorders>
              <w:top w:val="nil"/>
              <w:bottom w:val="nil"/>
            </w:tcBorders>
          </w:tcPr>
          <w:p w:rsidR="00000000" w:rsidRDefault="00000000">
            <w:pPr>
              <w:spacing w:after="0"/>
              <w:ind w:right="113"/>
              <w:jc w:val="right"/>
              <w:rPr>
                <w:sz w:val="18"/>
              </w:rPr>
            </w:pPr>
            <w:r>
              <w:rPr>
                <w:sz w:val="18"/>
              </w:rPr>
              <w:t>6 116</w:t>
            </w:r>
          </w:p>
        </w:tc>
        <w:tc>
          <w:tcPr>
            <w:tcW w:w="773" w:type="dxa"/>
            <w:tcBorders>
              <w:top w:val="nil"/>
              <w:bottom w:val="nil"/>
            </w:tcBorders>
          </w:tcPr>
          <w:p w:rsidR="00000000" w:rsidRDefault="00000000">
            <w:pPr>
              <w:spacing w:after="0"/>
              <w:ind w:right="113"/>
              <w:jc w:val="right"/>
              <w:rPr>
                <w:sz w:val="18"/>
              </w:rPr>
            </w:pPr>
            <w:r>
              <w:rPr>
                <w:sz w:val="18"/>
              </w:rPr>
              <w:t>7 645</w:t>
            </w:r>
          </w:p>
        </w:tc>
        <w:tc>
          <w:tcPr>
            <w:tcW w:w="774" w:type="dxa"/>
            <w:tcBorders>
              <w:top w:val="nil"/>
              <w:bottom w:val="nil"/>
            </w:tcBorders>
          </w:tcPr>
          <w:p w:rsidR="00000000" w:rsidRDefault="00000000">
            <w:pPr>
              <w:spacing w:after="0"/>
              <w:ind w:right="113"/>
              <w:jc w:val="right"/>
              <w:rPr>
                <w:sz w:val="18"/>
              </w:rPr>
            </w:pPr>
            <w:r>
              <w:rPr>
                <w:sz w:val="18"/>
              </w:rPr>
              <w:t>8 483</w:t>
            </w:r>
          </w:p>
        </w:tc>
        <w:tc>
          <w:tcPr>
            <w:tcW w:w="773" w:type="dxa"/>
            <w:tcBorders>
              <w:top w:val="nil"/>
              <w:bottom w:val="nil"/>
            </w:tcBorders>
          </w:tcPr>
          <w:p w:rsidR="00000000" w:rsidRDefault="00000000">
            <w:pPr>
              <w:spacing w:after="0"/>
              <w:ind w:right="113"/>
              <w:jc w:val="right"/>
              <w:rPr>
                <w:sz w:val="18"/>
              </w:rPr>
            </w:pPr>
            <w:r>
              <w:rPr>
                <w:sz w:val="18"/>
              </w:rPr>
              <w:t>9 603</w:t>
            </w:r>
          </w:p>
        </w:tc>
        <w:tc>
          <w:tcPr>
            <w:tcW w:w="774" w:type="dxa"/>
            <w:tcBorders>
              <w:top w:val="nil"/>
              <w:bottom w:val="nil"/>
            </w:tcBorders>
          </w:tcPr>
          <w:p w:rsidR="00000000" w:rsidRDefault="00000000">
            <w:pPr>
              <w:spacing w:after="0"/>
              <w:ind w:right="113"/>
              <w:jc w:val="right"/>
              <w:rPr>
                <w:sz w:val="18"/>
              </w:rPr>
            </w:pPr>
            <w:r>
              <w:rPr>
                <w:sz w:val="18"/>
              </w:rPr>
              <w:t>12 829</w:t>
            </w:r>
          </w:p>
        </w:tc>
        <w:tc>
          <w:tcPr>
            <w:tcW w:w="773" w:type="dxa"/>
            <w:tcBorders>
              <w:top w:val="nil"/>
              <w:bottom w:val="nil"/>
            </w:tcBorders>
          </w:tcPr>
          <w:p w:rsidR="00000000" w:rsidRDefault="00000000">
            <w:pPr>
              <w:spacing w:after="0"/>
              <w:ind w:right="113"/>
              <w:jc w:val="right"/>
              <w:rPr>
                <w:sz w:val="18"/>
              </w:rPr>
            </w:pPr>
            <w:r>
              <w:rPr>
                <w:sz w:val="18"/>
              </w:rPr>
              <w:t>14 415</w:t>
            </w:r>
          </w:p>
        </w:tc>
        <w:tc>
          <w:tcPr>
            <w:tcW w:w="774" w:type="dxa"/>
            <w:tcBorders>
              <w:top w:val="nil"/>
              <w:bottom w:val="nil"/>
            </w:tcBorders>
          </w:tcPr>
          <w:p w:rsidR="00000000" w:rsidRDefault="00000000">
            <w:pPr>
              <w:spacing w:after="0"/>
              <w:ind w:right="113"/>
              <w:jc w:val="right"/>
              <w:rPr>
                <w:sz w:val="18"/>
              </w:rPr>
            </w:pPr>
            <w:r>
              <w:rPr>
                <w:sz w:val="18"/>
              </w:rPr>
              <w:t>15 637</w:t>
            </w:r>
          </w:p>
        </w:tc>
      </w:tr>
      <w:tr w:rsidR="00000000">
        <w:tblPrEx>
          <w:tblCellMar>
            <w:top w:w="0" w:type="dxa"/>
            <w:bottom w:w="0" w:type="dxa"/>
          </w:tblCellMar>
        </w:tblPrEx>
        <w:trPr>
          <w:jc w:val="center"/>
        </w:trPr>
        <w:tc>
          <w:tcPr>
            <w:tcW w:w="2410" w:type="dxa"/>
            <w:tcBorders>
              <w:top w:val="nil"/>
            </w:tcBorders>
          </w:tcPr>
          <w:p w:rsidR="00000000" w:rsidRDefault="00000000">
            <w:pPr>
              <w:spacing w:after="0"/>
              <w:rPr>
                <w:sz w:val="18"/>
              </w:rPr>
            </w:pPr>
            <w:r>
              <w:rPr>
                <w:sz w:val="18"/>
              </w:rPr>
              <w:t xml:space="preserve">  Workers</w:t>
            </w:r>
          </w:p>
        </w:tc>
        <w:tc>
          <w:tcPr>
            <w:tcW w:w="773" w:type="dxa"/>
            <w:tcBorders>
              <w:top w:val="nil"/>
            </w:tcBorders>
          </w:tcPr>
          <w:p w:rsidR="00000000" w:rsidRDefault="00000000">
            <w:pPr>
              <w:spacing w:after="0"/>
              <w:ind w:right="113"/>
              <w:jc w:val="right"/>
              <w:rPr>
                <w:sz w:val="18"/>
              </w:rPr>
            </w:pPr>
            <w:r>
              <w:rPr>
                <w:sz w:val="18"/>
              </w:rPr>
              <w:t>2 833</w:t>
            </w:r>
          </w:p>
        </w:tc>
        <w:tc>
          <w:tcPr>
            <w:tcW w:w="773" w:type="dxa"/>
            <w:tcBorders>
              <w:top w:val="nil"/>
            </w:tcBorders>
          </w:tcPr>
          <w:p w:rsidR="00000000" w:rsidRDefault="00000000">
            <w:pPr>
              <w:spacing w:after="0"/>
              <w:ind w:right="113"/>
              <w:jc w:val="right"/>
              <w:rPr>
                <w:sz w:val="18"/>
              </w:rPr>
            </w:pPr>
            <w:r>
              <w:rPr>
                <w:sz w:val="18"/>
              </w:rPr>
              <w:t>4 215</w:t>
            </w:r>
          </w:p>
        </w:tc>
        <w:tc>
          <w:tcPr>
            <w:tcW w:w="774" w:type="dxa"/>
            <w:tcBorders>
              <w:top w:val="nil"/>
            </w:tcBorders>
          </w:tcPr>
          <w:p w:rsidR="00000000" w:rsidRDefault="00000000">
            <w:pPr>
              <w:spacing w:after="0"/>
              <w:ind w:right="113"/>
              <w:jc w:val="right"/>
              <w:rPr>
                <w:sz w:val="18"/>
              </w:rPr>
            </w:pPr>
            <w:r>
              <w:rPr>
                <w:sz w:val="18"/>
              </w:rPr>
              <w:t>5 701</w:t>
            </w:r>
          </w:p>
        </w:tc>
        <w:tc>
          <w:tcPr>
            <w:tcW w:w="773" w:type="dxa"/>
            <w:tcBorders>
              <w:top w:val="nil"/>
            </w:tcBorders>
          </w:tcPr>
          <w:p w:rsidR="00000000" w:rsidRDefault="00000000">
            <w:pPr>
              <w:spacing w:after="0"/>
              <w:ind w:right="113"/>
              <w:jc w:val="right"/>
              <w:rPr>
                <w:sz w:val="18"/>
              </w:rPr>
            </w:pPr>
            <w:r>
              <w:rPr>
                <w:sz w:val="18"/>
              </w:rPr>
              <w:t>7 242</w:t>
            </w:r>
          </w:p>
        </w:tc>
        <w:tc>
          <w:tcPr>
            <w:tcW w:w="774" w:type="dxa"/>
            <w:tcBorders>
              <w:top w:val="nil"/>
            </w:tcBorders>
          </w:tcPr>
          <w:p w:rsidR="00000000" w:rsidRDefault="00000000">
            <w:pPr>
              <w:spacing w:after="0"/>
              <w:ind w:right="113"/>
              <w:jc w:val="right"/>
              <w:rPr>
                <w:sz w:val="18"/>
              </w:rPr>
            </w:pPr>
            <w:r>
              <w:rPr>
                <w:sz w:val="18"/>
              </w:rPr>
              <w:t>7 974</w:t>
            </w:r>
          </w:p>
        </w:tc>
        <w:tc>
          <w:tcPr>
            <w:tcW w:w="773" w:type="dxa"/>
            <w:tcBorders>
              <w:top w:val="nil"/>
            </w:tcBorders>
          </w:tcPr>
          <w:p w:rsidR="00000000" w:rsidRDefault="00000000">
            <w:pPr>
              <w:spacing w:after="0"/>
              <w:ind w:right="113"/>
              <w:jc w:val="right"/>
              <w:rPr>
                <w:sz w:val="18"/>
              </w:rPr>
            </w:pPr>
            <w:r>
              <w:rPr>
                <w:sz w:val="18"/>
              </w:rPr>
              <w:t>9 119</w:t>
            </w:r>
          </w:p>
        </w:tc>
        <w:tc>
          <w:tcPr>
            <w:tcW w:w="774" w:type="dxa"/>
            <w:tcBorders>
              <w:top w:val="nil"/>
            </w:tcBorders>
          </w:tcPr>
          <w:p w:rsidR="00000000" w:rsidRDefault="00000000">
            <w:pPr>
              <w:spacing w:after="0"/>
              <w:ind w:right="113"/>
              <w:jc w:val="right"/>
              <w:rPr>
                <w:sz w:val="18"/>
              </w:rPr>
            </w:pPr>
            <w:r>
              <w:rPr>
                <w:sz w:val="18"/>
              </w:rPr>
              <w:t>8 605</w:t>
            </w:r>
          </w:p>
        </w:tc>
        <w:tc>
          <w:tcPr>
            <w:tcW w:w="773" w:type="dxa"/>
            <w:tcBorders>
              <w:top w:val="nil"/>
            </w:tcBorders>
          </w:tcPr>
          <w:p w:rsidR="00000000" w:rsidRDefault="00000000">
            <w:pPr>
              <w:spacing w:after="0"/>
              <w:ind w:right="113"/>
              <w:jc w:val="right"/>
              <w:rPr>
                <w:sz w:val="18"/>
              </w:rPr>
            </w:pPr>
            <w:r>
              <w:rPr>
                <w:sz w:val="18"/>
              </w:rPr>
              <w:t>12 394</w:t>
            </w:r>
          </w:p>
        </w:tc>
        <w:tc>
          <w:tcPr>
            <w:tcW w:w="774" w:type="dxa"/>
            <w:tcBorders>
              <w:top w:val="nil"/>
            </w:tcBorders>
          </w:tcPr>
          <w:p w:rsidR="00000000" w:rsidRDefault="00000000">
            <w:pPr>
              <w:spacing w:after="0"/>
              <w:ind w:right="113"/>
              <w:jc w:val="right"/>
              <w:rPr>
                <w:sz w:val="18"/>
              </w:rPr>
            </w:pPr>
            <w:r>
              <w:rPr>
                <w:sz w:val="18"/>
              </w:rPr>
              <w:t>13 846</w:t>
            </w:r>
          </w:p>
        </w:tc>
      </w:tr>
    </w:tbl>
    <w:p w:rsidR="00000000" w:rsidRDefault="00000000">
      <w:pPr>
        <w:spacing w:before="240"/>
      </w:pPr>
      <w:r>
        <w:rPr>
          <w:i/>
          <w:iCs/>
          <w:sz w:val="20"/>
        </w:rPr>
        <w:tab/>
      </w:r>
      <w:r>
        <w:rPr>
          <w:i/>
          <w:iCs/>
        </w:rPr>
        <w:t>Source</w:t>
      </w:r>
      <w:r>
        <w:t xml:space="preserve">:  </w:t>
      </w:r>
      <w:r>
        <w:rPr>
          <w:i/>
        </w:rPr>
        <w:t>Statistical Yearbook, 1993-2001</w:t>
      </w:r>
      <w:r>
        <w:t>.</w:t>
      </w:r>
    </w:p>
    <w:p w:rsidR="00000000" w:rsidRDefault="00000000">
      <w:pPr>
        <w:pStyle w:val="Heading2"/>
        <w:spacing w:before="120"/>
      </w:pPr>
      <w:r>
        <w:t>Table 6</w:t>
      </w:r>
    </w:p>
    <w:p w:rsidR="00000000" w:rsidRDefault="00000000">
      <w:pPr>
        <w:pStyle w:val="Heading2"/>
      </w:pPr>
      <w:r>
        <w:t xml:space="preserve">Average monthly wage and salary per employee </w:t>
      </w:r>
      <w:r>
        <w:br/>
        <w:t>(Public and private sector 1997, 1998) (in leks)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5"/>
        <w:gridCol w:w="1949"/>
        <w:gridCol w:w="1949"/>
      </w:tblGrid>
      <w:tr w:rsidR="00000000">
        <w:tblPrEx>
          <w:tblCellMar>
            <w:top w:w="0" w:type="dxa"/>
            <w:bottom w:w="0" w:type="dxa"/>
          </w:tblCellMar>
        </w:tblPrEx>
        <w:trPr>
          <w:cantSplit/>
          <w:jc w:val="center"/>
        </w:trPr>
        <w:tc>
          <w:tcPr>
            <w:tcW w:w="3615" w:type="dxa"/>
            <w:vMerge w:val="restart"/>
            <w:vAlign w:val="center"/>
          </w:tcPr>
          <w:p w:rsidR="00000000" w:rsidRDefault="00000000">
            <w:pPr>
              <w:spacing w:after="0"/>
              <w:jc w:val="center"/>
            </w:pPr>
            <w:r>
              <w:t>Economic activity</w:t>
            </w:r>
          </w:p>
        </w:tc>
        <w:tc>
          <w:tcPr>
            <w:tcW w:w="3898" w:type="dxa"/>
            <w:gridSpan w:val="2"/>
          </w:tcPr>
          <w:p w:rsidR="00000000" w:rsidRDefault="00000000">
            <w:pPr>
              <w:spacing w:after="0"/>
              <w:jc w:val="center"/>
            </w:pPr>
            <w:r>
              <w:t>Year</w:t>
            </w:r>
          </w:p>
        </w:tc>
      </w:tr>
      <w:tr w:rsidR="00000000">
        <w:tblPrEx>
          <w:tblCellMar>
            <w:top w:w="0" w:type="dxa"/>
            <w:bottom w:w="0" w:type="dxa"/>
          </w:tblCellMar>
        </w:tblPrEx>
        <w:trPr>
          <w:cantSplit/>
          <w:jc w:val="center"/>
        </w:trPr>
        <w:tc>
          <w:tcPr>
            <w:tcW w:w="3615" w:type="dxa"/>
            <w:vMerge/>
            <w:tcBorders>
              <w:bottom w:val="single" w:sz="4" w:space="0" w:color="auto"/>
            </w:tcBorders>
          </w:tcPr>
          <w:p w:rsidR="00000000" w:rsidRDefault="00000000">
            <w:pPr>
              <w:spacing w:after="0"/>
              <w:jc w:val="center"/>
            </w:pPr>
          </w:p>
        </w:tc>
        <w:tc>
          <w:tcPr>
            <w:tcW w:w="1949" w:type="dxa"/>
            <w:tcBorders>
              <w:bottom w:val="single" w:sz="4" w:space="0" w:color="auto"/>
            </w:tcBorders>
            <w:vAlign w:val="bottom"/>
          </w:tcPr>
          <w:p w:rsidR="00000000" w:rsidRDefault="00000000">
            <w:pPr>
              <w:spacing w:after="0"/>
              <w:jc w:val="center"/>
            </w:pPr>
            <w:r>
              <w:t>1997</w:t>
            </w:r>
          </w:p>
        </w:tc>
        <w:tc>
          <w:tcPr>
            <w:tcW w:w="1949" w:type="dxa"/>
            <w:tcBorders>
              <w:bottom w:val="single" w:sz="4" w:space="0" w:color="auto"/>
            </w:tcBorders>
            <w:vAlign w:val="bottom"/>
          </w:tcPr>
          <w:p w:rsidR="00000000" w:rsidRDefault="00000000">
            <w:pPr>
              <w:spacing w:after="0"/>
              <w:jc w:val="center"/>
            </w:pPr>
            <w:r>
              <w:t>1998</w:t>
            </w:r>
          </w:p>
        </w:tc>
      </w:tr>
      <w:tr w:rsidR="00000000">
        <w:tblPrEx>
          <w:tblCellMar>
            <w:top w:w="0" w:type="dxa"/>
            <w:bottom w:w="0" w:type="dxa"/>
          </w:tblCellMar>
        </w:tblPrEx>
        <w:trPr>
          <w:jc w:val="center"/>
        </w:trPr>
        <w:tc>
          <w:tcPr>
            <w:tcW w:w="3615" w:type="dxa"/>
            <w:tcBorders>
              <w:bottom w:val="nil"/>
            </w:tcBorders>
          </w:tcPr>
          <w:p w:rsidR="00000000" w:rsidRDefault="00000000">
            <w:pPr>
              <w:spacing w:after="0"/>
            </w:pPr>
            <w:r>
              <w:t>Industry</w:t>
            </w:r>
          </w:p>
        </w:tc>
        <w:tc>
          <w:tcPr>
            <w:tcW w:w="1949" w:type="dxa"/>
            <w:tcBorders>
              <w:bottom w:val="nil"/>
            </w:tcBorders>
          </w:tcPr>
          <w:p w:rsidR="00000000" w:rsidRDefault="00000000">
            <w:pPr>
              <w:spacing w:after="0"/>
              <w:ind w:right="624"/>
              <w:jc w:val="right"/>
            </w:pPr>
            <w:r>
              <w:t>9 411</w:t>
            </w:r>
          </w:p>
        </w:tc>
        <w:tc>
          <w:tcPr>
            <w:tcW w:w="1949" w:type="dxa"/>
            <w:tcBorders>
              <w:bottom w:val="nil"/>
            </w:tcBorders>
          </w:tcPr>
          <w:p w:rsidR="00000000" w:rsidRDefault="00000000">
            <w:pPr>
              <w:spacing w:after="0"/>
              <w:ind w:right="624"/>
              <w:jc w:val="right"/>
            </w:pPr>
            <w:r>
              <w:t>10 792</w:t>
            </w:r>
          </w:p>
        </w:tc>
      </w:tr>
      <w:tr w:rsidR="00000000">
        <w:tblPrEx>
          <w:tblCellMar>
            <w:top w:w="0" w:type="dxa"/>
            <w:bottom w:w="0" w:type="dxa"/>
          </w:tblCellMar>
        </w:tblPrEx>
        <w:trPr>
          <w:jc w:val="center"/>
        </w:trPr>
        <w:tc>
          <w:tcPr>
            <w:tcW w:w="3615" w:type="dxa"/>
            <w:tcBorders>
              <w:top w:val="nil"/>
              <w:bottom w:val="nil"/>
            </w:tcBorders>
          </w:tcPr>
          <w:p w:rsidR="00000000" w:rsidRDefault="00000000">
            <w:pPr>
              <w:spacing w:after="0"/>
            </w:pPr>
            <w:r>
              <w:t>Construction</w:t>
            </w:r>
          </w:p>
        </w:tc>
        <w:tc>
          <w:tcPr>
            <w:tcW w:w="1949" w:type="dxa"/>
            <w:tcBorders>
              <w:top w:val="nil"/>
              <w:bottom w:val="nil"/>
            </w:tcBorders>
          </w:tcPr>
          <w:p w:rsidR="00000000" w:rsidRDefault="00000000">
            <w:pPr>
              <w:spacing w:after="0"/>
              <w:ind w:right="624"/>
              <w:jc w:val="right"/>
            </w:pPr>
            <w:r>
              <w:t>8 340</w:t>
            </w:r>
          </w:p>
        </w:tc>
        <w:tc>
          <w:tcPr>
            <w:tcW w:w="1949" w:type="dxa"/>
            <w:tcBorders>
              <w:top w:val="nil"/>
              <w:bottom w:val="nil"/>
            </w:tcBorders>
          </w:tcPr>
          <w:p w:rsidR="00000000" w:rsidRDefault="00000000">
            <w:pPr>
              <w:spacing w:after="0"/>
              <w:ind w:right="624"/>
              <w:jc w:val="right"/>
            </w:pPr>
            <w:r>
              <w:t>10 617</w:t>
            </w:r>
          </w:p>
        </w:tc>
      </w:tr>
      <w:tr w:rsidR="00000000">
        <w:tblPrEx>
          <w:tblCellMar>
            <w:top w:w="0" w:type="dxa"/>
            <w:bottom w:w="0" w:type="dxa"/>
          </w:tblCellMar>
        </w:tblPrEx>
        <w:trPr>
          <w:jc w:val="center"/>
        </w:trPr>
        <w:tc>
          <w:tcPr>
            <w:tcW w:w="3615" w:type="dxa"/>
            <w:tcBorders>
              <w:top w:val="nil"/>
              <w:bottom w:val="nil"/>
            </w:tcBorders>
          </w:tcPr>
          <w:p w:rsidR="00000000" w:rsidRDefault="00000000">
            <w:pPr>
              <w:pStyle w:val="Header"/>
              <w:tabs>
                <w:tab w:val="clear" w:pos="4320"/>
                <w:tab w:val="clear" w:pos="8640"/>
              </w:tabs>
              <w:spacing w:after="0"/>
            </w:pPr>
            <w:r>
              <w:t>Transport and communication</w:t>
            </w:r>
          </w:p>
        </w:tc>
        <w:tc>
          <w:tcPr>
            <w:tcW w:w="1949" w:type="dxa"/>
            <w:tcBorders>
              <w:top w:val="nil"/>
              <w:bottom w:val="nil"/>
            </w:tcBorders>
          </w:tcPr>
          <w:p w:rsidR="00000000" w:rsidRDefault="00000000">
            <w:pPr>
              <w:spacing w:after="0"/>
              <w:ind w:right="624"/>
              <w:jc w:val="right"/>
            </w:pPr>
            <w:r>
              <w:t>9 350</w:t>
            </w:r>
          </w:p>
        </w:tc>
        <w:tc>
          <w:tcPr>
            <w:tcW w:w="1949" w:type="dxa"/>
            <w:tcBorders>
              <w:top w:val="nil"/>
              <w:bottom w:val="nil"/>
            </w:tcBorders>
          </w:tcPr>
          <w:p w:rsidR="00000000" w:rsidRDefault="00000000">
            <w:pPr>
              <w:spacing w:after="0"/>
              <w:ind w:right="624"/>
              <w:jc w:val="right"/>
            </w:pPr>
            <w:r>
              <w:t>11 744</w:t>
            </w:r>
          </w:p>
        </w:tc>
      </w:tr>
      <w:tr w:rsidR="00000000">
        <w:tblPrEx>
          <w:tblCellMar>
            <w:top w:w="0" w:type="dxa"/>
            <w:bottom w:w="0" w:type="dxa"/>
          </w:tblCellMar>
        </w:tblPrEx>
        <w:trPr>
          <w:jc w:val="center"/>
        </w:trPr>
        <w:tc>
          <w:tcPr>
            <w:tcW w:w="3615" w:type="dxa"/>
            <w:tcBorders>
              <w:top w:val="nil"/>
              <w:bottom w:val="nil"/>
            </w:tcBorders>
          </w:tcPr>
          <w:p w:rsidR="00000000" w:rsidRDefault="00000000">
            <w:pPr>
              <w:spacing w:after="0"/>
            </w:pPr>
            <w:r>
              <w:t>Trade</w:t>
            </w:r>
          </w:p>
        </w:tc>
        <w:tc>
          <w:tcPr>
            <w:tcW w:w="1949" w:type="dxa"/>
            <w:tcBorders>
              <w:top w:val="nil"/>
              <w:bottom w:val="nil"/>
            </w:tcBorders>
          </w:tcPr>
          <w:p w:rsidR="00000000" w:rsidRDefault="00000000">
            <w:pPr>
              <w:spacing w:after="0"/>
              <w:ind w:right="624"/>
              <w:jc w:val="right"/>
            </w:pPr>
            <w:r>
              <w:t>8 819</w:t>
            </w:r>
          </w:p>
        </w:tc>
        <w:tc>
          <w:tcPr>
            <w:tcW w:w="1949" w:type="dxa"/>
            <w:tcBorders>
              <w:top w:val="nil"/>
              <w:bottom w:val="nil"/>
            </w:tcBorders>
          </w:tcPr>
          <w:p w:rsidR="00000000" w:rsidRDefault="00000000">
            <w:pPr>
              <w:spacing w:after="0"/>
              <w:ind w:right="624"/>
              <w:jc w:val="right"/>
            </w:pPr>
            <w:r>
              <w:t>9 653</w:t>
            </w:r>
          </w:p>
        </w:tc>
      </w:tr>
      <w:tr w:rsidR="00000000">
        <w:tblPrEx>
          <w:tblCellMar>
            <w:top w:w="0" w:type="dxa"/>
            <w:bottom w:w="0" w:type="dxa"/>
          </w:tblCellMar>
        </w:tblPrEx>
        <w:trPr>
          <w:jc w:val="center"/>
        </w:trPr>
        <w:tc>
          <w:tcPr>
            <w:tcW w:w="3615" w:type="dxa"/>
            <w:tcBorders>
              <w:top w:val="nil"/>
            </w:tcBorders>
          </w:tcPr>
          <w:p w:rsidR="00000000" w:rsidRDefault="00000000">
            <w:pPr>
              <w:spacing w:after="0"/>
            </w:pPr>
            <w:r>
              <w:t>Services</w:t>
            </w:r>
          </w:p>
        </w:tc>
        <w:tc>
          <w:tcPr>
            <w:tcW w:w="1949" w:type="dxa"/>
            <w:tcBorders>
              <w:top w:val="nil"/>
            </w:tcBorders>
          </w:tcPr>
          <w:p w:rsidR="00000000" w:rsidRDefault="00000000">
            <w:pPr>
              <w:spacing w:after="0"/>
              <w:ind w:right="624"/>
              <w:jc w:val="right"/>
            </w:pPr>
            <w:r>
              <w:t>7 814</w:t>
            </w:r>
          </w:p>
        </w:tc>
        <w:tc>
          <w:tcPr>
            <w:tcW w:w="1949" w:type="dxa"/>
            <w:tcBorders>
              <w:top w:val="nil"/>
            </w:tcBorders>
          </w:tcPr>
          <w:p w:rsidR="00000000" w:rsidRDefault="00000000">
            <w:pPr>
              <w:spacing w:after="0"/>
              <w:ind w:right="624"/>
              <w:jc w:val="right"/>
            </w:pPr>
            <w:r>
              <w:t>11 856</w:t>
            </w:r>
          </w:p>
        </w:tc>
      </w:tr>
      <w:tr w:rsidR="00000000">
        <w:tblPrEx>
          <w:tblCellMar>
            <w:top w:w="0" w:type="dxa"/>
            <w:bottom w:w="0" w:type="dxa"/>
          </w:tblCellMar>
        </w:tblPrEx>
        <w:trPr>
          <w:jc w:val="center"/>
        </w:trPr>
        <w:tc>
          <w:tcPr>
            <w:tcW w:w="3615" w:type="dxa"/>
          </w:tcPr>
          <w:p w:rsidR="00000000" w:rsidRDefault="00000000">
            <w:pPr>
              <w:spacing w:after="0"/>
            </w:pPr>
            <w:r>
              <w:t xml:space="preserve">     Total</w:t>
            </w:r>
          </w:p>
        </w:tc>
        <w:tc>
          <w:tcPr>
            <w:tcW w:w="1949" w:type="dxa"/>
          </w:tcPr>
          <w:p w:rsidR="00000000" w:rsidRDefault="00000000">
            <w:pPr>
              <w:spacing w:after="0"/>
              <w:ind w:right="624"/>
              <w:jc w:val="right"/>
            </w:pPr>
            <w:r>
              <w:t>9 063</w:t>
            </w:r>
          </w:p>
        </w:tc>
        <w:tc>
          <w:tcPr>
            <w:tcW w:w="1949" w:type="dxa"/>
          </w:tcPr>
          <w:p w:rsidR="00000000" w:rsidRDefault="00000000">
            <w:pPr>
              <w:spacing w:after="0"/>
              <w:ind w:right="624"/>
              <w:jc w:val="right"/>
            </w:pPr>
            <w:r>
              <w:t>10 894</w:t>
            </w:r>
          </w:p>
        </w:tc>
      </w:tr>
    </w:tbl>
    <w:p w:rsidR="00000000" w:rsidRDefault="00000000">
      <w:pPr>
        <w:spacing w:before="240"/>
      </w:pPr>
      <w:r>
        <w:tab/>
      </w:r>
      <w:r>
        <w:tab/>
      </w:r>
      <w:r>
        <w:rPr>
          <w:i/>
          <w:iCs/>
        </w:rPr>
        <w:t>Source</w:t>
      </w:r>
      <w:r>
        <w:t>:  Annual Business Structural Survey 1997, 1998, INSTAT.</w:t>
      </w:r>
    </w:p>
    <w:p w:rsidR="00000000" w:rsidRDefault="00000000">
      <w:pPr>
        <w:pStyle w:val="Heading3"/>
      </w:pPr>
      <w:r>
        <w:t>Safe and healthy working conditions</w:t>
      </w:r>
    </w:p>
    <w:p w:rsidR="00000000" w:rsidRDefault="00000000">
      <w:pPr>
        <w:pStyle w:val="ParaNo"/>
        <w:tabs>
          <w:tab w:val="clear" w:pos="360"/>
          <w:tab w:val="clear" w:pos="737"/>
        </w:tabs>
        <w:ind w:left="0" w:firstLine="0"/>
        <w:rPr>
          <w:lang w:val="en-GB"/>
        </w:rPr>
      </w:pPr>
      <w:r>
        <w:rPr>
          <w:lang w:val="en-GB"/>
        </w:rPr>
        <w:t>Chapter VIII of the Labour Code of the Republic of Albania on “Health safety and protection”, articles 39-75, provides very clearly the conditions of work that should be guaranteed, in order to protect the employee’s health.</w:t>
      </w:r>
    </w:p>
    <w:p w:rsidR="00000000" w:rsidRDefault="00000000">
      <w:pPr>
        <w:pStyle w:val="ParaNo"/>
        <w:rPr>
          <w:lang w:val="en-GB"/>
        </w:rPr>
      </w:pPr>
      <w:r>
        <w:rPr>
          <w:lang w:val="en-GB"/>
        </w:rPr>
        <w:t xml:space="preserve">This chapter also contains provisions on the responsibility of the employer, the qualification level of the employee, the workplace, the work environment, the level of noise and vibrations, dangerous engines, the risk of fires, protection from atmospheric conditions, personal equipment, sanitary installation, first aid, etc. </w:t>
      </w:r>
    </w:p>
    <w:p w:rsidR="00000000" w:rsidRDefault="00000000">
      <w:pPr>
        <w:pStyle w:val="ParaNo"/>
        <w:ind w:left="0" w:firstLine="0"/>
        <w:rPr>
          <w:lang w:val="en-GB"/>
        </w:rPr>
      </w:pPr>
      <w:r>
        <w:rPr>
          <w:lang w:val="en-GB"/>
        </w:rPr>
        <w:t>Protection in the workplace excludes positions related to the work of an adviser, and also cases where work is done voluntarily, on a neighbourly basis or within the family.</w:t>
      </w:r>
    </w:p>
    <w:p w:rsidR="00000000" w:rsidRDefault="00000000">
      <w:pPr>
        <w:pStyle w:val="Heading2"/>
      </w:pPr>
      <w:r>
        <w:br w:type="page"/>
        <w:t>Labour accidents</w:t>
      </w:r>
    </w:p>
    <w:p w:rsidR="00000000" w:rsidRDefault="00000000">
      <w:pPr>
        <w:pStyle w:val="ParaNo"/>
        <w:ind w:left="0" w:firstLine="0"/>
        <w:rPr>
          <w:bCs/>
          <w:lang w:val="en-GB"/>
        </w:rPr>
      </w:pPr>
      <w:r>
        <w:rPr>
          <w:bCs/>
          <w:lang w:val="en-GB"/>
        </w:rPr>
        <w:t xml:space="preserve">During the previous five years (1998-2003) there have been approximately 68 to 73 accidents in the workplace per year, and a total of 57 cases followed by fatal consequences (death).  Generally these accidents have occurred due to the non-observance of the codes on technical safety by employees and the negligence of employers in providing their employees with the necessary collective and individual safety facilities. </w:t>
      </w:r>
    </w:p>
    <w:p w:rsidR="00000000" w:rsidRDefault="00000000">
      <w:pPr>
        <w:pStyle w:val="ParaNo"/>
        <w:ind w:left="0" w:firstLine="0"/>
        <w:rPr>
          <w:bCs/>
          <w:lang w:val="en-GB"/>
        </w:rPr>
      </w:pPr>
      <w:r>
        <w:rPr>
          <w:bCs/>
          <w:lang w:val="en-GB"/>
        </w:rPr>
        <w:t>Statistics show that every year there are 400-450 employees hospitalized, mostly diagnosed with work-related lung and blood illnesses.  However, it has to be mentioned that these statistics comprise also chronic cases from the previous years, due to the fact that, starting in 1991, the Ministry of Health did not distinguish between the new and previous cases.</w:t>
      </w:r>
    </w:p>
    <w:p w:rsidR="00000000" w:rsidRDefault="00000000">
      <w:pPr>
        <w:pStyle w:val="ParaNo"/>
        <w:ind w:left="0" w:firstLine="0"/>
        <w:rPr>
          <w:bCs/>
          <w:lang w:val="en-GB"/>
        </w:rPr>
      </w:pPr>
      <w:r>
        <w:rPr>
          <w:bCs/>
          <w:lang w:val="en-GB"/>
        </w:rPr>
        <w:t>From an analysis of the accidents, it appears that most of them take place during the summer, when temperatures within the working premises are significantly higher.  From the analysis, it also appears that accidents are significantly more frequent among untrained and unqualified personnel, reasons that sometimes have brought very grave consequences.  Labour inspectors have an important role in raising awareness of the necessity of health safety and protection through constant inspections at the workplace.  The negligence of these measures by the employer and the employee increases the possibility of accidents in the workplace.  From the statistics it can be concluded that the greatest number of serious accidents have occurred on construction sites, with as principal cause a fall.</w:t>
      </w:r>
    </w:p>
    <w:p w:rsidR="00000000" w:rsidRDefault="00000000">
      <w:pPr>
        <w:pStyle w:val="ParaNo"/>
        <w:ind w:left="0" w:firstLine="0"/>
        <w:rPr>
          <w:bCs/>
          <w:lang w:val="en-GB"/>
        </w:rPr>
      </w:pPr>
      <w:r>
        <w:rPr>
          <w:bCs/>
          <w:lang w:val="en-GB"/>
        </w:rPr>
        <w:t>The production sector can be considered another “risky” sector.  Typical among the accidents are fingers cut, various fractures and eyes being poked out.  During the previous five years alone, there were 392 cases of grave accidents, resulting in temporary loss of working capability.  There have repeatedly been occupation diseases related to work at shoe-production enterprises.  Due to the fact that most of them represent previous cases and frequent change of job positions, within or outside the enterprise, there is not any precise number related to this category.</w:t>
      </w:r>
    </w:p>
    <w:p w:rsidR="00000000" w:rsidRDefault="00000000">
      <w:pPr>
        <w:pStyle w:val="Heading2"/>
      </w:pPr>
      <w:r>
        <w:t xml:space="preserve">Working time, rest time and leave </w:t>
      </w:r>
    </w:p>
    <w:p w:rsidR="00000000" w:rsidRDefault="00000000">
      <w:pPr>
        <w:pStyle w:val="ParaNo"/>
        <w:ind w:left="0" w:firstLine="0"/>
        <w:rPr>
          <w:lang w:val="en-GB"/>
        </w:rPr>
      </w:pPr>
      <w:r>
        <w:rPr>
          <w:lang w:val="en-GB"/>
        </w:rPr>
        <w:t xml:space="preserve">Articles </w:t>
      </w:r>
      <w:r>
        <w:rPr>
          <w:bCs/>
          <w:lang w:val="en-GB"/>
        </w:rPr>
        <w:t>76</w:t>
      </w:r>
      <w:r>
        <w:rPr>
          <w:lang w:val="en-GB"/>
        </w:rPr>
        <w:t xml:space="preserve"> to 97 of the Labour Code provide for the daily working hours, working time and daily breaks, leave, night work, weekly working hours, weekly leave and holidays, annual leave and other leaves.</w:t>
      </w:r>
    </w:p>
    <w:p w:rsidR="00000000" w:rsidRDefault="00000000">
      <w:pPr>
        <w:pStyle w:val="Heading3"/>
      </w:pPr>
      <w:r>
        <w:t xml:space="preserve">Holidays </w:t>
      </w:r>
    </w:p>
    <w:p w:rsidR="00000000" w:rsidRDefault="00000000">
      <w:pPr>
        <w:pStyle w:val="ParaNo"/>
        <w:ind w:left="0" w:firstLine="0"/>
        <w:rPr>
          <w:lang w:val="en-GB"/>
        </w:rPr>
      </w:pPr>
      <w:r>
        <w:rPr>
          <w:lang w:val="en-GB"/>
        </w:rPr>
        <w:t>Employees are entitled to the following local Albanian holidays each calendar year:</w:t>
      </w:r>
    </w:p>
    <w:p w:rsidR="00000000" w:rsidRDefault="00000000">
      <w:pPr>
        <w:numPr>
          <w:ilvl w:val="0"/>
          <w:numId w:val="175"/>
        </w:numPr>
      </w:pPr>
      <w:r>
        <w:t>New Year’s Day;</w:t>
      </w:r>
    </w:p>
    <w:p w:rsidR="00000000" w:rsidRDefault="00000000">
      <w:pPr>
        <w:numPr>
          <w:ilvl w:val="0"/>
          <w:numId w:val="175"/>
        </w:numPr>
      </w:pPr>
      <w:r>
        <w:t>Lesser Bairam/Id Al Fitr (end of Ramadan);</w:t>
      </w:r>
    </w:p>
    <w:p w:rsidR="00000000" w:rsidRDefault="00000000">
      <w:pPr>
        <w:numPr>
          <w:ilvl w:val="0"/>
          <w:numId w:val="175"/>
        </w:numPr>
      </w:pPr>
      <w:r>
        <w:t>Greater Bajram (Feast of the Sacrifice);</w:t>
      </w:r>
    </w:p>
    <w:p w:rsidR="00000000" w:rsidRDefault="00000000">
      <w:pPr>
        <w:numPr>
          <w:ilvl w:val="0"/>
          <w:numId w:val="175"/>
        </w:numPr>
      </w:pPr>
      <w:r>
        <w:br w:type="page"/>
        <w:t>Easter (Catholic and Orthodox);</w:t>
      </w:r>
    </w:p>
    <w:p w:rsidR="00000000" w:rsidRDefault="00000000">
      <w:pPr>
        <w:numPr>
          <w:ilvl w:val="0"/>
          <w:numId w:val="175"/>
        </w:numPr>
      </w:pPr>
      <w:r>
        <w:t>Summer day (14 March);</w:t>
      </w:r>
    </w:p>
    <w:p w:rsidR="00000000" w:rsidRDefault="00000000">
      <w:pPr>
        <w:numPr>
          <w:ilvl w:val="0"/>
          <w:numId w:val="175"/>
        </w:numPr>
      </w:pPr>
      <w:r>
        <w:t>Nevruz (Religious (bektashi) holiday);</w:t>
      </w:r>
    </w:p>
    <w:p w:rsidR="00000000" w:rsidRDefault="00000000">
      <w:pPr>
        <w:numPr>
          <w:ilvl w:val="0"/>
          <w:numId w:val="175"/>
        </w:numPr>
      </w:pPr>
      <w:r>
        <w:t>May Day;</w:t>
      </w:r>
    </w:p>
    <w:p w:rsidR="00000000" w:rsidRDefault="00000000">
      <w:pPr>
        <w:numPr>
          <w:ilvl w:val="0"/>
          <w:numId w:val="175"/>
        </w:numPr>
      </w:pPr>
      <w:r>
        <w:t>Mother Teresa Day;</w:t>
      </w:r>
    </w:p>
    <w:p w:rsidR="00000000" w:rsidRDefault="00000000">
      <w:pPr>
        <w:numPr>
          <w:ilvl w:val="0"/>
          <w:numId w:val="175"/>
        </w:numPr>
      </w:pPr>
      <w:r>
        <w:t>Independence Day;</w:t>
      </w:r>
    </w:p>
    <w:p w:rsidR="00000000" w:rsidRDefault="00000000">
      <w:pPr>
        <w:numPr>
          <w:ilvl w:val="0"/>
          <w:numId w:val="175"/>
        </w:numPr>
      </w:pPr>
      <w:r>
        <w:t>Liberation Day;</w:t>
      </w:r>
    </w:p>
    <w:p w:rsidR="00000000" w:rsidRDefault="00000000">
      <w:pPr>
        <w:numPr>
          <w:ilvl w:val="0"/>
          <w:numId w:val="175"/>
        </w:numPr>
      </w:pPr>
      <w:r>
        <w:t>Christmas.</w:t>
      </w:r>
    </w:p>
    <w:p w:rsidR="00000000" w:rsidRDefault="00000000">
      <w:pPr>
        <w:pStyle w:val="ParaNo"/>
        <w:ind w:left="0" w:firstLine="0"/>
        <w:rPr>
          <w:lang w:val="en-GB"/>
        </w:rPr>
      </w:pPr>
      <w:r>
        <w:rPr>
          <w:lang w:val="en-GB"/>
        </w:rPr>
        <w:t>When a holiday falls on a weekend (Friday or Saturday), the holiday will be observed, as is the custom in Albania.  Should a holiday occur during an employee’s vacation, the day will be charged as a holiday.  No holiday will be paid while the employee is on unpaid leave.  In the event that the employee works on a holiday, the employee will be entitled to take another day of the week as a rest period, or be entitled to additional compensation at the rate of 1.25 times the regular rate for the hours worked on the holiday.</w:t>
      </w:r>
    </w:p>
    <w:p w:rsidR="00000000" w:rsidRDefault="00000000">
      <w:pPr>
        <w:pStyle w:val="ParaNo"/>
        <w:ind w:left="0" w:firstLine="0"/>
        <w:rPr>
          <w:lang w:val="en-GB"/>
        </w:rPr>
      </w:pPr>
      <w:r>
        <w:rPr>
          <w:lang w:val="en-GB"/>
        </w:rPr>
        <w:t>Regular part-time employees are eligible for a portion of the holiday, based on the ratio of hours per week worked to the standard workweek in Albania. For example, an employee working half</w:t>
      </w:r>
      <w:r>
        <w:rPr>
          <w:lang w:val="en-GB"/>
        </w:rPr>
        <w:noBreakHyphen/>
        <w:t>time would be entitled to half pay for the holiday.</w:t>
      </w:r>
    </w:p>
    <w:p w:rsidR="00000000" w:rsidRDefault="00000000">
      <w:pPr>
        <w:pStyle w:val="Heading3"/>
      </w:pPr>
      <w:r>
        <w:t xml:space="preserve">Annual leave and vacation </w:t>
      </w:r>
    </w:p>
    <w:p w:rsidR="00000000" w:rsidRDefault="00000000">
      <w:pPr>
        <w:pStyle w:val="ParaNo"/>
        <w:ind w:left="0" w:firstLine="0"/>
        <w:rPr>
          <w:lang w:val="en-GB"/>
        </w:rPr>
      </w:pPr>
      <w:r>
        <w:rPr>
          <w:lang w:val="en-GB"/>
        </w:rPr>
        <w:t>Workers shall be entitled to an annual paid leave of a minimum of 28 days.  Any unused leave remaining at the end of the calendar year shall be paid out, through payroll, no later than three months after the close of the calendar year.  Employee’s supervisor must approve leave in advance.</w:t>
      </w:r>
    </w:p>
    <w:p w:rsidR="00000000" w:rsidRDefault="00000000">
      <w:pPr>
        <w:pStyle w:val="Heading3"/>
      </w:pPr>
      <w:r>
        <w:t xml:space="preserve">Other leave </w:t>
      </w:r>
    </w:p>
    <w:p w:rsidR="00000000" w:rsidRDefault="00000000">
      <w:pPr>
        <w:pStyle w:val="ParaNo"/>
        <w:ind w:left="0" w:firstLine="0"/>
        <w:rPr>
          <w:lang w:val="en-GB"/>
        </w:rPr>
      </w:pPr>
      <w:r>
        <w:rPr>
          <w:lang w:val="en-GB"/>
        </w:rPr>
        <w:t xml:space="preserve">The employee shall be entitled to take exceptional paid leave of five days on marriage or in the event of the death of a family member.  The employee shall be entitled to take unpaid exceptional leave of 10 days in the event of sickness of a family member, verified by a medical report.  </w:t>
      </w:r>
    </w:p>
    <w:p w:rsidR="00000000" w:rsidRDefault="00000000">
      <w:pPr>
        <w:pStyle w:val="ParaNo"/>
        <w:ind w:left="0" w:firstLine="0"/>
        <w:rPr>
          <w:lang w:val="en-GB"/>
        </w:rPr>
      </w:pPr>
      <w:r>
        <w:rPr>
          <w:lang w:val="en-GB"/>
        </w:rPr>
        <w:t xml:space="preserve">Pregnant women are excluded from work 35 days before the predicted date of delivery, and 42 days after delivery; the first period shall be of 60 days when the women is pregnant with the second child.  In case the pregnant woman already has at least one child, the period before the birth becomes 60 days.  Pregnant women, during their pregnancy leave, benefit from social security payments only if they have paid at least 12 months of contributions.  </w:t>
      </w:r>
    </w:p>
    <w:p w:rsidR="00000000" w:rsidRDefault="00000000">
      <w:pPr>
        <w:pStyle w:val="ParaNo"/>
        <w:ind w:left="0" w:firstLine="0"/>
        <w:rPr>
          <w:lang w:val="en-GB"/>
        </w:rPr>
      </w:pPr>
      <w:r>
        <w:rPr>
          <w:lang w:val="en-GB"/>
        </w:rPr>
        <w:br w:type="page"/>
        <w:t>The Albanian Parliament has recently passed some amendments to the Labour Code.  Law No. 9125, dated 29 July 2003, “On some amendments to the Labour Code”, is effective as of 3 September 2003.</w:t>
      </w:r>
    </w:p>
    <w:p w:rsidR="00000000" w:rsidRDefault="00000000">
      <w:pPr>
        <w:pStyle w:val="ParaNo"/>
        <w:ind w:left="0" w:firstLine="0"/>
        <w:rPr>
          <w:lang w:val="en-GB"/>
        </w:rPr>
      </w:pPr>
      <w:r>
        <w:rPr>
          <w:lang w:val="en-GB"/>
        </w:rPr>
        <w:t xml:space="preserve">The following articles of the code, concerning the issues above have been amended as follows: </w:t>
      </w:r>
    </w:p>
    <w:p w:rsidR="00000000" w:rsidRDefault="00000000">
      <w:pPr>
        <w:numPr>
          <w:ilvl w:val="0"/>
          <w:numId w:val="175"/>
        </w:numPr>
      </w:pPr>
      <w:r>
        <w:t>Article 78 stipulates that daily working hours may not exceed eight hours.  It is determined by a decision of the Council of Ministers in the collective or individual employment contract, within the limits of the maximum weekly working hours;</w:t>
      </w:r>
    </w:p>
    <w:p w:rsidR="00000000" w:rsidRDefault="00000000">
      <w:pPr>
        <w:numPr>
          <w:ilvl w:val="0"/>
          <w:numId w:val="175"/>
        </w:numPr>
      </w:pPr>
      <w:r>
        <w:t>Article 83 stipulates that weekly working hours may not exceed 40 hours.  It is determined by a decision of the Council of Ministers in the collective or individual employment contract;</w:t>
      </w:r>
    </w:p>
    <w:p w:rsidR="00000000" w:rsidRDefault="00000000">
      <w:pPr>
        <w:numPr>
          <w:ilvl w:val="0"/>
          <w:numId w:val="175"/>
        </w:numPr>
      </w:pPr>
      <w:r>
        <w:t>Article 86 stipulates that when the official holiday falls on the weekend (Saturday and Sunday), the holiday is postponed to the next working day;</w:t>
      </w:r>
    </w:p>
    <w:p w:rsidR="00000000" w:rsidRDefault="00000000">
      <w:pPr>
        <w:numPr>
          <w:ilvl w:val="0"/>
          <w:numId w:val="175"/>
        </w:numPr>
      </w:pPr>
      <w:r>
        <w:t>Article 87 stipulates that work performed on the weekend or during official holidays is compensated by an additional payment of not less than 25 per cent or by a holiday equal to the duration of the work accomplished plus an additional holiday not less than 25 per cent of the duration of his working hours.  This holiday is taken a week before or after the work is performed;</w:t>
      </w:r>
    </w:p>
    <w:p w:rsidR="00000000" w:rsidRDefault="00000000">
      <w:pPr>
        <w:numPr>
          <w:ilvl w:val="0"/>
          <w:numId w:val="175"/>
        </w:numPr>
      </w:pPr>
      <w:r>
        <w:t>Article 92 stipulates that the duration of annual leave is not less than four calendar weeks;</w:t>
      </w:r>
    </w:p>
    <w:p w:rsidR="00000000" w:rsidRDefault="00000000">
      <w:pPr>
        <w:numPr>
          <w:ilvl w:val="0"/>
          <w:numId w:val="175"/>
        </w:numPr>
      </w:pPr>
      <w:r>
        <w:t>Article 93 stipulates that annual leave should be given within the working year or within the first quarter of the successive year, but in any case should not be less than one calendar week without interruption;</w:t>
      </w:r>
    </w:p>
    <w:p w:rsidR="00000000" w:rsidRDefault="00000000">
      <w:pPr>
        <w:numPr>
          <w:ilvl w:val="0"/>
          <w:numId w:val="175"/>
        </w:numPr>
      </w:pPr>
      <w:r>
        <w:t>Articles 104 and 105 stipulate that pregnant women must not work 35 days before, and 42 days after, giving birth.  When the woman is pregnant with more than one baby, the first period becomes 60 days.  After the 42-day period after giving birth, the woman decides whether to work or to benefit from the social security scheme.</w:t>
      </w:r>
    </w:p>
    <w:p w:rsidR="00000000" w:rsidRDefault="00000000">
      <w:pPr>
        <w:pStyle w:val="ParaNo"/>
        <w:ind w:left="0" w:firstLine="0"/>
        <w:rPr>
          <w:lang w:val="en-GB"/>
        </w:rPr>
      </w:pPr>
      <w:r>
        <w:rPr>
          <w:lang w:val="en-GB"/>
        </w:rPr>
        <w:t xml:space="preserve">Besides the above, there also exist some factors influencing the thorough implementation of the rights provided by article 7 of the present Covenant, such as uncontrolled migration from rural areas, the low level of awareness of social partners, low economic levels, etc.  </w:t>
      </w:r>
    </w:p>
    <w:p w:rsidR="00000000" w:rsidRDefault="00000000">
      <w:pPr>
        <w:pStyle w:val="Heading2"/>
      </w:pPr>
      <w:r>
        <w:t>International cooperation</w:t>
      </w:r>
    </w:p>
    <w:p w:rsidR="00000000" w:rsidRDefault="00000000">
      <w:pPr>
        <w:pStyle w:val="ParaNo"/>
        <w:ind w:left="0" w:firstLine="0"/>
        <w:rPr>
          <w:lang w:val="en-GB"/>
        </w:rPr>
      </w:pPr>
      <w:r>
        <w:rPr>
          <w:lang w:val="en-GB"/>
        </w:rPr>
        <w:t>For the implementation of the rights provided by this article, in the framework of international cooperation, the Ministry of Labour and Social Affairs is currently cooperating with </w:t>
      </w:r>
      <w:proofErr w:type="spellStart"/>
      <w:r>
        <w:rPr>
          <w:lang w:val="en-GB"/>
        </w:rPr>
        <w:t>ILO</w:t>
      </w:r>
      <w:proofErr w:type="spellEnd"/>
      <w:r>
        <w:rPr>
          <w:lang w:val="en-GB"/>
        </w:rPr>
        <w:t xml:space="preserve"> on the “Elimination of child labour” project. </w:t>
      </w:r>
    </w:p>
    <w:p w:rsidR="00000000" w:rsidRDefault="00000000">
      <w:pPr>
        <w:pStyle w:val="Heading2"/>
      </w:pPr>
      <w:r>
        <w:br w:type="page"/>
        <w:t>Article 8</w:t>
      </w:r>
    </w:p>
    <w:p w:rsidR="00000000" w:rsidRDefault="00000000">
      <w:pPr>
        <w:pStyle w:val="Heading2"/>
      </w:pPr>
      <w:r>
        <w:t>Right to organize in trade unions</w:t>
      </w:r>
    </w:p>
    <w:p w:rsidR="00000000" w:rsidRDefault="00000000">
      <w:pPr>
        <w:pStyle w:val="ParaNo"/>
        <w:ind w:left="0" w:firstLine="0"/>
        <w:rPr>
          <w:lang w:val="en-GB"/>
        </w:rPr>
      </w:pPr>
      <w:r>
        <w:rPr>
          <w:lang w:val="en-GB"/>
        </w:rPr>
        <w:t xml:space="preserve">The Republic of Albania is a party to: </w:t>
      </w:r>
    </w:p>
    <w:p w:rsidR="00000000" w:rsidRDefault="00000000">
      <w:pPr>
        <w:numPr>
          <w:ilvl w:val="0"/>
          <w:numId w:val="175"/>
        </w:numPr>
      </w:pPr>
      <w:r>
        <w:t xml:space="preserve">The International Covenant on Civil and Political Rights; </w:t>
      </w:r>
    </w:p>
    <w:p w:rsidR="00000000" w:rsidRDefault="00000000">
      <w:pPr>
        <w:numPr>
          <w:ilvl w:val="0"/>
          <w:numId w:val="175"/>
        </w:numPr>
      </w:pPr>
      <w:r>
        <w:t xml:space="preserve">The ILO Convention on the Freedom of Association and Protection of the Right to Organize, No. 87 (1948), ratified in 1957; </w:t>
      </w:r>
    </w:p>
    <w:p w:rsidR="00000000" w:rsidRDefault="00000000">
      <w:pPr>
        <w:numPr>
          <w:ilvl w:val="0"/>
          <w:numId w:val="175"/>
        </w:numPr>
      </w:pPr>
      <w:r>
        <w:t xml:space="preserve">The ILO Convention on the Right to Organise and Collective Bargaining, No. 98 (1949), ratified in 1957; </w:t>
      </w:r>
    </w:p>
    <w:p w:rsidR="00000000" w:rsidRDefault="00000000">
      <w:pPr>
        <w:numPr>
          <w:ilvl w:val="0"/>
          <w:numId w:val="175"/>
        </w:numPr>
      </w:pPr>
      <w:r>
        <w:t>The ILO Convention on Labour Relations (Public Service), No. 151 (1978);</w:t>
      </w:r>
    </w:p>
    <w:p w:rsidR="00000000" w:rsidRDefault="00000000">
      <w:r>
        <w:t xml:space="preserve">In 2003 the Ministry of Labour and Social Affairs presented reports on the implementation of ILO Conventions 87, 98 and 131. </w:t>
      </w:r>
    </w:p>
    <w:p w:rsidR="00000000" w:rsidRDefault="00000000">
      <w:pPr>
        <w:pStyle w:val="ParaNo"/>
        <w:ind w:left="0" w:firstLine="0"/>
        <w:rPr>
          <w:lang w:val="en-GB"/>
        </w:rPr>
      </w:pPr>
      <w:r>
        <w:rPr>
          <w:lang w:val="en-GB"/>
        </w:rPr>
        <w:t>According to articles 50 and 51 of the Constitution, employees have the right to join trade unions for the protection of their labour interests.  The right to labour-related strikes is guaranteed.  Limitations for special categories of employees may be determined by law for the guarantee of the necessary public utilities.</w:t>
      </w:r>
    </w:p>
    <w:p w:rsidR="00000000" w:rsidRDefault="00000000">
      <w:pPr>
        <w:pStyle w:val="ParaNo"/>
        <w:ind w:left="0" w:firstLine="0"/>
        <w:rPr>
          <w:lang w:val="en-GB"/>
        </w:rPr>
      </w:pPr>
      <w:r>
        <w:rPr>
          <w:lang w:val="en-GB"/>
        </w:rPr>
        <w:t xml:space="preserve">Activities of trade unions in Albania are regulated by the Labour Code adopted in 1995 (amended in 1996 and 2003).  The requirements for the establishment of trade unions are provided in articles 177 to 179 of the Labour Code.  Albania has very liberal principles for setting up trade unions and the required number of members is very low - only 20 persons. </w:t>
      </w:r>
    </w:p>
    <w:p w:rsidR="00000000" w:rsidRDefault="00000000">
      <w:pPr>
        <w:pStyle w:val="ParaNo"/>
        <w:ind w:left="0" w:firstLine="0"/>
        <w:rPr>
          <w:lang w:val="en-GB"/>
        </w:rPr>
      </w:pPr>
      <w:r>
        <w:rPr>
          <w:lang w:val="en-GB"/>
        </w:rPr>
        <w:t>There are some restrictions on setting up trade unions, in particular in the defence forces and the police.  There are no restrictions on the membership and formation of trade unions on grounds of race, nationality, citizenship or language.</w:t>
      </w:r>
    </w:p>
    <w:p w:rsidR="00000000" w:rsidRDefault="00000000">
      <w:pPr>
        <w:pStyle w:val="ParaNo"/>
        <w:ind w:left="0" w:firstLine="0"/>
        <w:rPr>
          <w:lang w:val="en-GB"/>
        </w:rPr>
      </w:pPr>
      <w:r>
        <w:rPr>
          <w:lang w:val="en-GB"/>
        </w:rPr>
        <w:t xml:space="preserve">For setting up a trade union, the statute of each trade union organization must be signed by at least 20 persons.  The statute must define the name of the organization, the place of its residence, its goals, conditions of acceptance and exclusion of its members, rights and obligations of the members, composition and functioning of the executive bodies, duration of its mandate, participation in federations or confederations and the measures to be taken with its dissolution.  </w:t>
      </w:r>
    </w:p>
    <w:p w:rsidR="00000000" w:rsidRDefault="00000000">
      <w:pPr>
        <w:pStyle w:val="ParaNo"/>
        <w:ind w:left="0" w:firstLine="0"/>
        <w:rPr>
          <w:lang w:val="en-GB"/>
        </w:rPr>
      </w:pPr>
      <w:r>
        <w:rPr>
          <w:lang w:val="en-GB"/>
        </w:rPr>
        <w:t>The trade unions, federations and confederations shall submit their statutes to the Tirana Court of First Instance for their recognition as a legal entity.  The organization becomes a legal entity 60 days after the submission of the documentation to the Tirana Court of First Instance, with exception for the cases when the court decides on the contrary (art. 178).</w:t>
      </w:r>
    </w:p>
    <w:p w:rsidR="00000000" w:rsidRDefault="00000000">
      <w:pPr>
        <w:pStyle w:val="ParaNo"/>
        <w:ind w:left="0" w:firstLine="0"/>
        <w:rPr>
          <w:lang w:val="en-GB"/>
        </w:rPr>
      </w:pPr>
      <w:r>
        <w:rPr>
          <w:lang w:val="en-GB"/>
        </w:rPr>
        <w:t>The court may not add other requirements, and especially may not impose conditions not in compliance with the fundamental human rights guaranteed by the Constitution and article 181 of the Labour Code.</w:t>
      </w:r>
    </w:p>
    <w:p w:rsidR="00000000" w:rsidRDefault="00000000">
      <w:pPr>
        <w:pStyle w:val="ParaNo"/>
        <w:ind w:left="0" w:firstLine="0"/>
        <w:rPr>
          <w:lang w:val="en-GB"/>
        </w:rPr>
      </w:pPr>
      <w:r>
        <w:rPr>
          <w:lang w:val="en-GB"/>
        </w:rPr>
        <w:t xml:space="preserve">Trade unions are social organizations, constituted as voluntary associations of employees, aiming at the protection and representation of the economic, social and professional rights and interests of the members.  The organizations of employers or employees have the right to constitute federations and confederations and to be part of them.  Any organization, federation or confederation has the right to be a member of international organizations of employers or employees.  Pensioners and the unemployed may be registered in employee organizations (art. 176). </w:t>
      </w:r>
    </w:p>
    <w:p w:rsidR="00000000" w:rsidRDefault="00000000">
      <w:pPr>
        <w:pStyle w:val="ParaNo"/>
        <w:ind w:left="0" w:firstLine="0"/>
        <w:rPr>
          <w:lang w:val="en-GB"/>
        </w:rPr>
      </w:pPr>
      <w:r>
        <w:rPr>
          <w:lang w:val="en-GB"/>
        </w:rPr>
        <w:t xml:space="preserve">With Law No. 9125, dated 29 July 2003, the above article changes as follows: </w:t>
      </w:r>
    </w:p>
    <w:p w:rsidR="00000000" w:rsidRDefault="00000000">
      <w:pPr>
        <w:numPr>
          <w:ilvl w:val="0"/>
          <w:numId w:val="175"/>
        </w:numPr>
      </w:pPr>
      <w:r>
        <w:t>Trade unions and employers’ associations are professional organizations.  The professional organizations of employers and employees are social, independent organizations established as voluntary unions, whose objective is the protection and representation of the rights and economic, social and professional interests of their members.</w:t>
      </w:r>
    </w:p>
    <w:p w:rsidR="00000000" w:rsidRDefault="00000000">
      <w:pPr>
        <w:pStyle w:val="ParaNo"/>
        <w:ind w:left="0" w:firstLine="0"/>
        <w:rPr>
          <w:lang w:val="en-GB"/>
        </w:rPr>
      </w:pPr>
      <w:r>
        <w:rPr>
          <w:lang w:val="en-GB"/>
        </w:rPr>
        <w:t>Organizations of employers or employees have the right to constitute federations, confederations and be part of them.  The voluntary association of two or more professional associations constitutes a federation.  The voluntary association of two or more federations constitutes a confederation.  Any organization, federation or confederation has the right to be a member of international organizations of employers or employees.</w:t>
      </w:r>
    </w:p>
    <w:p w:rsidR="00000000" w:rsidRDefault="00000000">
      <w:pPr>
        <w:pStyle w:val="ParaNo"/>
        <w:ind w:left="0" w:firstLine="0"/>
        <w:rPr>
          <w:szCs w:val="26"/>
          <w:lang w:val="en-GB"/>
        </w:rPr>
      </w:pPr>
      <w:r>
        <w:rPr>
          <w:lang w:val="en-GB"/>
        </w:rPr>
        <w:t xml:space="preserve">A trade union is freely organized and administered and drafts its own programme.  Every trade union shall act in compliance with the law.  Discrimination towards trade union representatives is forbidden (art. 181).  </w:t>
      </w:r>
      <w:r>
        <w:rPr>
          <w:szCs w:val="26"/>
          <w:lang w:val="en-GB"/>
        </w:rPr>
        <w:t xml:space="preserve">Any employees’ organization recognized as a legal entity may address the court for the protection of the interests of its members and the fulfilment of the collective contracts (art. 182).  </w:t>
      </w:r>
    </w:p>
    <w:p w:rsidR="00000000" w:rsidRDefault="00000000">
      <w:pPr>
        <w:pStyle w:val="ParaNo"/>
        <w:ind w:left="0" w:firstLine="0"/>
        <w:rPr>
          <w:lang w:val="en-GB"/>
        </w:rPr>
      </w:pPr>
      <w:r>
        <w:rPr>
          <w:lang w:val="en-GB"/>
        </w:rPr>
        <w:t xml:space="preserve">The </w:t>
      </w:r>
      <w:r>
        <w:rPr>
          <w:szCs w:val="26"/>
          <w:lang w:val="en-GB"/>
        </w:rPr>
        <w:t xml:space="preserve">intervention of State authorities during the establishment, activity or administration of the trade union is forbidden as is the intervention of the employers’ association (art. 184). </w:t>
      </w:r>
    </w:p>
    <w:p w:rsidR="00000000" w:rsidRDefault="00000000">
      <w:pPr>
        <w:pStyle w:val="ParaNo"/>
        <w:ind w:left="0" w:firstLine="0"/>
        <w:rPr>
          <w:szCs w:val="26"/>
          <w:lang w:val="en-GB"/>
        </w:rPr>
      </w:pPr>
      <w:r>
        <w:rPr>
          <w:szCs w:val="26"/>
          <w:lang w:val="en-GB"/>
        </w:rPr>
        <w:t xml:space="preserve">The State authority does not interfere in cases of limitations of rights provided by article 182 of this Code, except for violations of law.  The trade union may direct the court to prevent any interference or threat (art. 185). </w:t>
      </w:r>
    </w:p>
    <w:p w:rsidR="00000000" w:rsidRDefault="00000000">
      <w:pPr>
        <w:pStyle w:val="ParaNo"/>
        <w:ind w:left="0" w:firstLine="0"/>
        <w:rPr>
          <w:lang w:val="en-GB"/>
        </w:rPr>
      </w:pPr>
      <w:r>
        <w:rPr>
          <w:lang w:val="en-GB"/>
        </w:rPr>
        <w:t>The closing of a trade union can be done in accordance with the provisions of the statute</w:t>
      </w:r>
      <w:r>
        <w:rPr>
          <w:szCs w:val="26"/>
          <w:lang w:val="en-GB"/>
        </w:rPr>
        <w:t xml:space="preserve">.  </w:t>
      </w:r>
      <w:r>
        <w:rPr>
          <w:lang w:val="en-GB"/>
        </w:rPr>
        <w:t xml:space="preserve">On request of the Minister of Labour or any other authority determined by the law, the Tirana District Court can decide the closing of a trade union in the event of evident violations of the law (art. 187). </w:t>
      </w:r>
    </w:p>
    <w:p w:rsidR="00000000" w:rsidRDefault="00000000">
      <w:pPr>
        <w:pStyle w:val="ParaNo"/>
        <w:ind w:left="0" w:firstLine="0"/>
        <w:rPr>
          <w:szCs w:val="26"/>
          <w:lang w:val="en-GB"/>
        </w:rPr>
      </w:pPr>
      <w:r>
        <w:rPr>
          <w:lang w:val="en-GB"/>
        </w:rPr>
        <w:t xml:space="preserve">At present in Albania there are two main confederations of trade unions, the </w:t>
      </w:r>
      <w:r>
        <w:rPr>
          <w:szCs w:val="26"/>
          <w:lang w:val="en-GB"/>
        </w:rPr>
        <w:t xml:space="preserve">Union of Independent Trade Unions of Albania (BSPSH) and the Confederation of the Trade Unions of Albania (KSSH), with approximately 90,000 members each. </w:t>
      </w:r>
    </w:p>
    <w:p w:rsidR="00000000" w:rsidRDefault="00000000">
      <w:pPr>
        <w:pStyle w:val="ParaNo"/>
        <w:ind w:left="0" w:firstLine="0"/>
        <w:rPr>
          <w:lang w:val="en-GB"/>
        </w:rPr>
      </w:pPr>
      <w:r>
        <w:rPr>
          <w:szCs w:val="26"/>
          <w:lang w:val="en-GB"/>
        </w:rPr>
        <w:t xml:space="preserve">Both KSSH and BSPSH, as well as their member organizations, have established extensive </w:t>
      </w:r>
      <w:r>
        <w:rPr>
          <w:lang w:val="en-GB"/>
        </w:rPr>
        <w:t xml:space="preserve">international relations with trade union organizations in Europe and in other countries.  KSSH is a member of the International Confederation of Free Trade Unions (ICFTU). </w:t>
      </w:r>
    </w:p>
    <w:p w:rsidR="00000000" w:rsidRDefault="00000000">
      <w:pPr>
        <w:pStyle w:val="ParaNo"/>
        <w:ind w:left="0" w:firstLine="0"/>
        <w:rPr>
          <w:lang w:val="en-GB"/>
        </w:rPr>
      </w:pPr>
      <w:r>
        <w:rPr>
          <w:lang w:val="en-GB"/>
        </w:rPr>
        <w:t>Further details on the right to organize collectively and the statistics on trade unions in Albania can be found in the initial report (</w:t>
      </w:r>
      <w:r>
        <w:rPr>
          <w:rStyle w:val="style181"/>
          <w:sz w:val="24"/>
          <w:szCs w:val="24"/>
          <w:lang w:val="en-GB"/>
        </w:rPr>
        <w:t xml:space="preserve">CCPR/C/ALB/2004/1) </w:t>
      </w:r>
      <w:r>
        <w:rPr>
          <w:lang w:val="en-GB"/>
        </w:rPr>
        <w:t xml:space="preserve">on the implementation of the International Covenant on Civil and Political Rights that Albania submitted in February 2004. </w:t>
      </w:r>
    </w:p>
    <w:p w:rsidR="00000000" w:rsidRDefault="00000000">
      <w:pPr>
        <w:pStyle w:val="Heading2"/>
      </w:pPr>
      <w:r>
        <w:t xml:space="preserve">Right to collective bargaining </w:t>
      </w:r>
    </w:p>
    <w:p w:rsidR="00000000" w:rsidRDefault="00000000">
      <w:pPr>
        <w:pStyle w:val="ParaNo"/>
        <w:ind w:left="0" w:firstLine="0"/>
        <w:rPr>
          <w:lang w:val="en-GB"/>
        </w:rPr>
      </w:pPr>
      <w:r>
        <w:rPr>
          <w:lang w:val="en-GB"/>
        </w:rPr>
        <w:t>The Ministry of Labour and Social Affairs promotes collective bargaining</w:t>
      </w:r>
      <w:r>
        <w:rPr>
          <w:szCs w:val="26"/>
          <w:lang w:val="en-GB"/>
        </w:rPr>
        <w:t>.  To this end, </w:t>
      </w:r>
      <w:r>
        <w:rPr>
          <w:lang w:val="en-GB"/>
        </w:rPr>
        <w:t>the Ministry has prepared drafts for various collective agreements, and specialists in labour relations of the Ministry of Labour and Social Affairs attend negotiations on a regular basis and sign collective agreements between interested parties</w:t>
      </w:r>
      <w:r>
        <w:rPr>
          <w:szCs w:val="26"/>
          <w:lang w:val="en-GB"/>
        </w:rPr>
        <w:t xml:space="preserve">.  </w:t>
      </w:r>
    </w:p>
    <w:p w:rsidR="00000000" w:rsidRDefault="00000000">
      <w:pPr>
        <w:pStyle w:val="Heading2"/>
      </w:pPr>
      <w:r>
        <w:t xml:space="preserve">Right to strike </w:t>
      </w:r>
    </w:p>
    <w:p w:rsidR="00000000" w:rsidRDefault="00000000">
      <w:pPr>
        <w:pStyle w:val="ParaNo"/>
        <w:ind w:left="0" w:firstLine="0"/>
        <w:rPr>
          <w:lang w:val="en-GB"/>
        </w:rPr>
      </w:pPr>
      <w:r>
        <w:rPr>
          <w:lang w:val="en-GB"/>
        </w:rPr>
        <w:t>According to the Constitution and the Labour Code, the right to strike is guaranteed</w:t>
      </w:r>
      <w:r>
        <w:rPr>
          <w:szCs w:val="26"/>
          <w:lang w:val="en-GB"/>
        </w:rPr>
        <w:t xml:space="preserve">.  </w:t>
      </w:r>
      <w:r>
        <w:rPr>
          <w:lang w:val="en-GB"/>
        </w:rPr>
        <w:t>Trade unions have the right to strike for the solution of their social and economic requests in compliance with the provisions of the Labour Code</w:t>
      </w:r>
      <w:r>
        <w:rPr>
          <w:szCs w:val="26"/>
          <w:lang w:val="en-GB"/>
        </w:rPr>
        <w:t xml:space="preserve">.  </w:t>
      </w:r>
      <w:r>
        <w:rPr>
          <w:lang w:val="en-GB"/>
        </w:rPr>
        <w:t>Participation in strikes is voluntary</w:t>
      </w:r>
      <w:r>
        <w:rPr>
          <w:szCs w:val="26"/>
          <w:lang w:val="en-GB"/>
        </w:rPr>
        <w:t xml:space="preserve">.  </w:t>
      </w:r>
      <w:r>
        <w:rPr>
          <w:lang w:val="en-GB"/>
        </w:rPr>
        <w:t xml:space="preserve">No one can be obliged to participate in a strike against his will. </w:t>
      </w:r>
    </w:p>
    <w:p w:rsidR="00000000" w:rsidRDefault="00000000">
      <w:pPr>
        <w:pStyle w:val="ParaNo"/>
        <w:ind w:left="0" w:firstLine="0"/>
        <w:rPr>
          <w:lang w:val="en-GB"/>
        </w:rPr>
      </w:pPr>
      <w:r>
        <w:rPr>
          <w:lang w:val="en-GB"/>
        </w:rPr>
        <w:t xml:space="preserve">The right to strike may be exercised only after the conclusion of intermediation and conciliation efforts, with the purpose of concluding labour agreements. </w:t>
      </w:r>
    </w:p>
    <w:p w:rsidR="00000000" w:rsidRDefault="00000000">
      <w:pPr>
        <w:pStyle w:val="ParaNo"/>
        <w:ind w:left="0" w:firstLine="0"/>
        <w:rPr>
          <w:lang w:val="en-GB"/>
        </w:rPr>
      </w:pPr>
      <w:r>
        <w:rPr>
          <w:lang w:val="en-GB"/>
        </w:rPr>
        <w:t xml:space="preserve">Further details, information and statistics on the right to join and establish trade unions, trade unions in Albania and right to strike can be found in the initial report cited above. </w:t>
      </w:r>
    </w:p>
    <w:p w:rsidR="00000000" w:rsidRDefault="00000000">
      <w:pPr>
        <w:pStyle w:val="Heading2"/>
      </w:pPr>
      <w:r>
        <w:t>Article 9</w:t>
      </w:r>
    </w:p>
    <w:p w:rsidR="00000000" w:rsidRDefault="00000000">
      <w:pPr>
        <w:pStyle w:val="Heading2"/>
      </w:pPr>
      <w:r>
        <w:t>Right to social insurance</w:t>
      </w:r>
    </w:p>
    <w:p w:rsidR="00000000" w:rsidRDefault="00000000">
      <w:pPr>
        <w:pStyle w:val="ParaNo"/>
        <w:ind w:left="0" w:firstLine="0"/>
        <w:rPr>
          <w:bCs/>
          <w:szCs w:val="26"/>
          <w:lang w:val="en-GB"/>
        </w:rPr>
      </w:pPr>
      <w:r>
        <w:rPr>
          <w:bCs/>
          <w:szCs w:val="26"/>
          <w:lang w:val="en-GB"/>
        </w:rPr>
        <w:t xml:space="preserve">Albania is not a party to ILO Conventions No. 102, 121, 128, 130 or 168.  As a result, no report on the implementation of the above conventions has been submitted to the </w:t>
      </w:r>
      <w:proofErr w:type="spellStart"/>
      <w:r>
        <w:rPr>
          <w:bCs/>
          <w:szCs w:val="26"/>
          <w:lang w:val="en-GB"/>
        </w:rPr>
        <w:t>ILO</w:t>
      </w:r>
      <w:proofErr w:type="spellEnd"/>
      <w:r>
        <w:rPr>
          <w:bCs/>
          <w:szCs w:val="26"/>
          <w:lang w:val="en-GB"/>
        </w:rPr>
        <w:t xml:space="preserve"> structures. </w:t>
      </w:r>
    </w:p>
    <w:p w:rsidR="00000000" w:rsidRDefault="00000000">
      <w:pPr>
        <w:pStyle w:val="ParaNo"/>
        <w:ind w:left="0" w:firstLine="0"/>
        <w:rPr>
          <w:bCs/>
          <w:szCs w:val="26"/>
          <w:lang w:val="en-GB"/>
        </w:rPr>
      </w:pPr>
      <w:r>
        <w:rPr>
          <w:bCs/>
          <w:szCs w:val="26"/>
          <w:lang w:val="en-GB"/>
        </w:rPr>
        <w:t>In Albania, the following social insurance schemes have been implemented:</w:t>
      </w:r>
    </w:p>
    <w:p w:rsidR="00000000" w:rsidRDefault="00000000">
      <w:pPr>
        <w:numPr>
          <w:ilvl w:val="0"/>
          <w:numId w:val="175"/>
        </w:numPr>
      </w:pPr>
      <w:r>
        <w:t xml:space="preserve">Sickness insurance; </w:t>
      </w:r>
    </w:p>
    <w:p w:rsidR="00000000" w:rsidRDefault="00000000">
      <w:pPr>
        <w:numPr>
          <w:ilvl w:val="0"/>
          <w:numId w:val="175"/>
        </w:numPr>
      </w:pPr>
      <w:r>
        <w:t>Maternity insurance;</w:t>
      </w:r>
    </w:p>
    <w:p w:rsidR="00000000" w:rsidRDefault="00000000">
      <w:pPr>
        <w:numPr>
          <w:ilvl w:val="0"/>
          <w:numId w:val="175"/>
        </w:numPr>
      </w:pPr>
      <w:r>
        <w:t>Occupational-disease and workplace accident insurance;</w:t>
      </w:r>
    </w:p>
    <w:p w:rsidR="00000000" w:rsidRDefault="00000000">
      <w:pPr>
        <w:numPr>
          <w:ilvl w:val="0"/>
          <w:numId w:val="175"/>
        </w:numPr>
      </w:pPr>
      <w:r>
        <w:t>Pensions and disability insurance, and insurance of pensions for dependent persons of the insured party who dies;</w:t>
      </w:r>
    </w:p>
    <w:p w:rsidR="00000000" w:rsidRDefault="00000000">
      <w:pPr>
        <w:numPr>
          <w:ilvl w:val="0"/>
          <w:numId w:val="175"/>
        </w:numPr>
        <w:rPr>
          <w:bCs/>
          <w:szCs w:val="26"/>
        </w:rPr>
      </w:pPr>
      <w:r>
        <w:t>Unemployment</w:t>
      </w:r>
      <w:r>
        <w:rPr>
          <w:bCs/>
          <w:szCs w:val="26"/>
        </w:rPr>
        <w:t xml:space="preserve"> insurance.</w:t>
      </w:r>
    </w:p>
    <w:p w:rsidR="00000000" w:rsidRDefault="00000000">
      <w:pPr>
        <w:pStyle w:val="Heading2"/>
      </w:pPr>
      <w:r>
        <w:br w:type="page"/>
        <w:t>Social insurance</w:t>
      </w:r>
    </w:p>
    <w:p w:rsidR="00000000" w:rsidRDefault="00000000">
      <w:pPr>
        <w:pStyle w:val="ParaNo"/>
        <w:ind w:left="0" w:firstLine="0"/>
        <w:rPr>
          <w:lang w:val="en-GB"/>
        </w:rPr>
      </w:pPr>
      <w:r>
        <w:rPr>
          <w:lang w:val="en-GB"/>
        </w:rPr>
        <w:t xml:space="preserve">The overall social insurance system consists of: </w:t>
      </w:r>
    </w:p>
    <w:p w:rsidR="00000000" w:rsidRDefault="00000000">
      <w:pPr>
        <w:numPr>
          <w:ilvl w:val="0"/>
          <w:numId w:val="175"/>
        </w:numPr>
      </w:pPr>
      <w:r>
        <w:t xml:space="preserve">Mandatory insurance; </w:t>
      </w:r>
    </w:p>
    <w:p w:rsidR="00000000" w:rsidRDefault="00000000">
      <w:pPr>
        <w:numPr>
          <w:ilvl w:val="0"/>
          <w:numId w:val="175"/>
        </w:numPr>
      </w:pPr>
      <w:r>
        <w:t xml:space="preserve">Voluntary insurance; </w:t>
      </w:r>
    </w:p>
    <w:p w:rsidR="00000000" w:rsidRDefault="00000000">
      <w:pPr>
        <w:numPr>
          <w:ilvl w:val="0"/>
          <w:numId w:val="175"/>
        </w:numPr>
      </w:pPr>
      <w:r>
        <w:t xml:space="preserve">Supplementary insurance; and </w:t>
      </w:r>
    </w:p>
    <w:p w:rsidR="00000000" w:rsidRDefault="00000000">
      <w:pPr>
        <w:numPr>
          <w:ilvl w:val="0"/>
          <w:numId w:val="175"/>
        </w:numPr>
        <w:rPr>
          <w:b/>
          <w:bCs/>
        </w:rPr>
      </w:pPr>
      <w:r>
        <w:t xml:space="preserve">Special State pensions. </w:t>
      </w:r>
    </w:p>
    <w:p w:rsidR="00000000" w:rsidRDefault="00000000">
      <w:pPr>
        <w:pStyle w:val="ParaNo"/>
        <w:ind w:left="0" w:firstLine="0"/>
        <w:rPr>
          <w:lang w:val="en-GB"/>
        </w:rPr>
      </w:pPr>
      <w:r>
        <w:rPr>
          <w:lang w:val="en-GB"/>
        </w:rPr>
        <w:t>The Albanian system of social insurance provides coverage only to employed persons</w:t>
      </w:r>
      <w:r>
        <w:rPr>
          <w:bCs/>
          <w:szCs w:val="26"/>
          <w:lang w:val="en-GB"/>
        </w:rPr>
        <w:t xml:space="preserve">.  </w:t>
      </w:r>
      <w:r>
        <w:rPr>
          <w:lang w:val="en-GB"/>
        </w:rPr>
        <w:t>The scheme is funded by contributions by employed persons, employers and the self-employed, representing as such a “pay-as-you-go” approach, which guarantees the perennity of the scheme</w:t>
      </w:r>
      <w:r>
        <w:rPr>
          <w:bCs/>
          <w:szCs w:val="26"/>
          <w:lang w:val="en-GB"/>
        </w:rPr>
        <w:t xml:space="preserve">.  It </w:t>
      </w:r>
      <w:r>
        <w:rPr>
          <w:lang w:val="en-GB"/>
        </w:rPr>
        <w:t xml:space="preserve">guarantees benefits for persons whose incomes are interrupted because of disease, old age, invalidity, unemployment, an accident at work, pregnancy, or the death of the family breadwinner. </w:t>
      </w:r>
    </w:p>
    <w:p w:rsidR="00000000" w:rsidRDefault="00000000">
      <w:pPr>
        <w:pStyle w:val="Heading2"/>
      </w:pPr>
      <w:r>
        <w:t>Social security benefits awarded because of disease</w:t>
      </w:r>
    </w:p>
    <w:p w:rsidR="00000000" w:rsidRDefault="00000000">
      <w:pPr>
        <w:pStyle w:val="ParaNo"/>
        <w:ind w:left="0" w:firstLine="0"/>
        <w:rPr>
          <w:bCs/>
          <w:lang w:val="en-GB"/>
        </w:rPr>
      </w:pPr>
      <w:r>
        <w:rPr>
          <w:lang w:val="en-GB"/>
        </w:rPr>
        <w:t>The objectives are coverage of the temporary loss of working capability, as a consequence of a disease in general, and not a consequence due to work accident or vocational disease</w:t>
      </w:r>
      <w:r>
        <w:rPr>
          <w:bCs/>
          <w:szCs w:val="26"/>
          <w:lang w:val="en-GB"/>
        </w:rPr>
        <w:t xml:space="preserve">.  </w:t>
      </w:r>
      <w:r>
        <w:rPr>
          <w:lang w:val="en-GB"/>
        </w:rPr>
        <w:t>All insured persons whose temporary loss of working capability can be proved by a sick leave, are entitled to benefits under this security scheme</w:t>
      </w:r>
      <w:r>
        <w:rPr>
          <w:bCs/>
          <w:szCs w:val="26"/>
          <w:lang w:val="en-GB"/>
        </w:rPr>
        <w:t xml:space="preserve">.  </w:t>
      </w:r>
      <w:r>
        <w:rPr>
          <w:bCs/>
          <w:lang w:val="en-GB"/>
        </w:rPr>
        <w:t xml:space="preserve">Social security benefits paid because of disease start 15 days after the inability to work has occurred.  The benefits under this branch are received in cash. </w:t>
      </w:r>
    </w:p>
    <w:p w:rsidR="00000000" w:rsidRDefault="00000000">
      <w:pPr>
        <w:pStyle w:val="Heading2"/>
      </w:pPr>
      <w:r>
        <w:t>Unemployment benefits</w:t>
      </w:r>
    </w:p>
    <w:p w:rsidR="00000000" w:rsidRDefault="00000000">
      <w:pPr>
        <w:pStyle w:val="ParaNo"/>
        <w:ind w:left="0" w:firstLine="0"/>
        <w:rPr>
          <w:lang w:val="en-GB"/>
        </w:rPr>
      </w:pPr>
      <w:r>
        <w:rPr>
          <w:lang w:val="en-GB"/>
        </w:rPr>
        <w:t>Unemployment benefits comprise a base amount sufficient to ensure a minimum living standard, which is annually established by a decision of the Council of Ministers, taking into account the annual index of prices</w:t>
      </w:r>
      <w:r>
        <w:rPr>
          <w:bCs/>
          <w:lang w:val="en-GB"/>
        </w:rPr>
        <w:t xml:space="preserve">.  </w:t>
      </w:r>
      <w:r>
        <w:rPr>
          <w:lang w:val="en-GB"/>
        </w:rPr>
        <w:t xml:space="preserve">All persons insured for at least 12 months are entitled to receive these benefits, if they can prove their unemployment.  They have no other benefits from the social security services, except partial disability benefit. </w:t>
      </w:r>
    </w:p>
    <w:p w:rsidR="00000000" w:rsidRDefault="00000000">
      <w:pPr>
        <w:pStyle w:val="Heading2"/>
      </w:pPr>
      <w:r>
        <w:t>Maternity benefits</w:t>
      </w:r>
    </w:p>
    <w:p w:rsidR="00000000" w:rsidRDefault="00000000">
      <w:pPr>
        <w:pStyle w:val="ParaNo"/>
        <w:ind w:left="0" w:firstLine="0"/>
        <w:rPr>
          <w:bCs/>
          <w:lang w:val="en-GB"/>
        </w:rPr>
      </w:pPr>
      <w:r>
        <w:rPr>
          <w:lang w:val="en-GB"/>
        </w:rPr>
        <w:t>The period of benefits for maternity leave is 365 days, including a minimum of 35 days before delivery and 42 days after delivery (art. 104, Labour Code).  T</w:t>
      </w:r>
      <w:r>
        <w:rPr>
          <w:bCs/>
          <w:lang w:val="en-GB"/>
        </w:rPr>
        <w:t xml:space="preserve">hese benefits are in cash.  Apart from pregnancy, one of the preconditions to be entitled to receive it is having contributed to the social insurance scheme for at least 12 months.  </w:t>
      </w:r>
      <w:r>
        <w:rPr>
          <w:lang w:val="en-GB"/>
        </w:rPr>
        <w:t>An employed woman receives during maternity leave 80 per cent of the average daily payment for the period before birth and 50 per cent of the average daily payment for 150 days after birth, based on the average of her previous year’s salary</w:t>
      </w:r>
      <w:r>
        <w:rPr>
          <w:bCs/>
          <w:lang w:val="en-GB"/>
        </w:rPr>
        <w:t xml:space="preserve">.  </w:t>
      </w:r>
      <w:r>
        <w:rPr>
          <w:lang w:val="en-GB"/>
        </w:rPr>
        <w:t>Maternity-leave benefits for employed women are equal to her pension benefits</w:t>
      </w:r>
      <w:r>
        <w:rPr>
          <w:bCs/>
          <w:lang w:val="en-GB"/>
        </w:rPr>
        <w:t xml:space="preserve">.  For each child born, the benefits comprise 50 per cent of the minimum monthly wage. </w:t>
      </w:r>
    </w:p>
    <w:p w:rsidR="00000000" w:rsidRDefault="00000000">
      <w:pPr>
        <w:pStyle w:val="Heading2"/>
      </w:pPr>
      <w:r>
        <w:t>Social insurance benefits due to accidents at work</w:t>
      </w:r>
    </w:p>
    <w:p w:rsidR="00000000" w:rsidRDefault="00000000">
      <w:pPr>
        <w:pStyle w:val="ParaNo"/>
        <w:ind w:left="0" w:firstLine="0"/>
        <w:rPr>
          <w:lang w:val="en-GB"/>
        </w:rPr>
      </w:pPr>
      <w:r>
        <w:rPr>
          <w:lang w:val="en-GB"/>
        </w:rPr>
        <w:t>Persons eligible for benefits under this insurance scheme are those who have accidents at work and vocational sicknesses</w:t>
      </w:r>
      <w:r>
        <w:rPr>
          <w:bCs/>
          <w:lang w:val="en-GB"/>
        </w:rPr>
        <w:t xml:space="preserve">.  </w:t>
      </w:r>
      <w:r>
        <w:rPr>
          <w:lang w:val="en-GB"/>
        </w:rPr>
        <w:t xml:space="preserve">The benefits under this scheme comprise: </w:t>
      </w:r>
    </w:p>
    <w:p w:rsidR="00000000" w:rsidRDefault="00000000">
      <w:pPr>
        <w:numPr>
          <w:ilvl w:val="0"/>
          <w:numId w:val="175"/>
        </w:numPr>
      </w:pPr>
      <w:r>
        <w:t xml:space="preserve">Medical care and supplements for rehabilitation; </w:t>
      </w:r>
    </w:p>
    <w:p w:rsidR="00000000" w:rsidRDefault="00000000">
      <w:pPr>
        <w:numPr>
          <w:ilvl w:val="0"/>
          <w:numId w:val="175"/>
        </w:numPr>
      </w:pPr>
      <w:r>
        <w:t xml:space="preserve">Benefits in the case of disability; </w:t>
      </w:r>
    </w:p>
    <w:p w:rsidR="00000000" w:rsidRDefault="00000000">
      <w:pPr>
        <w:numPr>
          <w:ilvl w:val="0"/>
          <w:numId w:val="175"/>
        </w:numPr>
      </w:pPr>
      <w:r>
        <w:t xml:space="preserve">Compensation for reasonable damages; and </w:t>
      </w:r>
    </w:p>
    <w:p w:rsidR="00000000" w:rsidRDefault="00000000">
      <w:pPr>
        <w:numPr>
          <w:ilvl w:val="0"/>
          <w:numId w:val="175"/>
        </w:numPr>
      </w:pPr>
      <w:r>
        <w:t xml:space="preserve">Benefits in the case of death. </w:t>
      </w:r>
    </w:p>
    <w:p w:rsidR="00000000" w:rsidRDefault="00000000">
      <w:pPr>
        <w:pStyle w:val="ParaNo"/>
        <w:ind w:left="0" w:firstLine="0"/>
        <w:rPr>
          <w:lang w:val="en-GB"/>
        </w:rPr>
      </w:pPr>
      <w:r>
        <w:rPr>
          <w:lang w:val="en-GB"/>
        </w:rPr>
        <w:t xml:space="preserve">In the case of permanent disability, the amount comprises 100 per cent coverage for 12 months, calculated on the average daily payment for the last 3 years, and 80 per cent of the average daily payment for the last 3 years, in case of partial disability. </w:t>
      </w:r>
    </w:p>
    <w:p w:rsidR="00000000" w:rsidRDefault="00000000">
      <w:pPr>
        <w:pStyle w:val="Heading2"/>
      </w:pPr>
      <w:r>
        <w:t xml:space="preserve">Old-age pension, disability and family benefits </w:t>
      </w:r>
    </w:p>
    <w:p w:rsidR="00000000" w:rsidRDefault="00000000">
      <w:pPr>
        <w:pStyle w:val="ParaNo"/>
        <w:ind w:left="0" w:firstLine="0"/>
        <w:rPr>
          <w:lang w:val="en-GB"/>
        </w:rPr>
      </w:pPr>
      <w:r>
        <w:rPr>
          <w:lang w:val="en-GB"/>
        </w:rPr>
        <w:t>Pursuant to Albanian legal provisions, women are entitled to their full pension at the age of 60 and men at 65, provided they have been insured for 35 years and do not perform any economic activity</w:t>
      </w:r>
      <w:r>
        <w:rPr>
          <w:bCs/>
          <w:lang w:val="en-GB"/>
        </w:rPr>
        <w:t xml:space="preserve">.  </w:t>
      </w:r>
      <w:r>
        <w:rPr>
          <w:lang w:val="en-GB"/>
        </w:rPr>
        <w:t xml:space="preserve">Those who have been insured for more than 20 years and are older than 35 are eligible to receive a partial pension. </w:t>
      </w:r>
    </w:p>
    <w:p w:rsidR="00000000" w:rsidRDefault="00000000">
      <w:pPr>
        <w:pStyle w:val="ParaNo"/>
        <w:ind w:left="0" w:firstLine="0"/>
        <w:rPr>
          <w:bCs/>
          <w:lang w:val="en-GB"/>
        </w:rPr>
      </w:pPr>
      <w:r>
        <w:rPr>
          <w:bCs/>
          <w:lang w:val="en-GB"/>
        </w:rPr>
        <w:t xml:space="preserve">All persons who become disabled because of serious mutilations or bodily harm (attested by the Medical Commission Responsible for the Determination of the Incapacity for Work) during the insurance period are entitled to a disability pension, except for cases of accidents at work and vocational sickness.  </w:t>
      </w:r>
    </w:p>
    <w:p w:rsidR="00000000" w:rsidRDefault="00000000">
      <w:pPr>
        <w:pStyle w:val="ParaNo"/>
        <w:ind w:left="0" w:firstLine="0"/>
        <w:rPr>
          <w:bCs/>
          <w:lang w:val="en-GB"/>
        </w:rPr>
      </w:pPr>
      <w:r>
        <w:rPr>
          <w:bCs/>
          <w:lang w:val="en-GB"/>
        </w:rPr>
        <w:t xml:space="preserve">The provisions on social insurance provide also for a partial disability pension, assuming that the disabled person can work in special working conditions.  This pension amounts to half of the full disability pension. </w:t>
      </w:r>
    </w:p>
    <w:p w:rsidR="00000000" w:rsidRDefault="00000000">
      <w:pPr>
        <w:pStyle w:val="ParaNo"/>
        <w:ind w:left="0" w:firstLine="0"/>
        <w:rPr>
          <w:lang w:val="en-GB"/>
        </w:rPr>
      </w:pPr>
      <w:r>
        <w:rPr>
          <w:lang w:val="en-GB"/>
        </w:rPr>
        <w:t>A person is eligible for a family pension after it is proved that he was maintained by the person who died, within the calendar year after the insurance termination, provided that the deceased was receiving a retirement pension or had fulfilled the requirements for a disability or old</w:t>
      </w:r>
      <w:r>
        <w:rPr>
          <w:lang w:val="en-GB"/>
        </w:rPr>
        <w:noBreakHyphen/>
        <w:t xml:space="preserve">age pension. </w:t>
      </w:r>
    </w:p>
    <w:p w:rsidR="00000000" w:rsidRDefault="00000000">
      <w:pPr>
        <w:pStyle w:val="Heading3"/>
      </w:pPr>
      <w:r>
        <w:t>Mandatory insurance</w:t>
      </w:r>
    </w:p>
    <w:p w:rsidR="00000000" w:rsidRDefault="00000000">
      <w:pPr>
        <w:pStyle w:val="ParaNo"/>
        <w:ind w:left="0" w:firstLine="0"/>
        <w:rPr>
          <w:lang w:val="en-GB"/>
        </w:rPr>
      </w:pPr>
      <w:r>
        <w:rPr>
          <w:lang w:val="en-GB"/>
        </w:rPr>
        <w:t>Mandatory insurance in Albania is based on contributions paid by the employer, the self</w:t>
      </w:r>
      <w:r>
        <w:rPr>
          <w:lang w:val="en-GB"/>
        </w:rPr>
        <w:noBreakHyphen/>
        <w:t>employed worker or an employee</w:t>
      </w:r>
      <w:r>
        <w:rPr>
          <w:b/>
          <w:lang w:val="en-GB"/>
        </w:rPr>
        <w:t xml:space="preserve">.  </w:t>
      </w:r>
      <w:r>
        <w:rPr>
          <w:lang w:val="en-GB"/>
        </w:rPr>
        <w:t>The employee has to be insured for temporary disability due to sickness, pregnancy, old age or invalidity, loss of a family carer, workplace accidents, work</w:t>
      </w:r>
      <w:r>
        <w:rPr>
          <w:lang w:val="en-GB"/>
        </w:rPr>
        <w:noBreakHyphen/>
        <w:t>related diseases and unemployment.</w:t>
      </w:r>
    </w:p>
    <w:p w:rsidR="00000000" w:rsidRDefault="00000000">
      <w:pPr>
        <w:pStyle w:val="ParaNo"/>
        <w:ind w:left="0" w:firstLine="0"/>
        <w:rPr>
          <w:bCs/>
          <w:szCs w:val="26"/>
          <w:lang w:val="en-GB"/>
        </w:rPr>
      </w:pPr>
      <w:r>
        <w:rPr>
          <w:bCs/>
          <w:szCs w:val="26"/>
          <w:lang w:val="en-GB"/>
        </w:rPr>
        <w:t>The employer and the self-employed worker have to be insured for maternity leave, old age, invalidity and loss of family carer.  Mandatory social insurance is provided by the amended Law No. 7703, dated 11 May 1993.</w:t>
      </w:r>
    </w:p>
    <w:p w:rsidR="00000000" w:rsidRDefault="00000000">
      <w:pPr>
        <w:pStyle w:val="ParaNo"/>
        <w:ind w:left="0" w:firstLine="0"/>
        <w:rPr>
          <w:bCs/>
          <w:szCs w:val="26"/>
          <w:lang w:val="en-GB"/>
        </w:rPr>
      </w:pPr>
      <w:r>
        <w:rPr>
          <w:bCs/>
          <w:szCs w:val="26"/>
          <w:lang w:val="en-GB"/>
        </w:rPr>
        <w:t xml:space="preserve">Due to objective reasons, voluntary payment of contributions for benefits from the mandatory social insurance scheme is permitted.  This is done based on article 3 of the Law No. 7703, dated 11 May 1993, and Regulation No. 9, dated 21 October 1994, “On voluntary insurance in ISI (Institution of Social Insurance)”.  For the management of the mandatory social insurance scheme in June 1992, a decision of the Council of Ministers established the Institution of Social Insurance. </w:t>
      </w:r>
    </w:p>
    <w:p w:rsidR="00000000" w:rsidRDefault="00000000">
      <w:pPr>
        <w:pStyle w:val="Heading3"/>
      </w:pPr>
      <w:r>
        <w:t>Percentage and types of contributions</w:t>
      </w:r>
    </w:p>
    <w:p w:rsidR="00000000" w:rsidRDefault="00000000">
      <w:pPr>
        <w:pStyle w:val="Heading4"/>
      </w:pPr>
      <w:r>
        <w:t>Employers’ and employees’ contributions</w:t>
      </w:r>
    </w:p>
    <w:p w:rsidR="00000000" w:rsidRDefault="00000000">
      <w:pPr>
        <w:pStyle w:val="ParaNo"/>
        <w:ind w:left="0" w:firstLine="0"/>
      </w:pPr>
      <w:r>
        <w:t xml:space="preserve">The social insurance contribution of 38.5 per cent is divided between the employer and employee pursuant to the type of insurance, as follows:  in case of insurance for sickness, maternity leave, invalidity, family and old-age pensions, the employer pays 23.5 per cent of the gross amount listed in the payroll, whilst the employee pays 9.5 per cent of his gross salary.  </w:t>
      </w:r>
      <w:proofErr w:type="spellStart"/>
      <w:r>
        <w:t>The</w:t>
      </w:r>
      <w:proofErr w:type="spellEnd"/>
      <w:r>
        <w:t> </w:t>
      </w:r>
      <w:proofErr w:type="spellStart"/>
      <w:r>
        <w:t>above</w:t>
      </w:r>
      <w:proofErr w:type="spellEnd"/>
      <w:r>
        <w:t xml:space="preserve"> </w:t>
      </w:r>
      <w:proofErr w:type="spellStart"/>
      <w:r>
        <w:t>percentages</w:t>
      </w:r>
      <w:proofErr w:type="spellEnd"/>
      <w:r>
        <w:t xml:space="preserve"> are applied to the following salaries, minimum salary 10,343 lek and maximum salary 51,000 lek.  (The above salaries are in force since 1 July 2003.  The Council of Ministers, every year for social insurance contribution reasons, defines by decision the minimum and maximum salary.) </w:t>
      </w:r>
    </w:p>
    <w:p w:rsidR="00000000" w:rsidRDefault="00000000">
      <w:pPr>
        <w:pStyle w:val="ParaNo"/>
        <w:ind w:left="0" w:firstLine="0"/>
        <w:rPr>
          <w:bCs/>
          <w:szCs w:val="26"/>
          <w:lang w:val="en-GB"/>
        </w:rPr>
      </w:pPr>
      <w:r>
        <w:rPr>
          <w:bCs/>
          <w:szCs w:val="26"/>
          <w:lang w:val="en-GB"/>
        </w:rPr>
        <w:t>The employer is liable to pay contributions of 0.5 per cent of the payroll for employment accidents and occupational diseases and 5 per cent of payroll in case of unemployment.</w:t>
      </w:r>
    </w:p>
    <w:p w:rsidR="00000000" w:rsidRDefault="00000000">
      <w:pPr>
        <w:pStyle w:val="Heading2"/>
      </w:pPr>
      <w:r>
        <w:t>Sickness insurance branch</w:t>
      </w:r>
    </w:p>
    <w:p w:rsidR="00000000" w:rsidRDefault="00000000">
      <w:pPr>
        <w:pStyle w:val="ParaNo"/>
        <w:ind w:left="0" w:firstLine="0"/>
        <w:rPr>
          <w:szCs w:val="26"/>
          <w:lang w:val="en-GB"/>
        </w:rPr>
      </w:pPr>
      <w:r>
        <w:rPr>
          <w:szCs w:val="26"/>
          <w:lang w:val="en-GB"/>
        </w:rPr>
        <w:t xml:space="preserve">Pursuant to the Albanian law on social insurance, the sickness benefit shall be awarded to the insured persons provided they are temporarily incapable to work due to general sickness and not an employment accident or occupational disease.  The main condition for being awarded a sickness benefit is that the person to be insured must be medically certified as being temporarily incapable of work due to general sickness.  The waiting period is 15 days.  The benefits are in cash.  </w:t>
      </w:r>
    </w:p>
    <w:p w:rsidR="00000000" w:rsidRDefault="00000000">
      <w:pPr>
        <w:pStyle w:val="ParaNo"/>
        <w:ind w:left="0" w:firstLine="0"/>
        <w:rPr>
          <w:szCs w:val="26"/>
          <w:lang w:val="en-GB"/>
        </w:rPr>
      </w:pPr>
      <w:r>
        <w:rPr>
          <w:lang w:val="en-GB"/>
        </w:rPr>
        <w:t>T</w:t>
      </w:r>
      <w:r>
        <w:rPr>
          <w:szCs w:val="26"/>
          <w:lang w:val="en-GB"/>
        </w:rPr>
        <w:t xml:space="preserve">he benefit period lasts not more than six months from the date of the payment.  The benefit period may be exceptionally extended for another three months, provided that a medical experts’ committee certifies that the insured person concerned shall recover in that period and not be declared as disabled.  The benefit period for seasonal and temporary workers, who have been employed at least 3 months in the last 12 months, shall be up to 75 days.  Another benefit is income compensation in the case of job place changing.  Only employed persons are entitled to the above benefit. </w:t>
      </w:r>
    </w:p>
    <w:p w:rsidR="00000000" w:rsidRDefault="00000000">
      <w:pPr>
        <w:pStyle w:val="ParaNo"/>
        <w:ind w:left="0" w:firstLine="0"/>
        <w:rPr>
          <w:bCs/>
          <w:szCs w:val="26"/>
          <w:lang w:val="en-GB"/>
        </w:rPr>
      </w:pPr>
      <w:r>
        <w:rPr>
          <w:bCs/>
          <w:szCs w:val="26"/>
          <w:lang w:val="en-GB"/>
        </w:rPr>
        <w:t>According to the Albanian legislation, the waiting period is 14 days.  Thus, within the first 14 days (as provided in the Labour Code as well) the employer is liable to pay the benefit to the employee and, after that period, the employee regularly receives benefits from social security.</w:t>
      </w:r>
    </w:p>
    <w:p w:rsidR="00000000" w:rsidRDefault="00000000">
      <w:pPr>
        <w:pStyle w:val="Heading2"/>
      </w:pPr>
      <w:r>
        <w:br w:type="page"/>
        <w:t>Unemployment benefits</w:t>
      </w:r>
    </w:p>
    <w:p w:rsidR="00000000" w:rsidRDefault="00000000">
      <w:pPr>
        <w:pStyle w:val="ParaNo"/>
        <w:ind w:left="0" w:firstLine="0"/>
        <w:rPr>
          <w:szCs w:val="26"/>
          <w:lang w:val="en-GB"/>
        </w:rPr>
      </w:pPr>
      <w:r>
        <w:rPr>
          <w:lang w:val="en-GB"/>
        </w:rPr>
        <w:t>The</w:t>
      </w:r>
      <w:r>
        <w:rPr>
          <w:szCs w:val="26"/>
          <w:lang w:val="en-GB"/>
        </w:rPr>
        <w:t xml:space="preserve"> Albanian legislation provides the following conditions for the unemployment benefit branch: </w:t>
      </w:r>
    </w:p>
    <w:p w:rsidR="00000000" w:rsidRDefault="00000000">
      <w:pPr>
        <w:numPr>
          <w:ilvl w:val="0"/>
          <w:numId w:val="175"/>
        </w:numPr>
      </w:pPr>
      <w:r>
        <w:rPr>
          <w:szCs w:val="26"/>
        </w:rPr>
        <w:t xml:space="preserve">The </w:t>
      </w:r>
      <w:r>
        <w:t xml:space="preserve">interested person must have contributed to social insurance for at least 12 months; </w:t>
      </w:r>
    </w:p>
    <w:p w:rsidR="00000000" w:rsidRDefault="00000000">
      <w:pPr>
        <w:numPr>
          <w:ilvl w:val="0"/>
          <w:numId w:val="175"/>
        </w:numPr>
        <w:rPr>
          <w:szCs w:val="26"/>
        </w:rPr>
      </w:pPr>
      <w:r>
        <w:t>The person must be certified by the competent office as being unemployed and willing to undergo</w:t>
      </w:r>
      <w:r>
        <w:rPr>
          <w:szCs w:val="26"/>
        </w:rPr>
        <w:t xml:space="preserve"> training and retraining; and </w:t>
      </w:r>
    </w:p>
    <w:p w:rsidR="00000000" w:rsidRDefault="00000000">
      <w:pPr>
        <w:numPr>
          <w:ilvl w:val="0"/>
          <w:numId w:val="175"/>
        </w:numPr>
        <w:rPr>
          <w:szCs w:val="26"/>
        </w:rPr>
      </w:pPr>
      <w:r>
        <w:rPr>
          <w:szCs w:val="26"/>
        </w:rPr>
        <w:t xml:space="preserve">Has no </w:t>
      </w:r>
      <w:r>
        <w:t>other</w:t>
      </w:r>
      <w:r>
        <w:rPr>
          <w:szCs w:val="26"/>
        </w:rPr>
        <w:t xml:space="preserve"> benefit by the social insurance, except the partial disability pension.</w:t>
      </w:r>
    </w:p>
    <w:p w:rsidR="00000000" w:rsidRDefault="00000000">
      <w:pPr>
        <w:pStyle w:val="ParaNo"/>
        <w:ind w:left="0" w:firstLine="0"/>
        <w:rPr>
          <w:szCs w:val="26"/>
          <w:lang w:val="en-GB"/>
        </w:rPr>
      </w:pPr>
      <w:r>
        <w:rPr>
          <w:szCs w:val="26"/>
          <w:lang w:val="en-GB"/>
        </w:rPr>
        <w:t xml:space="preserve">The unemployment benefit shall be a flat rate, of an amount to provide at least for a minimum living standard, annually indexed by the decision of the Council of Ministers with regard to the price index of selected commodities.  The flat-rate-base benefit shall be decided by the Council of Ministers. </w:t>
      </w:r>
    </w:p>
    <w:p w:rsidR="00000000" w:rsidRDefault="00000000">
      <w:pPr>
        <w:pStyle w:val="ParaNo"/>
        <w:ind w:left="0" w:firstLine="0"/>
        <w:rPr>
          <w:szCs w:val="26"/>
          <w:lang w:val="en-GB"/>
        </w:rPr>
      </w:pPr>
      <w:r>
        <w:rPr>
          <w:lang w:val="en-GB"/>
        </w:rPr>
        <w:t>The</w:t>
      </w:r>
      <w:r>
        <w:rPr>
          <w:szCs w:val="26"/>
          <w:lang w:val="en-GB"/>
        </w:rPr>
        <w:t xml:space="preserve"> beneficiary with dependent children of up to 15 years of age shall receive a flat-rate family supplement, payable in respect of each dependent child, at the level of 5 per cent of the unemployment benefit, subject to a maximum of 20 per cent.  If one of the parents is employed or entitled to a full pension, such a supplement should be reduced by 50 per cent.  The unemployment benefit shall be payable up to 12 months. </w:t>
      </w:r>
    </w:p>
    <w:p w:rsidR="00000000" w:rsidRDefault="00000000">
      <w:pPr>
        <w:pStyle w:val="ParaNo"/>
        <w:rPr>
          <w:rFonts w:cs="Courier New"/>
          <w:bCs/>
          <w:lang w:val="en-GB"/>
        </w:rPr>
      </w:pPr>
      <w:r>
        <w:rPr>
          <w:lang w:val="en-GB"/>
        </w:rPr>
        <w:t>According to our legal provisions, the protected person is the employed one.  Pursuant to the Albanian legislation, the person is eligible to receive the benefit from the first day of unemployment for up to 12 months.</w:t>
      </w:r>
      <w:r>
        <w:rPr>
          <w:rFonts w:cs="Courier New"/>
          <w:b/>
          <w:lang w:val="en-GB"/>
        </w:rPr>
        <w:t xml:space="preserve"> </w:t>
      </w:r>
    </w:p>
    <w:p w:rsidR="00000000" w:rsidRDefault="00000000">
      <w:pPr>
        <w:pStyle w:val="Heading2"/>
      </w:pPr>
      <w:r>
        <w:t>Maternity</w:t>
      </w:r>
    </w:p>
    <w:p w:rsidR="00000000" w:rsidRDefault="00000000">
      <w:pPr>
        <w:pStyle w:val="ParaNo"/>
        <w:ind w:left="0" w:firstLine="0"/>
        <w:rPr>
          <w:szCs w:val="26"/>
          <w:lang w:val="en-GB"/>
        </w:rPr>
      </w:pPr>
      <w:r>
        <w:rPr>
          <w:szCs w:val="26"/>
          <w:lang w:val="en-GB"/>
        </w:rPr>
        <w:t xml:space="preserve">According to the Albanian law on social insurance, maternity benefits shall be payable to a woman provided that she has acquired 12 months of social insurance.  The law provides income compensation in case of her changing her job. </w:t>
      </w:r>
    </w:p>
    <w:p w:rsidR="00000000" w:rsidRDefault="00000000">
      <w:pPr>
        <w:pStyle w:val="Heading2"/>
      </w:pPr>
      <w:r>
        <w:t>Employment accidents</w:t>
      </w:r>
    </w:p>
    <w:p w:rsidR="00000000" w:rsidRDefault="00000000">
      <w:pPr>
        <w:pStyle w:val="ParaNo"/>
        <w:ind w:left="0" w:firstLine="0"/>
        <w:rPr>
          <w:szCs w:val="26"/>
          <w:lang w:val="en-GB"/>
        </w:rPr>
      </w:pPr>
      <w:r>
        <w:rPr>
          <w:szCs w:val="26"/>
          <w:lang w:val="en-GB"/>
        </w:rPr>
        <w:t xml:space="preserve">Insured persons who suffer an employment accident or workplace disease are entitled to benefits, regardless of work level.  The benefit includes:  (a) additional medical care and rehabilitation; (b) benefits in case of incapacity; (c) compensation for reasonable damages; and (d) benefits in case of death. </w:t>
      </w:r>
    </w:p>
    <w:p w:rsidR="00000000" w:rsidRDefault="00000000">
      <w:pPr>
        <w:pStyle w:val="ParaNo"/>
        <w:ind w:left="0" w:firstLine="0"/>
        <w:rPr>
          <w:bCs/>
          <w:szCs w:val="26"/>
          <w:lang w:val="en-GB"/>
        </w:rPr>
      </w:pPr>
      <w:r>
        <w:rPr>
          <w:bCs/>
          <w:szCs w:val="26"/>
          <w:lang w:val="en-GB"/>
        </w:rPr>
        <w:t xml:space="preserve">In case of temporary incapacity, the employee shall be awarded a benefit equal to 100 per cent of average daily wage for the last three years, payable for a benefit period of up to 12 months.  The benefit in respect of permanent working disability, incurring at least 67 per cent of working capacity lost, shall be equal to 80 per cent of the average wage for the last three years.  The benefit in respect of partial permanent disability to work, incurring at least a </w:t>
      </w:r>
      <w:r>
        <w:rPr>
          <w:lang w:val="en-GB"/>
        </w:rPr>
        <w:t>33 per</w:t>
      </w:r>
      <w:r>
        <w:rPr>
          <w:bCs/>
          <w:szCs w:val="26"/>
          <w:lang w:val="en-GB"/>
        </w:rPr>
        <w:t xml:space="preserve"> cent loss of working capacity, shall equal 80 per cent of the average wage of the last </w:t>
      </w:r>
    </w:p>
    <w:p w:rsidR="00000000" w:rsidRDefault="00000000">
      <w:r>
        <w:br w:type="page"/>
        <w:t xml:space="preserve">three years.  This depends upon the degree of the working capacity lost, but not less than 50 per cent.  The benefit in respect of minor permanent incapacity, of less than 33 per cent but more than 10 per cent, shall be a lump sum paid at once. </w:t>
      </w:r>
    </w:p>
    <w:p w:rsidR="00000000" w:rsidRDefault="00000000">
      <w:pPr>
        <w:pStyle w:val="ParaNo"/>
        <w:ind w:left="0" w:firstLine="0"/>
        <w:rPr>
          <w:bCs/>
          <w:szCs w:val="26"/>
          <w:lang w:val="en-GB"/>
        </w:rPr>
      </w:pPr>
      <w:r>
        <w:rPr>
          <w:lang w:val="en-GB"/>
        </w:rPr>
        <w:t>T</w:t>
      </w:r>
      <w:r>
        <w:rPr>
          <w:bCs/>
          <w:szCs w:val="26"/>
          <w:lang w:val="en-GB"/>
        </w:rPr>
        <w:t xml:space="preserve">he person who supplies the funeral expenses for an insured person who died due to an employment accident or occupational disease shall be fully reimbursed.  When an insured person dies, his dependants shall be entitled to a survivor’s pension. </w:t>
      </w:r>
    </w:p>
    <w:p w:rsidR="00000000" w:rsidRDefault="00000000">
      <w:pPr>
        <w:pStyle w:val="Heading3"/>
        <w:rPr>
          <w:rFonts w:eastAsia="Arial Unicode MS"/>
        </w:rPr>
      </w:pPr>
      <w:r>
        <w:t>Old-age, disability and family pensions</w:t>
      </w:r>
    </w:p>
    <w:p w:rsidR="00000000" w:rsidRDefault="00000000">
      <w:pPr>
        <w:pStyle w:val="ParaNo"/>
        <w:ind w:left="0" w:firstLine="0"/>
        <w:rPr>
          <w:bCs/>
          <w:szCs w:val="26"/>
          <w:lang w:val="en-GB"/>
        </w:rPr>
      </w:pPr>
      <w:r>
        <w:rPr>
          <w:lang w:val="en-GB"/>
        </w:rPr>
        <w:t>O</w:t>
      </w:r>
      <w:r>
        <w:rPr>
          <w:bCs/>
          <w:szCs w:val="26"/>
          <w:lang w:val="en-GB"/>
        </w:rPr>
        <w:t>ld</w:t>
      </w:r>
      <w:r>
        <w:rPr>
          <w:bCs/>
          <w:szCs w:val="26"/>
          <w:lang w:val="en-GB"/>
        </w:rPr>
        <w:noBreakHyphen/>
        <w:t>age pension:  According to the Albanian law, insured persons shall be eligible for a full basic pension, provided they have reached the age of 65 for men and 60 for women, paid 35 years of insurance, and retired from economic activity.  A person who has acquired less than 35, but more than 20, years of insurance shall be awarded a partial pension when reaching 65 for men and 60 for women.</w:t>
      </w:r>
    </w:p>
    <w:p w:rsidR="00000000" w:rsidRDefault="00000000">
      <w:pPr>
        <w:pStyle w:val="ParaNo"/>
        <w:ind w:left="0" w:firstLine="0"/>
        <w:rPr>
          <w:bCs/>
          <w:szCs w:val="26"/>
          <w:lang w:val="en-GB"/>
        </w:rPr>
      </w:pPr>
      <w:r>
        <w:rPr>
          <w:bCs/>
          <w:szCs w:val="26"/>
          <w:lang w:val="en-GB"/>
        </w:rPr>
        <w:t>Disability pension:  The disabled person being insured (as per the decision of medical experts’ committee) shall receive a disability pension, provided he has acquired a minimum insurance period and becomes disabled for reasons other than employment accidents or occupational diseases.  He is eligible for the above pension if he becomes disabled for economic activity, or has suffered severe physical harm (including the blind).  The minimum insurance period to qualify for a disability pension shall be equal to half the period that the disability age of the insured person exceeds 20 years of age.</w:t>
      </w:r>
    </w:p>
    <w:p w:rsidR="00000000" w:rsidRDefault="00000000">
      <w:pPr>
        <w:pStyle w:val="ParaNo"/>
        <w:ind w:left="0" w:firstLine="0"/>
        <w:rPr>
          <w:bCs/>
          <w:szCs w:val="26"/>
          <w:lang w:val="en-GB"/>
        </w:rPr>
      </w:pPr>
      <w:r>
        <w:rPr>
          <w:bCs/>
          <w:szCs w:val="26"/>
          <w:lang w:val="en-GB"/>
        </w:rPr>
        <w:t>Partial disability pension shall be granted when the person has acquired the minimum insurance period as defined above, but the difference with the full disability pension consists in the fact that the person becomes disabled to perform last employment, but may work under special working conditions.  The partial disability pension shall be 50 per cent of the full disability pension, and shall be calculated in the same manner as a full disability pension.</w:t>
      </w:r>
    </w:p>
    <w:p w:rsidR="00000000" w:rsidRDefault="00000000">
      <w:pPr>
        <w:pStyle w:val="ParaNo"/>
        <w:ind w:left="0" w:firstLine="0"/>
        <w:rPr>
          <w:bCs/>
          <w:szCs w:val="26"/>
          <w:lang w:val="en-GB"/>
        </w:rPr>
      </w:pPr>
      <w:r>
        <w:rPr>
          <w:bCs/>
          <w:szCs w:val="26"/>
          <w:lang w:val="en-GB"/>
        </w:rPr>
        <w:t>When the beneficiary of an invalidity pension becomes physically or mentally helpless and needs constant care of another person (as decided by the medical experts’ committee), he shall be awarded an allowance of 15 per cent of his assessment basis.  If the disabled person has dependent children up to 15 years of age, he shall receive a family supplement payable at 5 per cent of the basic pension rate, in respect of each dependent child, subject to a maximum of 20 per cent.  On reaching pensionable age, the disability pensioner shall have the right to opt for an old-age pension, if that shall be more favourable for him.</w:t>
      </w:r>
    </w:p>
    <w:p w:rsidR="00000000" w:rsidRDefault="00000000">
      <w:pPr>
        <w:pStyle w:val="ParaNo"/>
        <w:ind w:left="0" w:firstLine="0"/>
        <w:rPr>
          <w:bCs/>
          <w:szCs w:val="26"/>
          <w:lang w:val="en-GB"/>
        </w:rPr>
      </w:pPr>
      <w:r>
        <w:rPr>
          <w:bCs/>
          <w:szCs w:val="26"/>
          <w:lang w:val="en-GB"/>
        </w:rPr>
        <w:t xml:space="preserve">Persons dependent upon an insured person who dies shall be eligible for a family pension, provided that the deceased insured person, within the calendar year after the insurance period has been finished, was or would have been entitled to an old-age or disability pension.  The eligible survivors shall include the widow, provided she is caring for a dependent child up to 8 years old of the deceased person, is disabled, or is 50 years of age.  A widower, provided he is caring for a dependent child of a deceased person of up to 8 years old, must be disabled or 60 years of age.  The orphan, when shown to be dependent upon the deceased, must be under 18 years of age; or under 25, if studying; or disabled before these ages.  Parents are eligible when they have reached the age of 65, or when they are disabled.  Grandparents and </w:t>
      </w:r>
    </w:p>
    <w:p w:rsidR="00000000" w:rsidRDefault="00000000">
      <w:r>
        <w:br w:type="page"/>
        <w:t>stepfathers or stepmothers are eligible when they do not have other persons liable to take care of them, if it can be proved they shared the same household with the deceased for at least one year before the death, have reached the age of 65, or are disabled.</w:t>
      </w:r>
    </w:p>
    <w:p w:rsidR="00000000" w:rsidRDefault="00000000">
      <w:pPr>
        <w:pStyle w:val="ParaNo"/>
        <w:ind w:left="0" w:firstLine="0"/>
        <w:rPr>
          <w:lang w:val="en-GB"/>
        </w:rPr>
      </w:pPr>
      <w:r>
        <w:rPr>
          <w:lang w:val="en-GB"/>
        </w:rPr>
        <w:t xml:space="preserve">Grandchildren are eligible if they were dependent upon the deceased and shared a household with him.  In such a case, they shall be treated as orphans.  The widow and widower shall lose their right to a survivor’s pension on marriage.  The family pension shall be a portion of the pension the deceased person had or would have had and shall be:  </w:t>
      </w:r>
    </w:p>
    <w:p w:rsidR="00000000" w:rsidRDefault="00000000">
      <w:pPr>
        <w:ind w:firstLine="720"/>
        <w:rPr>
          <w:bCs/>
          <w:szCs w:val="26"/>
        </w:rPr>
      </w:pPr>
      <w:r>
        <w:rPr>
          <w:bCs/>
          <w:szCs w:val="26"/>
        </w:rPr>
        <w:t>(a)</w:t>
      </w:r>
      <w:r>
        <w:rPr>
          <w:bCs/>
          <w:szCs w:val="26"/>
        </w:rPr>
        <w:tab/>
        <w:t>50 per cent for a widow or widower; and</w:t>
      </w:r>
    </w:p>
    <w:p w:rsidR="00000000" w:rsidRDefault="00000000">
      <w:pPr>
        <w:ind w:firstLine="720"/>
        <w:rPr>
          <w:bCs/>
          <w:szCs w:val="26"/>
        </w:rPr>
      </w:pPr>
      <w:r>
        <w:rPr>
          <w:bCs/>
          <w:szCs w:val="26"/>
        </w:rPr>
        <w:t>(b)</w:t>
      </w:r>
      <w:r>
        <w:rPr>
          <w:bCs/>
          <w:szCs w:val="26"/>
        </w:rPr>
        <w:tab/>
        <w:t xml:space="preserve">25 per cent for an orphan and other eligible dependants. </w:t>
      </w:r>
    </w:p>
    <w:p w:rsidR="00000000" w:rsidRDefault="00000000">
      <w:pPr>
        <w:pStyle w:val="ParaNo"/>
        <w:ind w:left="0" w:firstLine="0"/>
        <w:rPr>
          <w:bCs/>
          <w:szCs w:val="26"/>
          <w:lang w:val="en-GB"/>
        </w:rPr>
      </w:pPr>
      <w:r>
        <w:rPr>
          <w:bCs/>
          <w:szCs w:val="26"/>
          <w:lang w:val="en-GB"/>
        </w:rPr>
        <w:t xml:space="preserve">The pension for orphans is 50 per cent, when the pension established by item (a) of this article is not received.  If there is more then one orphan eligible for a family pension, the pension for each of them shall not exceed 25 per cent. </w:t>
      </w:r>
    </w:p>
    <w:p w:rsidR="00000000" w:rsidRDefault="00000000">
      <w:pPr>
        <w:pStyle w:val="ParaNo"/>
        <w:ind w:left="0" w:firstLine="0"/>
        <w:rPr>
          <w:bCs/>
          <w:szCs w:val="26"/>
          <w:lang w:val="en-GB"/>
        </w:rPr>
      </w:pPr>
      <w:r>
        <w:rPr>
          <w:bCs/>
          <w:szCs w:val="26"/>
          <w:lang w:val="en-GB"/>
        </w:rPr>
        <w:t xml:space="preserve">The amount of a family pension should not exceed the amount of the pension that the deceased had or would have received.  The orphan shall have the right to family pension even if the surviving parent is employed or otherwise economically active, or receives a pension as of his own right. </w:t>
      </w:r>
    </w:p>
    <w:p w:rsidR="00000000" w:rsidRDefault="00000000">
      <w:pPr>
        <w:pStyle w:val="ParaNo"/>
        <w:rPr>
          <w:lang w:val="en-GB"/>
        </w:rPr>
      </w:pPr>
      <w:r>
        <w:rPr>
          <w:lang w:val="en-GB"/>
        </w:rPr>
        <w:t>In such a case, the total pension awarded to orphans or other eligible persons shall be 25 per cent of the pension the deceased was entitled to, but shall not exceed 50 per cent of the pension.  The orphan who lost both parents shall receive an orphan’s pension in respect of each of them.</w:t>
      </w:r>
    </w:p>
    <w:p w:rsidR="00000000" w:rsidRDefault="00000000">
      <w:pPr>
        <w:pStyle w:val="ParaNo"/>
        <w:rPr>
          <w:lang w:val="en-GB"/>
        </w:rPr>
      </w:pPr>
      <w:r>
        <w:rPr>
          <w:lang w:val="en-GB"/>
        </w:rPr>
        <w:t>A grant shall be awarded to the insured person or pensioner in case of death of a dependent member of his family, or to the person who took care of the deceased insured person and paid the funeral expenses.</w:t>
      </w:r>
    </w:p>
    <w:p w:rsidR="00000000" w:rsidRDefault="00000000">
      <w:pPr>
        <w:pStyle w:val="ParaNo"/>
        <w:rPr>
          <w:lang w:val="en-GB"/>
        </w:rPr>
      </w:pPr>
      <w:r>
        <w:rPr>
          <w:lang w:val="en-GB"/>
        </w:rPr>
        <w:t>The death grant shall be equal to one month’s basic old-age pension.  The payment of the benefit shall be made through the Albanian Post Office S.A.  The payment of contributions shall be made through second-tier banks.</w:t>
      </w:r>
    </w:p>
    <w:p w:rsidR="00000000" w:rsidRDefault="00000000">
      <w:pPr>
        <w:pStyle w:val="ParaNo"/>
        <w:rPr>
          <w:lang w:val="en-GB"/>
        </w:rPr>
      </w:pPr>
      <w:r>
        <w:rPr>
          <w:lang w:val="en-GB"/>
        </w:rPr>
        <w:t>The employer, through the Social Securities Fund, shall pay the short-term benefits either for sickness or maternity.  Since 1 July 2003 the monthly flat-rate base benefit has been 6,728 leks in urban areas and 2,590 leks in rural areas.  The remuneration for giving birth to a child is 50 per cent of the minimum monthly salary.  Since 1 July 2003 the monthly salary of 10,343 leks is applicable, thus the remuneration is one half of the above salary.  The monthly payment for unemployment is 3,300 leks.</w:t>
      </w:r>
    </w:p>
    <w:p w:rsidR="00000000" w:rsidRDefault="00000000">
      <w:pPr>
        <w:pStyle w:val="Heading3"/>
      </w:pPr>
      <w:r>
        <w:t>Reforms carried out under various schemes</w:t>
      </w:r>
    </w:p>
    <w:p w:rsidR="00000000" w:rsidRDefault="00000000">
      <w:pPr>
        <w:pStyle w:val="ParaNo"/>
        <w:rPr>
          <w:lang w:val="en-GB"/>
        </w:rPr>
      </w:pPr>
      <w:r>
        <w:rPr>
          <w:lang w:val="en-GB"/>
        </w:rPr>
        <w:t>The Social Insurance Institute is currently implementing the social security strategy that is intended to last until 2020.  The institute has already started with the implementation of the strategy, consisting mainly in implementing various reforms on the reduction of the retirement age, reduction of contribution period, gradual equalization of rural and urban contributions and the increase of minimum/maximum contribution rates from one third to one fifth.</w:t>
      </w:r>
    </w:p>
    <w:p w:rsidR="00000000" w:rsidRDefault="00000000">
      <w:pPr>
        <w:pStyle w:val="ParaNo"/>
        <w:rPr>
          <w:lang w:val="en-GB"/>
        </w:rPr>
      </w:pPr>
      <w:r>
        <w:rPr>
          <w:lang w:val="en-GB"/>
        </w:rPr>
        <w:t>In compliance with the National Strategy on Social and Economic Development (NSSED), during 2003 the activities of the Ministry of Labour and Social Affairs with regard to social security were mainly focused on strengthening the managerial capacities with the objective of achieving the sustainability of the system, aiming not only at the functionality of the scheme on the basis of the contributions, but also at the implementation of comprehensive social policies.</w:t>
      </w:r>
    </w:p>
    <w:p w:rsidR="00000000" w:rsidRDefault="00000000">
      <w:pPr>
        <w:pStyle w:val="ParaNo"/>
        <w:rPr>
          <w:lang w:val="en-GB"/>
        </w:rPr>
      </w:pPr>
      <w:r>
        <w:rPr>
          <w:lang w:val="en-GB"/>
        </w:rPr>
        <w:t>Accordingly, the following are considered as major challenges for the future:</w:t>
      </w:r>
    </w:p>
    <w:p w:rsidR="00000000" w:rsidRDefault="00000000">
      <w:pPr>
        <w:numPr>
          <w:ilvl w:val="0"/>
          <w:numId w:val="184"/>
        </w:numPr>
      </w:pPr>
      <w:r>
        <w:t>Improvement of the dependency rate, mainly through intensifying efforts to increase the number of contributors in the scheme;</w:t>
      </w:r>
    </w:p>
    <w:p w:rsidR="00000000" w:rsidRDefault="00000000">
      <w:pPr>
        <w:numPr>
          <w:ilvl w:val="0"/>
          <w:numId w:val="184"/>
        </w:numPr>
      </w:pPr>
      <w:r>
        <w:t>Reduction of possible evasion of contributions and minimization of budgetary subventions;</w:t>
      </w:r>
    </w:p>
    <w:p w:rsidR="00000000" w:rsidRDefault="00000000">
      <w:pPr>
        <w:numPr>
          <w:ilvl w:val="0"/>
          <w:numId w:val="184"/>
        </w:numPr>
      </w:pPr>
      <w:r>
        <w:t>Implementation of the third phase of the reform with the intention of further tightening differences between rural and urban pensions;</w:t>
      </w:r>
    </w:p>
    <w:p w:rsidR="00000000" w:rsidRDefault="00000000">
      <w:pPr>
        <w:numPr>
          <w:ilvl w:val="0"/>
          <w:numId w:val="184"/>
        </w:numPr>
      </w:pPr>
      <w:r>
        <w:t>Improvement of the system by reforming the legal basis of social insurance, at the same time promoting research.</w:t>
      </w:r>
    </w:p>
    <w:p w:rsidR="00000000" w:rsidRDefault="00000000">
      <w:pPr>
        <w:pStyle w:val="ParaNo"/>
        <w:rPr>
          <w:lang w:val="en-GB"/>
        </w:rPr>
      </w:pPr>
      <w:r>
        <w:rPr>
          <w:lang w:val="en-GB"/>
        </w:rPr>
        <w:t>There have been significant results in implementing the reform in this area, as follows:</w:t>
      </w:r>
    </w:p>
    <w:p w:rsidR="00000000" w:rsidRDefault="00000000">
      <w:pPr>
        <w:numPr>
          <w:ilvl w:val="0"/>
          <w:numId w:val="185"/>
        </w:numPr>
      </w:pPr>
      <w:r>
        <w:t>The number of urban contributors in the scheme during 2003 increased to 16,815 persons (5.5 per cent).  During the first six months of 2003 alone, the number of urban contributors increased to approximately 11,000 persons;</w:t>
      </w:r>
    </w:p>
    <w:p w:rsidR="00000000" w:rsidRDefault="00000000">
      <w:pPr>
        <w:numPr>
          <w:ilvl w:val="0"/>
          <w:numId w:val="185"/>
        </w:numPr>
      </w:pPr>
      <w:r>
        <w:t>On 1 July 2002 urban pensions increased by 10 per cent, invalidity pensions by 20 per cent and rural pensions by 25 per cent.  During 2004 another increase of pensions is foreseen, 10 per cent for urban and 20 per cent for rural pensions;</w:t>
      </w:r>
    </w:p>
    <w:p w:rsidR="00000000" w:rsidRDefault="00000000">
      <w:pPr>
        <w:numPr>
          <w:ilvl w:val="0"/>
          <w:numId w:val="185"/>
        </w:numPr>
      </w:pPr>
      <w:r>
        <w:t>During 2002, 22,000 persons benefited from the reform tightening the amount of rural and urban pensions.  During 2004 it is foreseen that 95,000 persons will benefit, costing the State budget approximately 172 million leks;</w:t>
      </w:r>
    </w:p>
    <w:p w:rsidR="00000000" w:rsidRDefault="00000000">
      <w:pPr>
        <w:numPr>
          <w:ilvl w:val="0"/>
          <w:numId w:val="185"/>
        </w:numPr>
      </w:pPr>
      <w:r>
        <w:t>In the framework of this reform, several decisions, regulations and also law amendments have been adopted, or are about to be adopted;</w:t>
      </w:r>
    </w:p>
    <w:p w:rsidR="00000000" w:rsidRDefault="00000000">
      <w:pPr>
        <w:numPr>
          <w:ilvl w:val="0"/>
          <w:numId w:val="185"/>
        </w:numPr>
      </w:pPr>
      <w:r>
        <w:t>There have been 16 seminars organized and a number of international activities in the framework of the reform during 2003.  Some of the above activities have encouraged international cooperation, bringing to negotiation and signature several protocols of understanding with foreign counterparts;</w:t>
      </w:r>
    </w:p>
    <w:p w:rsidR="00000000" w:rsidRDefault="00000000">
      <w:pPr>
        <w:numPr>
          <w:ilvl w:val="0"/>
          <w:numId w:val="185"/>
        </w:numPr>
      </w:pPr>
      <w:r>
        <w:t>During the reform, several research projects on the insurance system in the country and possible approaches for its improvement were carried out;</w:t>
      </w:r>
    </w:p>
    <w:p w:rsidR="00000000" w:rsidRDefault="00000000">
      <w:pPr>
        <w:numPr>
          <w:ilvl w:val="0"/>
          <w:numId w:val="185"/>
        </w:numPr>
      </w:pPr>
      <w:r>
        <w:br w:type="page"/>
        <w:t>There have been also some efforts to encourage the establishment of Private Insurance Institutes;</w:t>
      </w:r>
    </w:p>
    <w:p w:rsidR="00000000" w:rsidRDefault="00000000">
      <w:pPr>
        <w:numPr>
          <w:ilvl w:val="0"/>
          <w:numId w:val="185"/>
        </w:numPr>
      </w:pPr>
      <w:r>
        <w:t>During 2003 the deficit of the urban pensions scheme as a percentage of GDP was reduced to 0.25 from 0.32 per cent, while the coefficient of the dependence of the system significantly improved.  In this context, the proportion of the number of contributors to the working population has improved.  This ratio was estimated to be 0.26 in 2000, 0.31 in 2001 and 0.38 in 2002.  The reform has until now included also the establishment and opening of new insurance agencies, in order to improve the service.</w:t>
      </w:r>
    </w:p>
    <w:p w:rsidR="00000000" w:rsidRDefault="00000000">
      <w:pPr>
        <w:pStyle w:val="Heading2"/>
      </w:pPr>
      <w:r>
        <w:t>Table 7</w:t>
      </w:r>
    </w:p>
    <w:p w:rsidR="00000000" w:rsidRDefault="00000000">
      <w:pPr>
        <w:pStyle w:val="Heading2"/>
      </w:pPr>
      <w:r>
        <w:t xml:space="preserve">Percentages of the national budget spent for </w:t>
      </w:r>
      <w:r>
        <w:br/>
        <w:t>social insurance purposes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80"/>
        <w:gridCol w:w="2481"/>
      </w:tblGrid>
      <w:tr w:rsidR="00000000">
        <w:tblPrEx>
          <w:tblCellMar>
            <w:top w:w="0" w:type="dxa"/>
            <w:bottom w:w="0" w:type="dxa"/>
          </w:tblCellMar>
        </w:tblPrEx>
        <w:trPr>
          <w:jc w:val="center"/>
        </w:trPr>
        <w:tc>
          <w:tcPr>
            <w:tcW w:w="2480" w:type="dxa"/>
            <w:tcBorders>
              <w:bottom w:val="single" w:sz="4" w:space="0" w:color="auto"/>
            </w:tcBorders>
          </w:tcPr>
          <w:p w:rsidR="00000000" w:rsidRDefault="00000000">
            <w:pPr>
              <w:spacing w:after="0"/>
              <w:jc w:val="center"/>
            </w:pPr>
            <w:r>
              <w:t>Year</w:t>
            </w:r>
          </w:p>
        </w:tc>
        <w:tc>
          <w:tcPr>
            <w:tcW w:w="2481"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rPr>
          <w:jc w:val="center"/>
        </w:trPr>
        <w:tc>
          <w:tcPr>
            <w:tcW w:w="2480" w:type="dxa"/>
            <w:tcBorders>
              <w:top w:val="single" w:sz="4" w:space="0" w:color="auto"/>
              <w:bottom w:val="nil"/>
            </w:tcBorders>
          </w:tcPr>
          <w:p w:rsidR="00000000" w:rsidRDefault="00000000">
            <w:pPr>
              <w:spacing w:after="0"/>
              <w:jc w:val="center"/>
            </w:pPr>
            <w:r>
              <w:t>1997</w:t>
            </w:r>
          </w:p>
        </w:tc>
        <w:tc>
          <w:tcPr>
            <w:tcW w:w="2481" w:type="dxa"/>
            <w:tcBorders>
              <w:top w:val="single" w:sz="4" w:space="0" w:color="auto"/>
              <w:bottom w:val="nil"/>
            </w:tcBorders>
          </w:tcPr>
          <w:p w:rsidR="00000000" w:rsidRDefault="00000000">
            <w:pPr>
              <w:spacing w:after="0"/>
              <w:jc w:val="center"/>
            </w:pPr>
            <w:r>
              <w:t>27.3</w:t>
            </w:r>
          </w:p>
        </w:tc>
      </w:tr>
      <w:tr w:rsidR="00000000">
        <w:tblPrEx>
          <w:tblCellMar>
            <w:top w:w="0" w:type="dxa"/>
            <w:bottom w:w="0" w:type="dxa"/>
          </w:tblCellMar>
        </w:tblPrEx>
        <w:trPr>
          <w:jc w:val="center"/>
        </w:trPr>
        <w:tc>
          <w:tcPr>
            <w:tcW w:w="2480" w:type="dxa"/>
            <w:tcBorders>
              <w:top w:val="nil"/>
            </w:tcBorders>
          </w:tcPr>
          <w:p w:rsidR="00000000" w:rsidRDefault="00000000">
            <w:pPr>
              <w:spacing w:after="0"/>
              <w:jc w:val="center"/>
            </w:pPr>
            <w:r>
              <w:t>1998</w:t>
            </w:r>
          </w:p>
        </w:tc>
        <w:tc>
          <w:tcPr>
            <w:tcW w:w="2481" w:type="dxa"/>
            <w:tcBorders>
              <w:top w:val="nil"/>
            </w:tcBorders>
          </w:tcPr>
          <w:p w:rsidR="00000000" w:rsidRDefault="00000000">
            <w:pPr>
              <w:spacing w:after="0"/>
              <w:jc w:val="center"/>
            </w:pPr>
            <w:r>
              <w:t>22.8</w:t>
            </w:r>
          </w:p>
        </w:tc>
      </w:tr>
      <w:tr w:rsidR="00000000">
        <w:tblPrEx>
          <w:tblCellMar>
            <w:top w:w="0" w:type="dxa"/>
            <w:bottom w:w="0" w:type="dxa"/>
          </w:tblCellMar>
        </w:tblPrEx>
        <w:trPr>
          <w:jc w:val="center"/>
        </w:trPr>
        <w:tc>
          <w:tcPr>
            <w:tcW w:w="2480" w:type="dxa"/>
          </w:tcPr>
          <w:p w:rsidR="00000000" w:rsidRDefault="00000000">
            <w:pPr>
              <w:spacing w:after="0"/>
              <w:jc w:val="center"/>
            </w:pPr>
            <w:r>
              <w:t>1999</w:t>
            </w:r>
          </w:p>
        </w:tc>
        <w:tc>
          <w:tcPr>
            <w:tcW w:w="2481" w:type="dxa"/>
          </w:tcPr>
          <w:p w:rsidR="00000000" w:rsidRDefault="00000000">
            <w:pPr>
              <w:spacing w:after="0"/>
              <w:jc w:val="center"/>
            </w:pPr>
            <w:r>
              <w:t>25.4</w:t>
            </w:r>
          </w:p>
        </w:tc>
      </w:tr>
      <w:tr w:rsidR="00000000">
        <w:tblPrEx>
          <w:tblCellMar>
            <w:top w:w="0" w:type="dxa"/>
            <w:bottom w:w="0" w:type="dxa"/>
          </w:tblCellMar>
        </w:tblPrEx>
        <w:trPr>
          <w:jc w:val="center"/>
        </w:trPr>
        <w:tc>
          <w:tcPr>
            <w:tcW w:w="2480" w:type="dxa"/>
          </w:tcPr>
          <w:p w:rsidR="00000000" w:rsidRDefault="00000000">
            <w:pPr>
              <w:spacing w:after="0"/>
              <w:jc w:val="center"/>
            </w:pPr>
            <w:r>
              <w:t>2000</w:t>
            </w:r>
          </w:p>
        </w:tc>
        <w:tc>
          <w:tcPr>
            <w:tcW w:w="2481" w:type="dxa"/>
          </w:tcPr>
          <w:p w:rsidR="00000000" w:rsidRDefault="00000000">
            <w:pPr>
              <w:spacing w:after="0"/>
              <w:ind w:right="1106"/>
              <w:jc w:val="right"/>
            </w:pPr>
            <w:r>
              <w:t>27</w:t>
            </w:r>
          </w:p>
        </w:tc>
      </w:tr>
      <w:tr w:rsidR="00000000">
        <w:tblPrEx>
          <w:tblCellMar>
            <w:top w:w="0" w:type="dxa"/>
            <w:bottom w:w="0" w:type="dxa"/>
          </w:tblCellMar>
        </w:tblPrEx>
        <w:trPr>
          <w:jc w:val="center"/>
        </w:trPr>
        <w:tc>
          <w:tcPr>
            <w:tcW w:w="2480" w:type="dxa"/>
          </w:tcPr>
          <w:p w:rsidR="00000000" w:rsidRDefault="00000000">
            <w:pPr>
              <w:spacing w:after="0"/>
              <w:jc w:val="center"/>
            </w:pPr>
            <w:r>
              <w:t>2001</w:t>
            </w:r>
          </w:p>
        </w:tc>
        <w:tc>
          <w:tcPr>
            <w:tcW w:w="2481" w:type="dxa"/>
          </w:tcPr>
          <w:p w:rsidR="00000000" w:rsidRDefault="00000000">
            <w:pPr>
              <w:spacing w:after="0"/>
              <w:ind w:right="1106"/>
              <w:jc w:val="right"/>
            </w:pPr>
            <w:r>
              <w:t>28</w:t>
            </w:r>
          </w:p>
        </w:tc>
      </w:tr>
      <w:tr w:rsidR="00000000">
        <w:tblPrEx>
          <w:tblCellMar>
            <w:top w:w="0" w:type="dxa"/>
            <w:bottom w:w="0" w:type="dxa"/>
          </w:tblCellMar>
        </w:tblPrEx>
        <w:trPr>
          <w:jc w:val="center"/>
        </w:trPr>
        <w:tc>
          <w:tcPr>
            <w:tcW w:w="2480" w:type="dxa"/>
          </w:tcPr>
          <w:p w:rsidR="00000000" w:rsidRDefault="00000000">
            <w:pPr>
              <w:spacing w:after="0"/>
              <w:jc w:val="center"/>
            </w:pPr>
            <w:r>
              <w:t>2002</w:t>
            </w:r>
          </w:p>
        </w:tc>
        <w:tc>
          <w:tcPr>
            <w:tcW w:w="2481" w:type="dxa"/>
          </w:tcPr>
          <w:p w:rsidR="00000000" w:rsidRDefault="00000000">
            <w:pPr>
              <w:spacing w:after="0"/>
              <w:jc w:val="center"/>
            </w:pPr>
            <w:r>
              <w:t>25.3</w:t>
            </w:r>
          </w:p>
        </w:tc>
      </w:tr>
    </w:tbl>
    <w:p w:rsidR="00000000" w:rsidRDefault="00000000">
      <w:pPr>
        <w:pStyle w:val="ParaNo"/>
        <w:spacing w:before="240"/>
        <w:ind w:left="0" w:firstLine="0"/>
        <w:rPr>
          <w:lang w:val="en-GB"/>
        </w:rPr>
      </w:pPr>
      <w:r>
        <w:rPr>
          <w:lang w:val="en-GB"/>
        </w:rPr>
        <w:t>The Social Insurance budget for 2003 consisted of 37.56 billion leks under the mandatory social insurance and 2.91 billion leks under the supplementary insurance scheme.  During the same year the health insurance budget consisted of 4.55 billion leks.</w:t>
      </w:r>
    </w:p>
    <w:p w:rsidR="00000000" w:rsidRDefault="00000000">
      <w:pPr>
        <w:pStyle w:val="ParaNo"/>
        <w:rPr>
          <w:lang w:val="en-GB"/>
        </w:rPr>
      </w:pPr>
      <w:r>
        <w:rPr>
          <w:lang w:val="en-GB"/>
        </w:rPr>
        <w:t>The possible imbalance in the social and health insurance funds is covered by the warranty fund of the Social Insurance Institute and the reserve fund of the Health Care Insurance Institute (HCII).  Statistics of the Ministry of Labour and Social Affairs for 2003 indicate that:</w:t>
      </w:r>
    </w:p>
    <w:p w:rsidR="00000000" w:rsidRDefault="00000000">
      <w:pPr>
        <w:numPr>
          <w:ilvl w:val="0"/>
          <w:numId w:val="186"/>
        </w:numPr>
      </w:pPr>
      <w:r>
        <w:t>Expenditures for the social fund corresponded to 6 per cent of GDP, in comparison with 4.7 per cent of GDP during 2002;</w:t>
      </w:r>
    </w:p>
    <w:p w:rsidR="00000000" w:rsidRDefault="00000000">
      <w:pPr>
        <w:numPr>
          <w:ilvl w:val="0"/>
          <w:numId w:val="186"/>
        </w:numPr>
      </w:pPr>
      <w:r>
        <w:t>The funds allocated for social protection and insurance during 2003 consisted of 27 per cent of the State budget;</w:t>
      </w:r>
    </w:p>
    <w:p w:rsidR="00000000" w:rsidRDefault="00000000">
      <w:pPr>
        <w:numPr>
          <w:ilvl w:val="0"/>
          <w:numId w:val="186"/>
        </w:numPr>
      </w:pPr>
      <w:r>
        <w:t>Transfers from the State budget intended for social insurance correspond to 1.7 per cent of GDP;</w:t>
      </w:r>
    </w:p>
    <w:p w:rsidR="00000000" w:rsidRDefault="00000000">
      <w:pPr>
        <w:numPr>
          <w:ilvl w:val="0"/>
          <w:numId w:val="186"/>
        </w:numPr>
      </w:pPr>
      <w:r>
        <w:t xml:space="preserve">The income from social insurance contributions comprises up to 4.3 per cent </w:t>
      </w:r>
      <w:r>
        <w:br/>
        <w:t>of GDP.</w:t>
      </w:r>
    </w:p>
    <w:p w:rsidR="00000000" w:rsidRDefault="00000000">
      <w:pPr>
        <w:pStyle w:val="ParaNo"/>
        <w:rPr>
          <w:lang w:val="en-GB"/>
        </w:rPr>
      </w:pPr>
      <w:r>
        <w:rPr>
          <w:lang w:val="en-GB"/>
        </w:rPr>
        <w:br w:type="page"/>
        <w:t>Legislation on private social insurance was enacted in 1995, however, no private insurance company operates in the market.  With regard to beneficiaries, it can cover every insured person, regardless of membership in any social group.</w:t>
      </w:r>
    </w:p>
    <w:p w:rsidR="00000000" w:rsidRDefault="00000000">
      <w:pPr>
        <w:pStyle w:val="ParaNo"/>
        <w:rPr>
          <w:lang w:val="en-GB"/>
        </w:rPr>
      </w:pPr>
      <w:r>
        <w:rPr>
          <w:lang w:val="en-GB"/>
        </w:rPr>
        <w:t>In the framework of systematic measures taken by the Government, pensions have been increased every year, or even twice a year since 1992.  The amount of pension increases has varied from year to year, being applied more to small pensions, invalidity or family pensions.  During the reporting period, rural pensions have been increasing more than urban pensions.</w:t>
      </w:r>
    </w:p>
    <w:p w:rsidR="00000000" w:rsidRDefault="00000000">
      <w:pPr>
        <w:pStyle w:val="Heading3"/>
      </w:pPr>
      <w:r>
        <w:t>Statistics on State pensions</w:t>
      </w:r>
    </w:p>
    <w:p w:rsidR="00000000" w:rsidRDefault="00000000">
      <w:pPr>
        <w:pStyle w:val="Heading2"/>
      </w:pPr>
      <w:r>
        <w:t>Table 8</w:t>
      </w:r>
    </w:p>
    <w:p w:rsidR="00000000" w:rsidRDefault="00000000">
      <w:pPr>
        <w:pStyle w:val="Heading2"/>
      </w:pPr>
      <w:r>
        <w:t>Contributors to the social insurance scheme</w:t>
      </w:r>
      <w:r>
        <w:br/>
        <w:t>(average number, 1994-1999)</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1063"/>
        <w:gridCol w:w="1063"/>
        <w:gridCol w:w="1063"/>
        <w:gridCol w:w="1063"/>
        <w:gridCol w:w="1063"/>
        <w:gridCol w:w="1064"/>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rPr>
                <w:sz w:val="22"/>
              </w:rPr>
            </w:pPr>
            <w:r>
              <w:br w:type="page"/>
            </w:r>
          </w:p>
        </w:tc>
        <w:tc>
          <w:tcPr>
            <w:tcW w:w="1063" w:type="dxa"/>
            <w:tcBorders>
              <w:bottom w:val="single" w:sz="4" w:space="0" w:color="auto"/>
            </w:tcBorders>
          </w:tcPr>
          <w:p w:rsidR="00000000" w:rsidRDefault="00000000">
            <w:pPr>
              <w:spacing w:after="0"/>
              <w:jc w:val="center"/>
              <w:rPr>
                <w:sz w:val="22"/>
              </w:rPr>
            </w:pPr>
            <w:r>
              <w:rPr>
                <w:sz w:val="22"/>
              </w:rPr>
              <w:t>1994</w:t>
            </w:r>
          </w:p>
        </w:tc>
        <w:tc>
          <w:tcPr>
            <w:tcW w:w="1063" w:type="dxa"/>
            <w:tcBorders>
              <w:bottom w:val="single" w:sz="4" w:space="0" w:color="auto"/>
            </w:tcBorders>
          </w:tcPr>
          <w:p w:rsidR="00000000" w:rsidRDefault="00000000">
            <w:pPr>
              <w:spacing w:after="0"/>
              <w:jc w:val="center"/>
              <w:rPr>
                <w:sz w:val="22"/>
              </w:rPr>
            </w:pPr>
            <w:r>
              <w:rPr>
                <w:sz w:val="22"/>
              </w:rPr>
              <w:t>1995</w:t>
            </w:r>
          </w:p>
        </w:tc>
        <w:tc>
          <w:tcPr>
            <w:tcW w:w="1063" w:type="dxa"/>
            <w:tcBorders>
              <w:bottom w:val="single" w:sz="4" w:space="0" w:color="auto"/>
            </w:tcBorders>
          </w:tcPr>
          <w:p w:rsidR="00000000" w:rsidRDefault="00000000">
            <w:pPr>
              <w:spacing w:after="0"/>
              <w:jc w:val="center"/>
              <w:rPr>
                <w:sz w:val="22"/>
              </w:rPr>
            </w:pPr>
            <w:r>
              <w:rPr>
                <w:sz w:val="22"/>
              </w:rPr>
              <w:t>1996</w:t>
            </w:r>
          </w:p>
        </w:tc>
        <w:tc>
          <w:tcPr>
            <w:tcW w:w="1063" w:type="dxa"/>
            <w:tcBorders>
              <w:bottom w:val="single" w:sz="4" w:space="0" w:color="auto"/>
            </w:tcBorders>
          </w:tcPr>
          <w:p w:rsidR="00000000" w:rsidRDefault="00000000">
            <w:pPr>
              <w:spacing w:after="0"/>
              <w:jc w:val="center"/>
              <w:rPr>
                <w:sz w:val="22"/>
              </w:rPr>
            </w:pPr>
            <w:r>
              <w:rPr>
                <w:sz w:val="22"/>
              </w:rPr>
              <w:t>1997</w:t>
            </w:r>
          </w:p>
        </w:tc>
        <w:tc>
          <w:tcPr>
            <w:tcW w:w="1063" w:type="dxa"/>
            <w:tcBorders>
              <w:bottom w:val="single" w:sz="4" w:space="0" w:color="auto"/>
            </w:tcBorders>
          </w:tcPr>
          <w:p w:rsidR="00000000" w:rsidRDefault="00000000">
            <w:pPr>
              <w:spacing w:after="0"/>
              <w:jc w:val="center"/>
              <w:rPr>
                <w:sz w:val="22"/>
              </w:rPr>
            </w:pPr>
            <w:r>
              <w:rPr>
                <w:sz w:val="22"/>
              </w:rPr>
              <w:t>1998</w:t>
            </w:r>
          </w:p>
        </w:tc>
        <w:tc>
          <w:tcPr>
            <w:tcW w:w="1064" w:type="dxa"/>
            <w:tcBorders>
              <w:bottom w:val="single" w:sz="4" w:space="0" w:color="auto"/>
            </w:tcBorders>
          </w:tcPr>
          <w:p w:rsidR="00000000" w:rsidRDefault="00000000">
            <w:pPr>
              <w:spacing w:after="0"/>
              <w:jc w:val="center"/>
              <w:rPr>
                <w:sz w:val="22"/>
              </w:rPr>
            </w:pPr>
            <w:r>
              <w:rPr>
                <w:sz w:val="22"/>
              </w:rPr>
              <w:t>1999</w:t>
            </w:r>
          </w:p>
        </w:tc>
      </w:tr>
      <w:tr w:rsidR="00000000">
        <w:tblPrEx>
          <w:tblCellMar>
            <w:top w:w="0" w:type="dxa"/>
            <w:bottom w:w="0" w:type="dxa"/>
          </w:tblCellMar>
        </w:tblPrEx>
        <w:tc>
          <w:tcPr>
            <w:tcW w:w="2977" w:type="dxa"/>
            <w:tcBorders>
              <w:top w:val="single" w:sz="4" w:space="0" w:color="auto"/>
              <w:bottom w:val="nil"/>
            </w:tcBorders>
          </w:tcPr>
          <w:p w:rsidR="00000000" w:rsidRDefault="00000000">
            <w:pPr>
              <w:spacing w:after="0"/>
              <w:rPr>
                <w:sz w:val="22"/>
              </w:rPr>
            </w:pPr>
            <w:r>
              <w:rPr>
                <w:sz w:val="22"/>
              </w:rPr>
              <w:t>According to entities:</w:t>
            </w:r>
          </w:p>
        </w:tc>
        <w:tc>
          <w:tcPr>
            <w:tcW w:w="1063" w:type="dxa"/>
            <w:tcBorders>
              <w:top w:val="single" w:sz="4" w:space="0" w:color="auto"/>
              <w:bottom w:val="nil"/>
            </w:tcBorders>
          </w:tcPr>
          <w:p w:rsidR="00000000" w:rsidRDefault="00000000">
            <w:pPr>
              <w:spacing w:after="0"/>
              <w:ind w:right="113"/>
              <w:jc w:val="right"/>
              <w:rPr>
                <w:sz w:val="22"/>
              </w:rPr>
            </w:pPr>
            <w:r>
              <w:rPr>
                <w:sz w:val="22"/>
              </w:rPr>
              <w:t>386 435</w:t>
            </w:r>
          </w:p>
        </w:tc>
        <w:tc>
          <w:tcPr>
            <w:tcW w:w="1063" w:type="dxa"/>
            <w:tcBorders>
              <w:top w:val="single" w:sz="4" w:space="0" w:color="auto"/>
              <w:bottom w:val="nil"/>
            </w:tcBorders>
          </w:tcPr>
          <w:p w:rsidR="00000000" w:rsidRDefault="00000000">
            <w:pPr>
              <w:spacing w:after="0"/>
              <w:ind w:right="113"/>
              <w:jc w:val="right"/>
              <w:rPr>
                <w:sz w:val="22"/>
              </w:rPr>
            </w:pPr>
            <w:r>
              <w:rPr>
                <w:sz w:val="22"/>
              </w:rPr>
              <w:t>381 896</w:t>
            </w:r>
          </w:p>
        </w:tc>
        <w:tc>
          <w:tcPr>
            <w:tcW w:w="1063" w:type="dxa"/>
            <w:tcBorders>
              <w:top w:val="single" w:sz="4" w:space="0" w:color="auto"/>
              <w:bottom w:val="nil"/>
            </w:tcBorders>
          </w:tcPr>
          <w:p w:rsidR="00000000" w:rsidRDefault="00000000">
            <w:pPr>
              <w:spacing w:after="0"/>
              <w:ind w:right="113"/>
              <w:jc w:val="right"/>
              <w:rPr>
                <w:sz w:val="22"/>
              </w:rPr>
            </w:pPr>
            <w:r>
              <w:rPr>
                <w:sz w:val="22"/>
              </w:rPr>
              <w:t>343 046</w:t>
            </w:r>
          </w:p>
        </w:tc>
        <w:tc>
          <w:tcPr>
            <w:tcW w:w="1063" w:type="dxa"/>
            <w:tcBorders>
              <w:top w:val="single" w:sz="4" w:space="0" w:color="auto"/>
              <w:bottom w:val="nil"/>
            </w:tcBorders>
          </w:tcPr>
          <w:p w:rsidR="00000000" w:rsidRDefault="00000000">
            <w:pPr>
              <w:spacing w:after="0"/>
              <w:ind w:right="113"/>
              <w:jc w:val="right"/>
              <w:rPr>
                <w:sz w:val="22"/>
              </w:rPr>
            </w:pPr>
            <w:r>
              <w:rPr>
                <w:sz w:val="22"/>
              </w:rPr>
              <w:t>306 140</w:t>
            </w:r>
          </w:p>
        </w:tc>
        <w:tc>
          <w:tcPr>
            <w:tcW w:w="1063" w:type="dxa"/>
            <w:tcBorders>
              <w:top w:val="single" w:sz="4" w:space="0" w:color="auto"/>
              <w:bottom w:val="nil"/>
            </w:tcBorders>
          </w:tcPr>
          <w:p w:rsidR="00000000" w:rsidRDefault="00000000">
            <w:pPr>
              <w:spacing w:after="0"/>
              <w:ind w:right="113"/>
              <w:jc w:val="right"/>
              <w:rPr>
                <w:sz w:val="22"/>
              </w:rPr>
            </w:pPr>
            <w:r>
              <w:rPr>
                <w:sz w:val="22"/>
              </w:rPr>
              <w:t>328 518</w:t>
            </w:r>
          </w:p>
        </w:tc>
        <w:tc>
          <w:tcPr>
            <w:tcW w:w="1064" w:type="dxa"/>
            <w:tcBorders>
              <w:top w:val="single" w:sz="4" w:space="0" w:color="auto"/>
              <w:bottom w:val="nil"/>
            </w:tcBorders>
          </w:tcPr>
          <w:p w:rsidR="00000000" w:rsidRDefault="00000000">
            <w:pPr>
              <w:spacing w:after="0"/>
              <w:ind w:right="113"/>
              <w:jc w:val="right"/>
              <w:rPr>
                <w:sz w:val="22"/>
              </w:rPr>
            </w:pPr>
            <w:r>
              <w:rPr>
                <w:sz w:val="22"/>
              </w:rPr>
              <w:t>389 609</w:t>
            </w:r>
          </w:p>
        </w:tc>
      </w:tr>
      <w:tr w:rsidR="00000000">
        <w:tblPrEx>
          <w:tblCellMar>
            <w:top w:w="0" w:type="dxa"/>
            <w:bottom w:w="0" w:type="dxa"/>
          </w:tblCellMar>
        </w:tblPrEx>
        <w:tc>
          <w:tcPr>
            <w:tcW w:w="2977" w:type="dxa"/>
            <w:tcBorders>
              <w:top w:val="nil"/>
            </w:tcBorders>
          </w:tcPr>
          <w:p w:rsidR="00000000" w:rsidRDefault="00000000">
            <w:pPr>
              <w:spacing w:after="0"/>
              <w:rPr>
                <w:sz w:val="22"/>
              </w:rPr>
            </w:pPr>
            <w:r>
              <w:rPr>
                <w:sz w:val="22"/>
              </w:rPr>
              <w:t xml:space="preserve">  Budgetary</w:t>
            </w:r>
          </w:p>
        </w:tc>
        <w:tc>
          <w:tcPr>
            <w:tcW w:w="1063" w:type="dxa"/>
            <w:tcBorders>
              <w:top w:val="nil"/>
            </w:tcBorders>
          </w:tcPr>
          <w:p w:rsidR="00000000" w:rsidRDefault="00000000">
            <w:pPr>
              <w:spacing w:after="0"/>
              <w:ind w:right="113"/>
              <w:jc w:val="right"/>
              <w:rPr>
                <w:sz w:val="22"/>
              </w:rPr>
            </w:pPr>
            <w:r>
              <w:rPr>
                <w:sz w:val="22"/>
              </w:rPr>
              <w:t>145 588</w:t>
            </w:r>
          </w:p>
        </w:tc>
        <w:tc>
          <w:tcPr>
            <w:tcW w:w="1063" w:type="dxa"/>
            <w:tcBorders>
              <w:top w:val="nil"/>
            </w:tcBorders>
          </w:tcPr>
          <w:p w:rsidR="00000000" w:rsidRDefault="00000000">
            <w:pPr>
              <w:spacing w:after="0"/>
              <w:ind w:right="113"/>
              <w:jc w:val="right"/>
              <w:rPr>
                <w:sz w:val="22"/>
              </w:rPr>
            </w:pPr>
            <w:r>
              <w:rPr>
                <w:sz w:val="22"/>
              </w:rPr>
              <w:t>148 887</w:t>
            </w:r>
          </w:p>
        </w:tc>
        <w:tc>
          <w:tcPr>
            <w:tcW w:w="1063" w:type="dxa"/>
            <w:tcBorders>
              <w:top w:val="nil"/>
            </w:tcBorders>
          </w:tcPr>
          <w:p w:rsidR="00000000" w:rsidRDefault="00000000">
            <w:pPr>
              <w:spacing w:after="0"/>
              <w:ind w:right="113"/>
              <w:jc w:val="right"/>
              <w:rPr>
                <w:sz w:val="22"/>
              </w:rPr>
            </w:pPr>
            <w:r>
              <w:rPr>
                <w:sz w:val="22"/>
              </w:rPr>
              <w:t>145 083</w:t>
            </w:r>
          </w:p>
        </w:tc>
        <w:tc>
          <w:tcPr>
            <w:tcW w:w="1063" w:type="dxa"/>
            <w:tcBorders>
              <w:top w:val="nil"/>
            </w:tcBorders>
          </w:tcPr>
          <w:p w:rsidR="00000000" w:rsidRDefault="00000000">
            <w:pPr>
              <w:spacing w:after="0"/>
              <w:ind w:right="113"/>
              <w:jc w:val="right"/>
              <w:rPr>
                <w:sz w:val="22"/>
              </w:rPr>
            </w:pPr>
            <w:r>
              <w:rPr>
                <w:sz w:val="22"/>
              </w:rPr>
              <w:t>136 396</w:t>
            </w:r>
          </w:p>
        </w:tc>
        <w:tc>
          <w:tcPr>
            <w:tcW w:w="1063" w:type="dxa"/>
            <w:tcBorders>
              <w:top w:val="nil"/>
            </w:tcBorders>
          </w:tcPr>
          <w:p w:rsidR="00000000" w:rsidRDefault="00000000">
            <w:pPr>
              <w:spacing w:after="0"/>
              <w:ind w:right="113"/>
              <w:jc w:val="right"/>
              <w:rPr>
                <w:sz w:val="22"/>
              </w:rPr>
            </w:pPr>
            <w:r>
              <w:rPr>
                <w:sz w:val="22"/>
              </w:rPr>
              <w:t>144 907</w:t>
            </w:r>
          </w:p>
        </w:tc>
        <w:tc>
          <w:tcPr>
            <w:tcW w:w="1064" w:type="dxa"/>
            <w:tcBorders>
              <w:top w:val="nil"/>
            </w:tcBorders>
          </w:tcPr>
          <w:p w:rsidR="00000000" w:rsidRDefault="00000000">
            <w:pPr>
              <w:spacing w:after="0"/>
              <w:ind w:right="113"/>
              <w:jc w:val="right"/>
              <w:rPr>
                <w:sz w:val="22"/>
              </w:rPr>
            </w:pPr>
            <w:r>
              <w:rPr>
                <w:sz w:val="22"/>
              </w:rPr>
              <w:t>146 603</w:t>
            </w:r>
          </w:p>
        </w:tc>
      </w:tr>
      <w:tr w:rsidR="00000000">
        <w:tblPrEx>
          <w:tblCellMar>
            <w:top w:w="0" w:type="dxa"/>
            <w:bottom w:w="0" w:type="dxa"/>
          </w:tblCellMar>
        </w:tblPrEx>
        <w:tc>
          <w:tcPr>
            <w:tcW w:w="2977" w:type="dxa"/>
          </w:tcPr>
          <w:p w:rsidR="00000000" w:rsidRDefault="00000000">
            <w:pPr>
              <w:spacing w:after="0"/>
              <w:rPr>
                <w:sz w:val="22"/>
              </w:rPr>
            </w:pPr>
            <w:r>
              <w:rPr>
                <w:sz w:val="22"/>
              </w:rPr>
              <w:t xml:space="preserve">  Non-budgetary</w:t>
            </w:r>
          </w:p>
        </w:tc>
        <w:tc>
          <w:tcPr>
            <w:tcW w:w="1063" w:type="dxa"/>
          </w:tcPr>
          <w:p w:rsidR="00000000" w:rsidRDefault="00000000">
            <w:pPr>
              <w:spacing w:after="0"/>
              <w:ind w:right="113"/>
              <w:jc w:val="right"/>
              <w:rPr>
                <w:sz w:val="22"/>
              </w:rPr>
            </w:pPr>
            <w:r>
              <w:rPr>
                <w:sz w:val="22"/>
              </w:rPr>
              <w:t>131 158</w:t>
            </w:r>
          </w:p>
        </w:tc>
        <w:tc>
          <w:tcPr>
            <w:tcW w:w="1063" w:type="dxa"/>
          </w:tcPr>
          <w:p w:rsidR="00000000" w:rsidRDefault="00000000">
            <w:pPr>
              <w:spacing w:after="0"/>
              <w:ind w:right="113"/>
              <w:jc w:val="right"/>
              <w:rPr>
                <w:sz w:val="22"/>
              </w:rPr>
            </w:pPr>
            <w:r>
              <w:rPr>
                <w:sz w:val="22"/>
              </w:rPr>
              <w:t>109 154</w:t>
            </w:r>
          </w:p>
        </w:tc>
        <w:tc>
          <w:tcPr>
            <w:tcW w:w="1063" w:type="dxa"/>
          </w:tcPr>
          <w:p w:rsidR="00000000" w:rsidRDefault="00000000">
            <w:pPr>
              <w:spacing w:after="0"/>
              <w:ind w:right="113"/>
              <w:jc w:val="right"/>
              <w:rPr>
                <w:sz w:val="22"/>
              </w:rPr>
            </w:pPr>
            <w:r>
              <w:rPr>
                <w:sz w:val="22"/>
              </w:rPr>
              <w:t>92 932</w:t>
            </w:r>
          </w:p>
        </w:tc>
        <w:tc>
          <w:tcPr>
            <w:tcW w:w="1063" w:type="dxa"/>
          </w:tcPr>
          <w:p w:rsidR="00000000" w:rsidRDefault="00000000">
            <w:pPr>
              <w:spacing w:after="0"/>
              <w:ind w:right="113"/>
              <w:jc w:val="right"/>
              <w:rPr>
                <w:sz w:val="22"/>
              </w:rPr>
            </w:pPr>
            <w:r>
              <w:rPr>
                <w:sz w:val="22"/>
              </w:rPr>
              <w:t>78 439</w:t>
            </w:r>
          </w:p>
        </w:tc>
        <w:tc>
          <w:tcPr>
            <w:tcW w:w="1063" w:type="dxa"/>
          </w:tcPr>
          <w:p w:rsidR="00000000" w:rsidRDefault="00000000">
            <w:pPr>
              <w:spacing w:after="0"/>
              <w:ind w:right="113"/>
              <w:jc w:val="right"/>
              <w:rPr>
                <w:sz w:val="22"/>
              </w:rPr>
            </w:pPr>
            <w:r>
              <w:rPr>
                <w:sz w:val="22"/>
              </w:rPr>
              <w:t>73 684</w:t>
            </w:r>
          </w:p>
        </w:tc>
        <w:tc>
          <w:tcPr>
            <w:tcW w:w="1064" w:type="dxa"/>
          </w:tcPr>
          <w:p w:rsidR="00000000" w:rsidRDefault="00000000">
            <w:pPr>
              <w:spacing w:after="0"/>
              <w:ind w:right="113"/>
              <w:jc w:val="right"/>
              <w:rPr>
                <w:sz w:val="22"/>
              </w:rPr>
            </w:pPr>
            <w:r>
              <w:rPr>
                <w:sz w:val="22"/>
              </w:rPr>
              <w:t>59 530</w:t>
            </w:r>
          </w:p>
        </w:tc>
      </w:tr>
      <w:tr w:rsidR="00000000">
        <w:tblPrEx>
          <w:tblCellMar>
            <w:top w:w="0" w:type="dxa"/>
            <w:bottom w:w="0" w:type="dxa"/>
          </w:tblCellMar>
        </w:tblPrEx>
        <w:tc>
          <w:tcPr>
            <w:tcW w:w="2977" w:type="dxa"/>
          </w:tcPr>
          <w:p w:rsidR="00000000" w:rsidRDefault="00000000">
            <w:pPr>
              <w:spacing w:after="0"/>
              <w:rPr>
                <w:sz w:val="22"/>
              </w:rPr>
            </w:pPr>
            <w:r>
              <w:rPr>
                <w:sz w:val="22"/>
              </w:rPr>
              <w:t xml:space="preserve">  Private companies</w:t>
            </w:r>
          </w:p>
        </w:tc>
        <w:tc>
          <w:tcPr>
            <w:tcW w:w="1063" w:type="dxa"/>
          </w:tcPr>
          <w:p w:rsidR="00000000" w:rsidRDefault="00000000">
            <w:pPr>
              <w:spacing w:after="0"/>
              <w:ind w:right="113"/>
              <w:jc w:val="right"/>
              <w:rPr>
                <w:sz w:val="22"/>
              </w:rPr>
            </w:pPr>
            <w:r>
              <w:rPr>
                <w:sz w:val="22"/>
              </w:rPr>
              <w:t>34 428</w:t>
            </w:r>
          </w:p>
        </w:tc>
        <w:tc>
          <w:tcPr>
            <w:tcW w:w="1063" w:type="dxa"/>
          </w:tcPr>
          <w:p w:rsidR="00000000" w:rsidRDefault="00000000">
            <w:pPr>
              <w:spacing w:after="0"/>
              <w:ind w:right="113"/>
              <w:jc w:val="right"/>
              <w:rPr>
                <w:sz w:val="22"/>
              </w:rPr>
            </w:pPr>
            <w:r>
              <w:rPr>
                <w:sz w:val="22"/>
              </w:rPr>
              <w:t>47 764</w:t>
            </w:r>
          </w:p>
        </w:tc>
        <w:tc>
          <w:tcPr>
            <w:tcW w:w="1063" w:type="dxa"/>
          </w:tcPr>
          <w:p w:rsidR="00000000" w:rsidRDefault="00000000">
            <w:pPr>
              <w:spacing w:after="0"/>
              <w:ind w:right="113"/>
              <w:jc w:val="right"/>
              <w:rPr>
                <w:sz w:val="22"/>
              </w:rPr>
            </w:pPr>
            <w:r>
              <w:rPr>
                <w:sz w:val="22"/>
              </w:rPr>
              <w:t>49 482</w:t>
            </w:r>
          </w:p>
        </w:tc>
        <w:tc>
          <w:tcPr>
            <w:tcW w:w="1063" w:type="dxa"/>
          </w:tcPr>
          <w:p w:rsidR="00000000" w:rsidRDefault="00000000">
            <w:pPr>
              <w:spacing w:after="0"/>
              <w:ind w:right="113"/>
              <w:jc w:val="right"/>
              <w:rPr>
                <w:sz w:val="22"/>
              </w:rPr>
            </w:pPr>
            <w:r>
              <w:rPr>
                <w:sz w:val="22"/>
              </w:rPr>
              <w:t>50 041</w:t>
            </w:r>
          </w:p>
        </w:tc>
        <w:tc>
          <w:tcPr>
            <w:tcW w:w="1063" w:type="dxa"/>
          </w:tcPr>
          <w:p w:rsidR="00000000" w:rsidRDefault="00000000">
            <w:pPr>
              <w:spacing w:after="0"/>
              <w:ind w:right="113"/>
              <w:jc w:val="right"/>
              <w:rPr>
                <w:sz w:val="22"/>
              </w:rPr>
            </w:pPr>
            <w:r>
              <w:rPr>
                <w:sz w:val="22"/>
              </w:rPr>
              <w:t>54 091</w:t>
            </w:r>
          </w:p>
        </w:tc>
        <w:tc>
          <w:tcPr>
            <w:tcW w:w="1064" w:type="dxa"/>
          </w:tcPr>
          <w:p w:rsidR="00000000" w:rsidRDefault="00000000">
            <w:pPr>
              <w:spacing w:after="0"/>
              <w:ind w:right="113"/>
              <w:jc w:val="right"/>
              <w:rPr>
                <w:sz w:val="22"/>
              </w:rPr>
            </w:pPr>
            <w:r>
              <w:rPr>
                <w:sz w:val="22"/>
              </w:rPr>
              <w:t>53 743</w:t>
            </w:r>
          </w:p>
        </w:tc>
      </w:tr>
      <w:tr w:rsidR="00000000">
        <w:tblPrEx>
          <w:tblCellMar>
            <w:top w:w="0" w:type="dxa"/>
            <w:bottom w:w="0" w:type="dxa"/>
          </w:tblCellMar>
        </w:tblPrEx>
        <w:tc>
          <w:tcPr>
            <w:tcW w:w="2977" w:type="dxa"/>
          </w:tcPr>
          <w:p w:rsidR="00000000" w:rsidRDefault="00000000">
            <w:pPr>
              <w:spacing w:after="0"/>
              <w:rPr>
                <w:sz w:val="22"/>
              </w:rPr>
            </w:pPr>
            <w:r>
              <w:rPr>
                <w:sz w:val="22"/>
              </w:rPr>
              <w:t xml:space="preserve">  The self-employed</w:t>
            </w:r>
          </w:p>
        </w:tc>
        <w:tc>
          <w:tcPr>
            <w:tcW w:w="1063" w:type="dxa"/>
          </w:tcPr>
          <w:p w:rsidR="00000000" w:rsidRDefault="00000000">
            <w:pPr>
              <w:spacing w:after="0"/>
              <w:ind w:right="113"/>
              <w:jc w:val="right"/>
              <w:rPr>
                <w:sz w:val="22"/>
              </w:rPr>
            </w:pPr>
            <w:r>
              <w:rPr>
                <w:sz w:val="22"/>
              </w:rPr>
              <w:t>32 933</w:t>
            </w:r>
          </w:p>
        </w:tc>
        <w:tc>
          <w:tcPr>
            <w:tcW w:w="1063" w:type="dxa"/>
          </w:tcPr>
          <w:p w:rsidR="00000000" w:rsidRDefault="00000000">
            <w:pPr>
              <w:spacing w:after="0"/>
              <w:ind w:right="113"/>
              <w:jc w:val="right"/>
              <w:rPr>
                <w:sz w:val="22"/>
              </w:rPr>
            </w:pPr>
            <w:r>
              <w:rPr>
                <w:sz w:val="22"/>
              </w:rPr>
              <w:t>32 178</w:t>
            </w:r>
          </w:p>
        </w:tc>
        <w:tc>
          <w:tcPr>
            <w:tcW w:w="1063" w:type="dxa"/>
          </w:tcPr>
          <w:p w:rsidR="00000000" w:rsidRDefault="00000000">
            <w:pPr>
              <w:spacing w:after="0"/>
              <w:ind w:right="113"/>
              <w:jc w:val="right"/>
              <w:rPr>
                <w:sz w:val="22"/>
              </w:rPr>
            </w:pPr>
            <w:r>
              <w:rPr>
                <w:sz w:val="22"/>
              </w:rPr>
              <w:t>22 172</w:t>
            </w:r>
          </w:p>
        </w:tc>
        <w:tc>
          <w:tcPr>
            <w:tcW w:w="1063" w:type="dxa"/>
          </w:tcPr>
          <w:p w:rsidR="00000000" w:rsidRDefault="00000000">
            <w:pPr>
              <w:spacing w:after="0"/>
              <w:ind w:right="113"/>
              <w:jc w:val="right"/>
              <w:rPr>
                <w:sz w:val="22"/>
              </w:rPr>
            </w:pPr>
            <w:r>
              <w:rPr>
                <w:sz w:val="22"/>
              </w:rPr>
              <w:t>13 662</w:t>
            </w:r>
          </w:p>
        </w:tc>
        <w:tc>
          <w:tcPr>
            <w:tcW w:w="1063" w:type="dxa"/>
          </w:tcPr>
          <w:p w:rsidR="00000000" w:rsidRDefault="00000000">
            <w:pPr>
              <w:spacing w:after="0"/>
              <w:ind w:right="113"/>
              <w:jc w:val="right"/>
              <w:rPr>
                <w:sz w:val="22"/>
              </w:rPr>
            </w:pPr>
            <w:r>
              <w:rPr>
                <w:sz w:val="22"/>
              </w:rPr>
              <w:t>13 968</w:t>
            </w:r>
          </w:p>
        </w:tc>
        <w:tc>
          <w:tcPr>
            <w:tcW w:w="1064" w:type="dxa"/>
          </w:tcPr>
          <w:p w:rsidR="00000000" w:rsidRDefault="00000000">
            <w:pPr>
              <w:spacing w:after="0"/>
              <w:ind w:right="113"/>
              <w:jc w:val="right"/>
              <w:rPr>
                <w:sz w:val="22"/>
              </w:rPr>
            </w:pPr>
            <w:r>
              <w:rPr>
                <w:sz w:val="22"/>
              </w:rPr>
              <w:t>13 815</w:t>
            </w:r>
          </w:p>
        </w:tc>
      </w:tr>
      <w:tr w:rsidR="00000000">
        <w:tblPrEx>
          <w:tblCellMar>
            <w:top w:w="0" w:type="dxa"/>
            <w:bottom w:w="0" w:type="dxa"/>
          </w:tblCellMar>
        </w:tblPrEx>
        <w:tc>
          <w:tcPr>
            <w:tcW w:w="2977" w:type="dxa"/>
            <w:tcBorders>
              <w:bottom w:val="nil"/>
            </w:tcBorders>
          </w:tcPr>
          <w:p w:rsidR="00000000" w:rsidRDefault="00000000">
            <w:pPr>
              <w:spacing w:after="0"/>
              <w:rPr>
                <w:sz w:val="22"/>
              </w:rPr>
            </w:pPr>
            <w:r>
              <w:rPr>
                <w:sz w:val="22"/>
              </w:rPr>
              <w:t xml:space="preserve">  The self-employed in rural </w:t>
            </w:r>
            <w:r>
              <w:rPr>
                <w:sz w:val="22"/>
              </w:rPr>
              <w:br/>
              <w:t xml:space="preserve">  areas</w:t>
            </w:r>
          </w:p>
        </w:tc>
        <w:tc>
          <w:tcPr>
            <w:tcW w:w="1063" w:type="dxa"/>
            <w:tcBorders>
              <w:bottom w:val="nil"/>
            </w:tcBorders>
          </w:tcPr>
          <w:p w:rsidR="00000000" w:rsidRDefault="00000000">
            <w:pPr>
              <w:spacing w:after="0"/>
              <w:ind w:right="113"/>
              <w:jc w:val="right"/>
              <w:rPr>
                <w:sz w:val="22"/>
              </w:rPr>
            </w:pPr>
            <w:r>
              <w:rPr>
                <w:sz w:val="22"/>
              </w:rPr>
              <w:t>42 328</w:t>
            </w:r>
          </w:p>
        </w:tc>
        <w:tc>
          <w:tcPr>
            <w:tcW w:w="1063" w:type="dxa"/>
            <w:tcBorders>
              <w:bottom w:val="nil"/>
            </w:tcBorders>
          </w:tcPr>
          <w:p w:rsidR="00000000" w:rsidRDefault="00000000">
            <w:pPr>
              <w:spacing w:after="0"/>
              <w:ind w:right="113"/>
              <w:jc w:val="right"/>
              <w:rPr>
                <w:sz w:val="22"/>
              </w:rPr>
            </w:pPr>
            <w:r>
              <w:rPr>
                <w:sz w:val="22"/>
              </w:rPr>
              <w:t>43 881</w:t>
            </w:r>
          </w:p>
        </w:tc>
        <w:tc>
          <w:tcPr>
            <w:tcW w:w="1063" w:type="dxa"/>
            <w:tcBorders>
              <w:bottom w:val="nil"/>
            </w:tcBorders>
          </w:tcPr>
          <w:p w:rsidR="00000000" w:rsidRDefault="00000000">
            <w:pPr>
              <w:spacing w:after="0"/>
              <w:ind w:right="113"/>
              <w:jc w:val="right"/>
              <w:rPr>
                <w:sz w:val="22"/>
              </w:rPr>
            </w:pPr>
            <w:r>
              <w:rPr>
                <w:sz w:val="22"/>
              </w:rPr>
              <w:t>32 563</w:t>
            </w:r>
          </w:p>
        </w:tc>
        <w:tc>
          <w:tcPr>
            <w:tcW w:w="1063" w:type="dxa"/>
            <w:tcBorders>
              <w:bottom w:val="nil"/>
            </w:tcBorders>
          </w:tcPr>
          <w:p w:rsidR="00000000" w:rsidRDefault="00000000">
            <w:pPr>
              <w:spacing w:after="0"/>
              <w:ind w:right="113"/>
              <w:jc w:val="right"/>
              <w:rPr>
                <w:sz w:val="22"/>
              </w:rPr>
            </w:pPr>
            <w:r>
              <w:rPr>
                <w:sz w:val="22"/>
              </w:rPr>
              <w:t>26 723</w:t>
            </w:r>
          </w:p>
        </w:tc>
        <w:tc>
          <w:tcPr>
            <w:tcW w:w="1063" w:type="dxa"/>
            <w:tcBorders>
              <w:bottom w:val="nil"/>
            </w:tcBorders>
          </w:tcPr>
          <w:p w:rsidR="00000000" w:rsidRDefault="00000000">
            <w:pPr>
              <w:spacing w:after="0"/>
              <w:ind w:right="113"/>
              <w:jc w:val="right"/>
              <w:rPr>
                <w:sz w:val="22"/>
              </w:rPr>
            </w:pPr>
            <w:r>
              <w:rPr>
                <w:sz w:val="22"/>
              </w:rPr>
              <w:t>38 537</w:t>
            </w:r>
          </w:p>
        </w:tc>
        <w:tc>
          <w:tcPr>
            <w:tcW w:w="1064" w:type="dxa"/>
            <w:tcBorders>
              <w:bottom w:val="nil"/>
            </w:tcBorders>
          </w:tcPr>
          <w:p w:rsidR="00000000" w:rsidRDefault="00000000">
            <w:pPr>
              <w:spacing w:after="0"/>
              <w:ind w:right="113"/>
              <w:jc w:val="right"/>
              <w:rPr>
                <w:sz w:val="22"/>
              </w:rPr>
            </w:pPr>
            <w:r>
              <w:rPr>
                <w:sz w:val="22"/>
              </w:rPr>
              <w:t>113 894</w:t>
            </w:r>
          </w:p>
        </w:tc>
      </w:tr>
      <w:tr w:rsidR="00000000">
        <w:tblPrEx>
          <w:tblCellMar>
            <w:top w:w="0" w:type="dxa"/>
            <w:bottom w:w="0" w:type="dxa"/>
          </w:tblCellMar>
        </w:tblPrEx>
        <w:tc>
          <w:tcPr>
            <w:tcW w:w="2977" w:type="dxa"/>
            <w:tcBorders>
              <w:top w:val="nil"/>
              <w:bottom w:val="nil"/>
            </w:tcBorders>
          </w:tcPr>
          <w:p w:rsidR="00000000" w:rsidRDefault="00000000">
            <w:pPr>
              <w:spacing w:after="0"/>
              <w:rPr>
                <w:sz w:val="22"/>
              </w:rPr>
            </w:pPr>
            <w:r>
              <w:rPr>
                <w:sz w:val="22"/>
              </w:rPr>
              <w:t xml:space="preserve">  Contributors to the voluntary </w:t>
            </w:r>
            <w:r>
              <w:rPr>
                <w:sz w:val="22"/>
              </w:rPr>
              <w:br/>
              <w:t xml:space="preserve">  scheme</w:t>
            </w:r>
          </w:p>
        </w:tc>
        <w:tc>
          <w:tcPr>
            <w:tcW w:w="1063" w:type="dxa"/>
            <w:tcBorders>
              <w:top w:val="nil"/>
              <w:bottom w:val="nil"/>
            </w:tcBorders>
          </w:tcPr>
          <w:p w:rsidR="00000000" w:rsidRDefault="00000000">
            <w:pPr>
              <w:spacing w:after="0"/>
              <w:ind w:right="113"/>
              <w:jc w:val="right"/>
              <w:rPr>
                <w:sz w:val="22"/>
              </w:rPr>
            </w:pPr>
          </w:p>
        </w:tc>
        <w:tc>
          <w:tcPr>
            <w:tcW w:w="1063" w:type="dxa"/>
            <w:tcBorders>
              <w:top w:val="nil"/>
              <w:bottom w:val="nil"/>
            </w:tcBorders>
          </w:tcPr>
          <w:p w:rsidR="00000000" w:rsidRDefault="00000000">
            <w:pPr>
              <w:spacing w:after="0"/>
              <w:ind w:right="113"/>
              <w:jc w:val="right"/>
              <w:rPr>
                <w:sz w:val="22"/>
              </w:rPr>
            </w:pPr>
            <w:r>
              <w:rPr>
                <w:sz w:val="22"/>
              </w:rPr>
              <w:t>32</w:t>
            </w:r>
          </w:p>
        </w:tc>
        <w:tc>
          <w:tcPr>
            <w:tcW w:w="1063" w:type="dxa"/>
            <w:tcBorders>
              <w:top w:val="nil"/>
              <w:bottom w:val="nil"/>
            </w:tcBorders>
          </w:tcPr>
          <w:p w:rsidR="00000000" w:rsidRDefault="00000000">
            <w:pPr>
              <w:spacing w:after="0"/>
              <w:ind w:right="113"/>
              <w:jc w:val="right"/>
              <w:rPr>
                <w:sz w:val="22"/>
              </w:rPr>
            </w:pPr>
            <w:r>
              <w:rPr>
                <w:sz w:val="22"/>
              </w:rPr>
              <w:t>814</w:t>
            </w:r>
          </w:p>
        </w:tc>
        <w:tc>
          <w:tcPr>
            <w:tcW w:w="1063" w:type="dxa"/>
            <w:tcBorders>
              <w:top w:val="nil"/>
              <w:bottom w:val="nil"/>
            </w:tcBorders>
          </w:tcPr>
          <w:p w:rsidR="00000000" w:rsidRDefault="00000000">
            <w:pPr>
              <w:spacing w:after="0"/>
              <w:ind w:right="113"/>
              <w:jc w:val="right"/>
              <w:rPr>
                <w:sz w:val="22"/>
              </w:rPr>
            </w:pPr>
            <w:r>
              <w:rPr>
                <w:sz w:val="22"/>
              </w:rPr>
              <w:t>879</w:t>
            </w:r>
          </w:p>
        </w:tc>
        <w:tc>
          <w:tcPr>
            <w:tcW w:w="1063" w:type="dxa"/>
            <w:tcBorders>
              <w:top w:val="nil"/>
              <w:bottom w:val="nil"/>
            </w:tcBorders>
          </w:tcPr>
          <w:p w:rsidR="00000000" w:rsidRDefault="00000000">
            <w:pPr>
              <w:spacing w:after="0"/>
              <w:ind w:right="113"/>
              <w:jc w:val="right"/>
              <w:rPr>
                <w:sz w:val="22"/>
              </w:rPr>
            </w:pPr>
            <w:r>
              <w:rPr>
                <w:sz w:val="22"/>
              </w:rPr>
              <w:t>3 331</w:t>
            </w:r>
          </w:p>
        </w:tc>
        <w:tc>
          <w:tcPr>
            <w:tcW w:w="1064" w:type="dxa"/>
            <w:tcBorders>
              <w:top w:val="nil"/>
              <w:bottom w:val="nil"/>
            </w:tcBorders>
          </w:tcPr>
          <w:p w:rsidR="00000000" w:rsidRDefault="00000000">
            <w:pPr>
              <w:spacing w:after="0"/>
              <w:ind w:right="113"/>
              <w:jc w:val="right"/>
              <w:rPr>
                <w:sz w:val="22"/>
              </w:rPr>
            </w:pPr>
            <w:r>
              <w:rPr>
                <w:sz w:val="22"/>
              </w:rPr>
              <w:t>2 024</w:t>
            </w:r>
          </w:p>
        </w:tc>
      </w:tr>
      <w:tr w:rsidR="00000000">
        <w:tblPrEx>
          <w:tblCellMar>
            <w:top w:w="0" w:type="dxa"/>
            <w:bottom w:w="0" w:type="dxa"/>
          </w:tblCellMar>
        </w:tblPrEx>
        <w:tc>
          <w:tcPr>
            <w:tcW w:w="2977" w:type="dxa"/>
          </w:tcPr>
          <w:p w:rsidR="00000000" w:rsidRDefault="00000000">
            <w:pPr>
              <w:spacing w:after="0"/>
              <w:rPr>
                <w:sz w:val="22"/>
              </w:rPr>
            </w:pPr>
            <w:r>
              <w:rPr>
                <w:sz w:val="22"/>
              </w:rPr>
              <w:t>By the State budget:</w:t>
            </w:r>
          </w:p>
        </w:tc>
        <w:tc>
          <w:tcPr>
            <w:tcW w:w="1063" w:type="dxa"/>
          </w:tcPr>
          <w:p w:rsidR="00000000" w:rsidRDefault="00000000">
            <w:pPr>
              <w:spacing w:after="0"/>
              <w:ind w:right="113"/>
              <w:jc w:val="right"/>
              <w:rPr>
                <w:sz w:val="22"/>
              </w:rPr>
            </w:pPr>
            <w:r>
              <w:rPr>
                <w:sz w:val="22"/>
              </w:rPr>
              <w:t>94 000</w:t>
            </w:r>
          </w:p>
        </w:tc>
        <w:tc>
          <w:tcPr>
            <w:tcW w:w="1063" w:type="dxa"/>
          </w:tcPr>
          <w:p w:rsidR="00000000" w:rsidRDefault="00000000">
            <w:pPr>
              <w:spacing w:after="0"/>
              <w:ind w:right="113"/>
              <w:jc w:val="right"/>
              <w:rPr>
                <w:sz w:val="22"/>
              </w:rPr>
            </w:pPr>
            <w:r>
              <w:rPr>
                <w:sz w:val="22"/>
              </w:rPr>
              <w:t>78 571</w:t>
            </w:r>
          </w:p>
        </w:tc>
        <w:tc>
          <w:tcPr>
            <w:tcW w:w="1063" w:type="dxa"/>
          </w:tcPr>
          <w:p w:rsidR="00000000" w:rsidRDefault="00000000">
            <w:pPr>
              <w:spacing w:after="0"/>
              <w:ind w:right="113"/>
              <w:jc w:val="right"/>
              <w:rPr>
                <w:sz w:val="22"/>
              </w:rPr>
            </w:pPr>
            <w:r>
              <w:rPr>
                <w:sz w:val="22"/>
              </w:rPr>
              <w:t>89 154</w:t>
            </w:r>
          </w:p>
        </w:tc>
        <w:tc>
          <w:tcPr>
            <w:tcW w:w="1063" w:type="dxa"/>
          </w:tcPr>
          <w:p w:rsidR="00000000" w:rsidRDefault="00000000">
            <w:pPr>
              <w:spacing w:after="0"/>
              <w:ind w:right="113"/>
              <w:jc w:val="right"/>
              <w:rPr>
                <w:sz w:val="22"/>
              </w:rPr>
            </w:pPr>
            <w:r>
              <w:rPr>
                <w:sz w:val="22"/>
              </w:rPr>
              <w:t>41 898</w:t>
            </w:r>
          </w:p>
        </w:tc>
        <w:tc>
          <w:tcPr>
            <w:tcW w:w="1063" w:type="dxa"/>
          </w:tcPr>
          <w:p w:rsidR="00000000" w:rsidRDefault="00000000">
            <w:pPr>
              <w:spacing w:after="0"/>
              <w:ind w:right="113"/>
              <w:jc w:val="right"/>
              <w:rPr>
                <w:sz w:val="22"/>
              </w:rPr>
            </w:pPr>
            <w:r>
              <w:rPr>
                <w:sz w:val="22"/>
              </w:rPr>
              <w:t>33 879</w:t>
            </w:r>
          </w:p>
        </w:tc>
        <w:tc>
          <w:tcPr>
            <w:tcW w:w="1064" w:type="dxa"/>
          </w:tcPr>
          <w:p w:rsidR="00000000" w:rsidRDefault="00000000">
            <w:pPr>
              <w:spacing w:after="0"/>
              <w:ind w:right="113"/>
              <w:jc w:val="right"/>
              <w:rPr>
                <w:sz w:val="22"/>
              </w:rPr>
            </w:pPr>
            <w:r>
              <w:rPr>
                <w:sz w:val="22"/>
              </w:rPr>
              <w:t>33 334</w:t>
            </w:r>
          </w:p>
        </w:tc>
      </w:tr>
      <w:tr w:rsidR="00000000">
        <w:tblPrEx>
          <w:tblCellMar>
            <w:top w:w="0" w:type="dxa"/>
            <w:bottom w:w="0" w:type="dxa"/>
          </w:tblCellMar>
        </w:tblPrEx>
        <w:tc>
          <w:tcPr>
            <w:tcW w:w="2977" w:type="dxa"/>
          </w:tcPr>
          <w:p w:rsidR="00000000" w:rsidRDefault="00000000">
            <w:pPr>
              <w:spacing w:after="0"/>
              <w:rPr>
                <w:sz w:val="22"/>
              </w:rPr>
            </w:pPr>
            <w:r>
              <w:rPr>
                <w:sz w:val="22"/>
              </w:rPr>
              <w:t xml:space="preserve">  Soldiers</w:t>
            </w:r>
          </w:p>
        </w:tc>
        <w:tc>
          <w:tcPr>
            <w:tcW w:w="1063" w:type="dxa"/>
          </w:tcPr>
          <w:p w:rsidR="00000000" w:rsidRDefault="00000000">
            <w:pPr>
              <w:spacing w:after="0"/>
              <w:ind w:right="113"/>
              <w:jc w:val="right"/>
              <w:rPr>
                <w:sz w:val="22"/>
              </w:rPr>
            </w:pPr>
            <w:r>
              <w:rPr>
                <w:sz w:val="22"/>
              </w:rPr>
              <w:t>43 000</w:t>
            </w:r>
          </w:p>
        </w:tc>
        <w:tc>
          <w:tcPr>
            <w:tcW w:w="1063" w:type="dxa"/>
          </w:tcPr>
          <w:p w:rsidR="00000000" w:rsidRDefault="00000000">
            <w:pPr>
              <w:spacing w:after="0"/>
              <w:ind w:right="113"/>
              <w:jc w:val="right"/>
              <w:rPr>
                <w:sz w:val="22"/>
              </w:rPr>
            </w:pPr>
            <w:r>
              <w:rPr>
                <w:sz w:val="22"/>
              </w:rPr>
              <w:t>32 571</w:t>
            </w:r>
          </w:p>
        </w:tc>
        <w:tc>
          <w:tcPr>
            <w:tcW w:w="1063" w:type="dxa"/>
          </w:tcPr>
          <w:p w:rsidR="00000000" w:rsidRDefault="00000000">
            <w:pPr>
              <w:spacing w:after="0"/>
              <w:ind w:right="113"/>
              <w:jc w:val="right"/>
              <w:rPr>
                <w:sz w:val="22"/>
              </w:rPr>
            </w:pPr>
            <w:r>
              <w:rPr>
                <w:sz w:val="22"/>
              </w:rPr>
              <w:t>31 000</w:t>
            </w:r>
          </w:p>
        </w:tc>
        <w:tc>
          <w:tcPr>
            <w:tcW w:w="1063" w:type="dxa"/>
          </w:tcPr>
          <w:p w:rsidR="00000000" w:rsidRDefault="00000000">
            <w:pPr>
              <w:spacing w:after="0"/>
              <w:ind w:right="113"/>
              <w:jc w:val="right"/>
              <w:rPr>
                <w:sz w:val="22"/>
              </w:rPr>
            </w:pPr>
            <w:r>
              <w:rPr>
                <w:sz w:val="22"/>
              </w:rPr>
              <w:t>9 436</w:t>
            </w:r>
          </w:p>
        </w:tc>
        <w:tc>
          <w:tcPr>
            <w:tcW w:w="1063" w:type="dxa"/>
          </w:tcPr>
          <w:p w:rsidR="00000000" w:rsidRDefault="00000000">
            <w:pPr>
              <w:spacing w:after="0"/>
              <w:ind w:right="113"/>
              <w:jc w:val="right"/>
              <w:rPr>
                <w:sz w:val="22"/>
              </w:rPr>
            </w:pPr>
            <w:r>
              <w:rPr>
                <w:sz w:val="22"/>
              </w:rPr>
              <w:t>7 766</w:t>
            </w:r>
          </w:p>
        </w:tc>
        <w:tc>
          <w:tcPr>
            <w:tcW w:w="1064" w:type="dxa"/>
          </w:tcPr>
          <w:p w:rsidR="00000000" w:rsidRDefault="00000000">
            <w:pPr>
              <w:spacing w:after="0"/>
              <w:ind w:right="113"/>
              <w:jc w:val="right"/>
              <w:rPr>
                <w:sz w:val="22"/>
              </w:rPr>
            </w:pPr>
            <w:r>
              <w:rPr>
                <w:sz w:val="22"/>
              </w:rPr>
              <w:t>7 525</w:t>
            </w:r>
          </w:p>
        </w:tc>
      </w:tr>
      <w:tr w:rsidR="00000000">
        <w:tblPrEx>
          <w:tblCellMar>
            <w:top w:w="0" w:type="dxa"/>
            <w:bottom w:w="0" w:type="dxa"/>
          </w:tblCellMar>
        </w:tblPrEx>
        <w:tc>
          <w:tcPr>
            <w:tcW w:w="2977" w:type="dxa"/>
          </w:tcPr>
          <w:p w:rsidR="00000000" w:rsidRDefault="00000000">
            <w:pPr>
              <w:spacing w:after="0"/>
              <w:rPr>
                <w:sz w:val="22"/>
              </w:rPr>
            </w:pPr>
            <w:r>
              <w:rPr>
                <w:sz w:val="22"/>
              </w:rPr>
              <w:t xml:space="preserve">  Persons entitled to </w:t>
            </w:r>
            <w:r>
              <w:rPr>
                <w:sz w:val="22"/>
              </w:rPr>
              <w:br/>
              <w:t xml:space="preserve">  unemployment benefits</w:t>
            </w:r>
          </w:p>
        </w:tc>
        <w:tc>
          <w:tcPr>
            <w:tcW w:w="1063" w:type="dxa"/>
          </w:tcPr>
          <w:p w:rsidR="00000000" w:rsidRDefault="00000000">
            <w:pPr>
              <w:spacing w:after="0"/>
              <w:ind w:right="113"/>
              <w:jc w:val="right"/>
              <w:rPr>
                <w:sz w:val="22"/>
              </w:rPr>
            </w:pPr>
            <w:r>
              <w:rPr>
                <w:sz w:val="22"/>
              </w:rPr>
              <w:t>51 000</w:t>
            </w:r>
          </w:p>
        </w:tc>
        <w:tc>
          <w:tcPr>
            <w:tcW w:w="1063" w:type="dxa"/>
          </w:tcPr>
          <w:p w:rsidR="00000000" w:rsidRDefault="00000000">
            <w:pPr>
              <w:spacing w:after="0"/>
              <w:ind w:right="113"/>
              <w:jc w:val="right"/>
              <w:rPr>
                <w:sz w:val="22"/>
              </w:rPr>
            </w:pPr>
            <w:r>
              <w:rPr>
                <w:sz w:val="22"/>
              </w:rPr>
              <w:t>46 000</w:t>
            </w:r>
          </w:p>
        </w:tc>
        <w:tc>
          <w:tcPr>
            <w:tcW w:w="1063" w:type="dxa"/>
          </w:tcPr>
          <w:p w:rsidR="00000000" w:rsidRDefault="00000000">
            <w:pPr>
              <w:spacing w:after="0"/>
              <w:ind w:right="113"/>
              <w:jc w:val="right"/>
              <w:rPr>
                <w:sz w:val="22"/>
              </w:rPr>
            </w:pPr>
            <w:r>
              <w:rPr>
                <w:sz w:val="22"/>
              </w:rPr>
              <w:t>58 154</w:t>
            </w:r>
          </w:p>
        </w:tc>
        <w:tc>
          <w:tcPr>
            <w:tcW w:w="1063" w:type="dxa"/>
          </w:tcPr>
          <w:p w:rsidR="00000000" w:rsidRDefault="00000000">
            <w:pPr>
              <w:spacing w:after="0"/>
              <w:ind w:right="113"/>
              <w:jc w:val="right"/>
              <w:rPr>
                <w:sz w:val="22"/>
              </w:rPr>
            </w:pPr>
            <w:r>
              <w:rPr>
                <w:sz w:val="22"/>
              </w:rPr>
              <w:t>32 462</w:t>
            </w:r>
          </w:p>
        </w:tc>
        <w:tc>
          <w:tcPr>
            <w:tcW w:w="1063" w:type="dxa"/>
          </w:tcPr>
          <w:p w:rsidR="00000000" w:rsidRDefault="00000000">
            <w:pPr>
              <w:spacing w:after="0"/>
              <w:ind w:right="113"/>
              <w:jc w:val="right"/>
              <w:rPr>
                <w:sz w:val="22"/>
              </w:rPr>
            </w:pPr>
            <w:r>
              <w:rPr>
                <w:sz w:val="22"/>
              </w:rPr>
              <w:t>26 113</w:t>
            </w:r>
          </w:p>
        </w:tc>
        <w:tc>
          <w:tcPr>
            <w:tcW w:w="1064" w:type="dxa"/>
          </w:tcPr>
          <w:p w:rsidR="00000000" w:rsidRDefault="00000000">
            <w:pPr>
              <w:spacing w:after="0"/>
              <w:ind w:right="113"/>
              <w:jc w:val="right"/>
              <w:rPr>
                <w:sz w:val="22"/>
              </w:rPr>
            </w:pPr>
            <w:r>
              <w:rPr>
                <w:sz w:val="22"/>
              </w:rPr>
              <w:t>23 963</w:t>
            </w:r>
          </w:p>
        </w:tc>
      </w:tr>
      <w:tr w:rsidR="00000000">
        <w:tblPrEx>
          <w:tblCellMar>
            <w:top w:w="0" w:type="dxa"/>
            <w:bottom w:w="0" w:type="dxa"/>
          </w:tblCellMar>
        </w:tblPrEx>
        <w:tc>
          <w:tcPr>
            <w:tcW w:w="2977" w:type="dxa"/>
          </w:tcPr>
          <w:p w:rsidR="00000000" w:rsidRDefault="00000000">
            <w:pPr>
              <w:spacing w:after="0"/>
              <w:rPr>
                <w:sz w:val="22"/>
              </w:rPr>
            </w:pPr>
            <w:r>
              <w:rPr>
                <w:sz w:val="22"/>
              </w:rPr>
              <w:t xml:space="preserve">  Persons under transitional </w:t>
            </w:r>
            <w:r>
              <w:rPr>
                <w:sz w:val="22"/>
              </w:rPr>
              <w:br/>
              <w:t xml:space="preserve">  payment</w:t>
            </w:r>
          </w:p>
        </w:tc>
        <w:tc>
          <w:tcPr>
            <w:tcW w:w="1063" w:type="dxa"/>
          </w:tcPr>
          <w:p w:rsidR="00000000" w:rsidRDefault="00000000">
            <w:pPr>
              <w:spacing w:after="0"/>
              <w:ind w:right="113"/>
              <w:jc w:val="right"/>
              <w:rPr>
                <w:sz w:val="22"/>
              </w:rPr>
            </w:pPr>
          </w:p>
        </w:tc>
        <w:tc>
          <w:tcPr>
            <w:tcW w:w="1063" w:type="dxa"/>
          </w:tcPr>
          <w:p w:rsidR="00000000" w:rsidRDefault="00000000">
            <w:pPr>
              <w:spacing w:after="0"/>
              <w:ind w:right="113"/>
              <w:jc w:val="right"/>
              <w:rPr>
                <w:sz w:val="22"/>
              </w:rPr>
            </w:pPr>
          </w:p>
        </w:tc>
        <w:tc>
          <w:tcPr>
            <w:tcW w:w="1063" w:type="dxa"/>
          </w:tcPr>
          <w:p w:rsidR="00000000" w:rsidRDefault="00000000">
            <w:pPr>
              <w:spacing w:after="0"/>
              <w:ind w:right="113"/>
              <w:jc w:val="right"/>
              <w:rPr>
                <w:sz w:val="22"/>
              </w:rPr>
            </w:pPr>
          </w:p>
        </w:tc>
        <w:tc>
          <w:tcPr>
            <w:tcW w:w="1063" w:type="dxa"/>
          </w:tcPr>
          <w:p w:rsidR="00000000" w:rsidRDefault="00000000">
            <w:pPr>
              <w:spacing w:after="0"/>
              <w:ind w:right="113"/>
              <w:jc w:val="right"/>
              <w:rPr>
                <w:sz w:val="22"/>
              </w:rPr>
            </w:pPr>
          </w:p>
        </w:tc>
        <w:tc>
          <w:tcPr>
            <w:tcW w:w="1063" w:type="dxa"/>
          </w:tcPr>
          <w:p w:rsidR="00000000" w:rsidRDefault="00000000">
            <w:pPr>
              <w:spacing w:after="0"/>
              <w:ind w:right="113"/>
              <w:jc w:val="right"/>
              <w:rPr>
                <w:sz w:val="22"/>
              </w:rPr>
            </w:pPr>
          </w:p>
        </w:tc>
        <w:tc>
          <w:tcPr>
            <w:tcW w:w="1064" w:type="dxa"/>
          </w:tcPr>
          <w:p w:rsidR="00000000" w:rsidRDefault="00000000">
            <w:pPr>
              <w:spacing w:after="0"/>
              <w:ind w:right="113"/>
              <w:jc w:val="right"/>
              <w:rPr>
                <w:sz w:val="22"/>
              </w:rPr>
            </w:pPr>
            <w:r>
              <w:rPr>
                <w:sz w:val="22"/>
              </w:rPr>
              <w:t>89</w:t>
            </w:r>
          </w:p>
        </w:tc>
      </w:tr>
      <w:tr w:rsidR="00000000">
        <w:tblPrEx>
          <w:tblCellMar>
            <w:top w:w="0" w:type="dxa"/>
            <w:bottom w:w="0" w:type="dxa"/>
          </w:tblCellMar>
        </w:tblPrEx>
        <w:tc>
          <w:tcPr>
            <w:tcW w:w="2977" w:type="dxa"/>
            <w:tcBorders>
              <w:bottom w:val="single" w:sz="4" w:space="0" w:color="auto"/>
            </w:tcBorders>
          </w:tcPr>
          <w:p w:rsidR="00000000" w:rsidRDefault="00000000">
            <w:pPr>
              <w:spacing w:after="0"/>
              <w:rPr>
                <w:sz w:val="22"/>
              </w:rPr>
            </w:pPr>
            <w:r>
              <w:rPr>
                <w:sz w:val="22"/>
              </w:rPr>
              <w:t xml:space="preserve">  Military men under reform</w:t>
            </w:r>
          </w:p>
        </w:tc>
        <w:tc>
          <w:tcPr>
            <w:tcW w:w="1063" w:type="dxa"/>
            <w:tcBorders>
              <w:bottom w:val="single" w:sz="4" w:space="0" w:color="auto"/>
            </w:tcBorders>
          </w:tcPr>
          <w:p w:rsidR="00000000" w:rsidRDefault="00000000">
            <w:pPr>
              <w:spacing w:after="0"/>
              <w:ind w:right="113"/>
              <w:jc w:val="right"/>
              <w:rPr>
                <w:sz w:val="22"/>
              </w:rPr>
            </w:pPr>
          </w:p>
        </w:tc>
        <w:tc>
          <w:tcPr>
            <w:tcW w:w="1063" w:type="dxa"/>
            <w:tcBorders>
              <w:bottom w:val="single" w:sz="4" w:space="0" w:color="auto"/>
            </w:tcBorders>
          </w:tcPr>
          <w:p w:rsidR="00000000" w:rsidRDefault="00000000">
            <w:pPr>
              <w:spacing w:after="0"/>
              <w:ind w:right="113"/>
              <w:jc w:val="right"/>
              <w:rPr>
                <w:sz w:val="22"/>
              </w:rPr>
            </w:pPr>
          </w:p>
        </w:tc>
        <w:tc>
          <w:tcPr>
            <w:tcW w:w="1063" w:type="dxa"/>
            <w:tcBorders>
              <w:bottom w:val="single" w:sz="4" w:space="0" w:color="auto"/>
            </w:tcBorders>
          </w:tcPr>
          <w:p w:rsidR="00000000" w:rsidRDefault="00000000">
            <w:pPr>
              <w:spacing w:after="0"/>
              <w:ind w:right="113"/>
              <w:jc w:val="right"/>
              <w:rPr>
                <w:sz w:val="22"/>
              </w:rPr>
            </w:pPr>
          </w:p>
        </w:tc>
        <w:tc>
          <w:tcPr>
            <w:tcW w:w="1063" w:type="dxa"/>
            <w:tcBorders>
              <w:bottom w:val="single" w:sz="4" w:space="0" w:color="auto"/>
            </w:tcBorders>
          </w:tcPr>
          <w:p w:rsidR="00000000" w:rsidRDefault="00000000">
            <w:pPr>
              <w:spacing w:after="0"/>
              <w:ind w:right="113"/>
              <w:jc w:val="right"/>
              <w:rPr>
                <w:sz w:val="22"/>
              </w:rPr>
            </w:pPr>
          </w:p>
        </w:tc>
        <w:tc>
          <w:tcPr>
            <w:tcW w:w="1063" w:type="dxa"/>
            <w:tcBorders>
              <w:bottom w:val="single" w:sz="4" w:space="0" w:color="auto"/>
            </w:tcBorders>
          </w:tcPr>
          <w:p w:rsidR="00000000" w:rsidRDefault="00000000">
            <w:pPr>
              <w:spacing w:after="0"/>
              <w:ind w:right="113"/>
              <w:jc w:val="right"/>
              <w:rPr>
                <w:sz w:val="22"/>
              </w:rPr>
            </w:pPr>
          </w:p>
        </w:tc>
        <w:tc>
          <w:tcPr>
            <w:tcW w:w="1064" w:type="dxa"/>
            <w:tcBorders>
              <w:bottom w:val="single" w:sz="4" w:space="0" w:color="auto"/>
            </w:tcBorders>
          </w:tcPr>
          <w:p w:rsidR="00000000" w:rsidRDefault="00000000">
            <w:pPr>
              <w:spacing w:after="0"/>
              <w:ind w:right="113"/>
              <w:jc w:val="right"/>
              <w:rPr>
                <w:sz w:val="22"/>
              </w:rPr>
            </w:pPr>
            <w:r>
              <w:rPr>
                <w:sz w:val="22"/>
              </w:rPr>
              <w:t>1 757</w:t>
            </w:r>
          </w:p>
        </w:tc>
      </w:tr>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tabs>
                <w:tab w:val="left" w:pos="284"/>
              </w:tabs>
              <w:spacing w:after="0"/>
              <w:rPr>
                <w:sz w:val="22"/>
              </w:rPr>
            </w:pPr>
            <w:r>
              <w:rPr>
                <w:sz w:val="22"/>
              </w:rPr>
              <w:t xml:space="preserve">     Total</w:t>
            </w:r>
          </w:p>
        </w:tc>
        <w:tc>
          <w:tcPr>
            <w:tcW w:w="1063" w:type="dxa"/>
            <w:tcBorders>
              <w:top w:val="single" w:sz="4" w:space="0" w:color="auto"/>
              <w:bottom w:val="single" w:sz="4" w:space="0" w:color="auto"/>
            </w:tcBorders>
          </w:tcPr>
          <w:p w:rsidR="00000000" w:rsidRDefault="00000000">
            <w:pPr>
              <w:spacing w:after="0"/>
              <w:ind w:right="113"/>
              <w:jc w:val="right"/>
              <w:rPr>
                <w:sz w:val="22"/>
              </w:rPr>
            </w:pPr>
            <w:r>
              <w:rPr>
                <w:sz w:val="22"/>
              </w:rPr>
              <w:t>480 435</w:t>
            </w:r>
          </w:p>
        </w:tc>
        <w:tc>
          <w:tcPr>
            <w:tcW w:w="1063" w:type="dxa"/>
            <w:tcBorders>
              <w:top w:val="single" w:sz="4" w:space="0" w:color="auto"/>
              <w:bottom w:val="single" w:sz="4" w:space="0" w:color="auto"/>
            </w:tcBorders>
          </w:tcPr>
          <w:p w:rsidR="00000000" w:rsidRDefault="00000000">
            <w:pPr>
              <w:spacing w:after="0"/>
              <w:ind w:right="113"/>
              <w:jc w:val="right"/>
              <w:rPr>
                <w:sz w:val="22"/>
              </w:rPr>
            </w:pPr>
            <w:r>
              <w:rPr>
                <w:sz w:val="22"/>
              </w:rPr>
              <w:t>460 467</w:t>
            </w:r>
          </w:p>
        </w:tc>
        <w:tc>
          <w:tcPr>
            <w:tcW w:w="1063" w:type="dxa"/>
            <w:tcBorders>
              <w:top w:val="single" w:sz="4" w:space="0" w:color="auto"/>
              <w:bottom w:val="single" w:sz="4" w:space="0" w:color="auto"/>
            </w:tcBorders>
          </w:tcPr>
          <w:p w:rsidR="00000000" w:rsidRDefault="00000000">
            <w:pPr>
              <w:spacing w:after="0"/>
              <w:ind w:right="113"/>
              <w:jc w:val="right"/>
              <w:rPr>
                <w:sz w:val="22"/>
              </w:rPr>
            </w:pPr>
            <w:r>
              <w:rPr>
                <w:sz w:val="22"/>
              </w:rPr>
              <w:t>432 200</w:t>
            </w:r>
          </w:p>
        </w:tc>
        <w:tc>
          <w:tcPr>
            <w:tcW w:w="1063" w:type="dxa"/>
            <w:tcBorders>
              <w:top w:val="single" w:sz="4" w:space="0" w:color="auto"/>
              <w:bottom w:val="single" w:sz="4" w:space="0" w:color="auto"/>
            </w:tcBorders>
          </w:tcPr>
          <w:p w:rsidR="00000000" w:rsidRDefault="00000000">
            <w:pPr>
              <w:spacing w:after="0"/>
              <w:ind w:right="113"/>
              <w:jc w:val="right"/>
              <w:rPr>
                <w:sz w:val="22"/>
              </w:rPr>
            </w:pPr>
            <w:r>
              <w:rPr>
                <w:sz w:val="22"/>
              </w:rPr>
              <w:t>348 038</w:t>
            </w:r>
          </w:p>
        </w:tc>
        <w:tc>
          <w:tcPr>
            <w:tcW w:w="1063" w:type="dxa"/>
            <w:tcBorders>
              <w:top w:val="single" w:sz="4" w:space="0" w:color="auto"/>
              <w:bottom w:val="single" w:sz="4" w:space="0" w:color="auto"/>
            </w:tcBorders>
          </w:tcPr>
          <w:p w:rsidR="00000000" w:rsidRDefault="00000000">
            <w:pPr>
              <w:spacing w:after="0"/>
              <w:ind w:right="113"/>
              <w:jc w:val="right"/>
              <w:rPr>
                <w:sz w:val="22"/>
              </w:rPr>
            </w:pPr>
            <w:r>
              <w:rPr>
                <w:sz w:val="22"/>
              </w:rPr>
              <w:t>362 397</w:t>
            </w:r>
          </w:p>
        </w:tc>
        <w:tc>
          <w:tcPr>
            <w:tcW w:w="1064" w:type="dxa"/>
            <w:tcBorders>
              <w:top w:val="single" w:sz="4" w:space="0" w:color="auto"/>
              <w:bottom w:val="single" w:sz="4" w:space="0" w:color="auto"/>
            </w:tcBorders>
          </w:tcPr>
          <w:p w:rsidR="00000000" w:rsidRDefault="00000000">
            <w:pPr>
              <w:spacing w:after="0"/>
              <w:ind w:right="113"/>
              <w:jc w:val="right"/>
              <w:rPr>
                <w:sz w:val="22"/>
              </w:rPr>
            </w:pPr>
            <w:r>
              <w:rPr>
                <w:sz w:val="22"/>
              </w:rPr>
              <w:t>422 943</w:t>
            </w:r>
          </w:p>
        </w:tc>
      </w:tr>
    </w:tbl>
    <w:p w:rsidR="00000000" w:rsidRDefault="00000000">
      <w:pPr>
        <w:pStyle w:val="Heading2"/>
        <w:spacing w:before="480"/>
      </w:pPr>
      <w:r>
        <w:t>Table 9</w:t>
      </w:r>
    </w:p>
    <w:p w:rsidR="00000000" w:rsidRDefault="00000000">
      <w:pPr>
        <w:pStyle w:val="Heading2"/>
      </w:pPr>
      <w:r>
        <w:t>Contributory wages (1994-1999)</w:t>
      </w:r>
      <w:r>
        <w:br/>
        <w:t>(leks per month)</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2"/>
        <w:gridCol w:w="992"/>
        <w:gridCol w:w="993"/>
        <w:gridCol w:w="992"/>
        <w:gridCol w:w="992"/>
        <w:gridCol w:w="993"/>
      </w:tblGrid>
      <w:tr w:rsidR="00000000">
        <w:tblPrEx>
          <w:tblCellMar>
            <w:top w:w="0" w:type="dxa"/>
            <w:bottom w:w="0" w:type="dxa"/>
          </w:tblCellMar>
        </w:tblPrEx>
        <w:trPr>
          <w:jc w:val="center"/>
        </w:trPr>
        <w:tc>
          <w:tcPr>
            <w:tcW w:w="1701" w:type="dxa"/>
          </w:tcPr>
          <w:p w:rsidR="00000000" w:rsidRDefault="00000000">
            <w:pPr>
              <w:spacing w:after="0"/>
              <w:jc w:val="center"/>
            </w:pPr>
          </w:p>
        </w:tc>
        <w:tc>
          <w:tcPr>
            <w:tcW w:w="992" w:type="dxa"/>
          </w:tcPr>
          <w:p w:rsidR="00000000" w:rsidRDefault="00000000">
            <w:pPr>
              <w:spacing w:after="0"/>
              <w:jc w:val="center"/>
            </w:pPr>
            <w:r>
              <w:t>1994</w:t>
            </w:r>
          </w:p>
        </w:tc>
        <w:tc>
          <w:tcPr>
            <w:tcW w:w="992" w:type="dxa"/>
          </w:tcPr>
          <w:p w:rsidR="00000000" w:rsidRDefault="00000000">
            <w:pPr>
              <w:spacing w:after="0"/>
              <w:jc w:val="center"/>
            </w:pPr>
            <w:r>
              <w:t>1995</w:t>
            </w:r>
          </w:p>
        </w:tc>
        <w:tc>
          <w:tcPr>
            <w:tcW w:w="993" w:type="dxa"/>
          </w:tcPr>
          <w:p w:rsidR="00000000" w:rsidRDefault="00000000">
            <w:pPr>
              <w:spacing w:after="0"/>
              <w:jc w:val="center"/>
            </w:pPr>
            <w:r>
              <w:t>1996</w:t>
            </w:r>
          </w:p>
        </w:tc>
        <w:tc>
          <w:tcPr>
            <w:tcW w:w="992" w:type="dxa"/>
          </w:tcPr>
          <w:p w:rsidR="00000000" w:rsidRDefault="00000000">
            <w:pPr>
              <w:spacing w:after="0"/>
              <w:jc w:val="center"/>
            </w:pPr>
            <w:r>
              <w:t>1997</w:t>
            </w:r>
          </w:p>
        </w:tc>
        <w:tc>
          <w:tcPr>
            <w:tcW w:w="992" w:type="dxa"/>
          </w:tcPr>
          <w:p w:rsidR="00000000" w:rsidRDefault="00000000">
            <w:pPr>
              <w:spacing w:after="0"/>
              <w:jc w:val="center"/>
            </w:pPr>
            <w:r>
              <w:t>1998</w:t>
            </w:r>
          </w:p>
        </w:tc>
        <w:tc>
          <w:tcPr>
            <w:tcW w:w="993" w:type="dxa"/>
          </w:tcPr>
          <w:p w:rsidR="00000000" w:rsidRDefault="00000000">
            <w:pPr>
              <w:spacing w:after="0"/>
              <w:jc w:val="center"/>
            </w:pPr>
            <w:r>
              <w:t>1999</w:t>
            </w:r>
          </w:p>
        </w:tc>
      </w:tr>
      <w:tr w:rsidR="00000000">
        <w:tblPrEx>
          <w:tblCellMar>
            <w:top w:w="0" w:type="dxa"/>
            <w:bottom w:w="0" w:type="dxa"/>
          </w:tblCellMar>
        </w:tblPrEx>
        <w:trPr>
          <w:jc w:val="center"/>
        </w:trPr>
        <w:tc>
          <w:tcPr>
            <w:tcW w:w="1701" w:type="dxa"/>
            <w:tcBorders>
              <w:bottom w:val="nil"/>
            </w:tcBorders>
          </w:tcPr>
          <w:p w:rsidR="00000000" w:rsidRDefault="00000000">
            <w:pPr>
              <w:spacing w:after="0"/>
            </w:pPr>
            <w:r>
              <w:t>Minimum</w:t>
            </w:r>
          </w:p>
        </w:tc>
        <w:tc>
          <w:tcPr>
            <w:tcW w:w="992" w:type="dxa"/>
            <w:tcBorders>
              <w:bottom w:val="nil"/>
            </w:tcBorders>
          </w:tcPr>
          <w:p w:rsidR="00000000" w:rsidRDefault="00000000">
            <w:pPr>
              <w:spacing w:after="0"/>
              <w:ind w:right="113"/>
              <w:jc w:val="right"/>
            </w:pPr>
            <w:r>
              <w:t>2 560</w:t>
            </w:r>
          </w:p>
        </w:tc>
        <w:tc>
          <w:tcPr>
            <w:tcW w:w="992" w:type="dxa"/>
            <w:tcBorders>
              <w:bottom w:val="nil"/>
            </w:tcBorders>
          </w:tcPr>
          <w:p w:rsidR="00000000" w:rsidRDefault="00000000">
            <w:pPr>
              <w:spacing w:after="0"/>
              <w:ind w:right="113"/>
              <w:jc w:val="right"/>
            </w:pPr>
            <w:r>
              <w:t>3 180</w:t>
            </w:r>
          </w:p>
        </w:tc>
        <w:tc>
          <w:tcPr>
            <w:tcW w:w="993" w:type="dxa"/>
            <w:tcBorders>
              <w:bottom w:val="nil"/>
            </w:tcBorders>
          </w:tcPr>
          <w:p w:rsidR="00000000" w:rsidRDefault="00000000">
            <w:pPr>
              <w:spacing w:after="0"/>
              <w:ind w:right="113"/>
              <w:jc w:val="right"/>
            </w:pPr>
            <w:r>
              <w:t>4 100</w:t>
            </w:r>
          </w:p>
        </w:tc>
        <w:tc>
          <w:tcPr>
            <w:tcW w:w="992" w:type="dxa"/>
            <w:tcBorders>
              <w:bottom w:val="nil"/>
            </w:tcBorders>
          </w:tcPr>
          <w:p w:rsidR="00000000" w:rsidRDefault="00000000">
            <w:pPr>
              <w:spacing w:after="0"/>
              <w:ind w:right="113"/>
              <w:jc w:val="right"/>
            </w:pPr>
            <w:r>
              <w:t>4 910</w:t>
            </w:r>
          </w:p>
        </w:tc>
        <w:tc>
          <w:tcPr>
            <w:tcW w:w="992" w:type="dxa"/>
            <w:tcBorders>
              <w:bottom w:val="nil"/>
            </w:tcBorders>
          </w:tcPr>
          <w:p w:rsidR="00000000" w:rsidRDefault="00000000">
            <w:pPr>
              <w:spacing w:after="0"/>
              <w:ind w:right="113"/>
              <w:jc w:val="right"/>
            </w:pPr>
            <w:r>
              <w:t>6 040</w:t>
            </w:r>
          </w:p>
        </w:tc>
        <w:tc>
          <w:tcPr>
            <w:tcW w:w="993" w:type="dxa"/>
            <w:tcBorders>
              <w:bottom w:val="nil"/>
            </w:tcBorders>
          </w:tcPr>
          <w:p w:rsidR="00000000" w:rsidRDefault="00000000">
            <w:pPr>
              <w:spacing w:after="0"/>
              <w:ind w:right="113"/>
              <w:jc w:val="right"/>
            </w:pPr>
            <w:r>
              <w:t>6 645</w:t>
            </w:r>
          </w:p>
        </w:tc>
      </w:tr>
      <w:tr w:rsidR="00000000">
        <w:tblPrEx>
          <w:tblCellMar>
            <w:top w:w="0" w:type="dxa"/>
            <w:bottom w:w="0" w:type="dxa"/>
          </w:tblCellMar>
        </w:tblPrEx>
        <w:trPr>
          <w:jc w:val="center"/>
        </w:trPr>
        <w:tc>
          <w:tcPr>
            <w:tcW w:w="1701" w:type="dxa"/>
            <w:tcBorders>
              <w:top w:val="nil"/>
            </w:tcBorders>
          </w:tcPr>
          <w:p w:rsidR="00000000" w:rsidRDefault="00000000">
            <w:pPr>
              <w:spacing w:after="0"/>
            </w:pPr>
            <w:r>
              <w:t>Maximum</w:t>
            </w:r>
          </w:p>
        </w:tc>
        <w:tc>
          <w:tcPr>
            <w:tcW w:w="992" w:type="dxa"/>
            <w:tcBorders>
              <w:top w:val="nil"/>
            </w:tcBorders>
          </w:tcPr>
          <w:p w:rsidR="00000000" w:rsidRDefault="00000000">
            <w:pPr>
              <w:spacing w:after="0"/>
              <w:ind w:right="113"/>
              <w:jc w:val="right"/>
            </w:pPr>
            <w:r>
              <w:t>7 680</w:t>
            </w:r>
          </w:p>
        </w:tc>
        <w:tc>
          <w:tcPr>
            <w:tcW w:w="992" w:type="dxa"/>
            <w:tcBorders>
              <w:top w:val="nil"/>
            </w:tcBorders>
          </w:tcPr>
          <w:p w:rsidR="00000000" w:rsidRDefault="00000000">
            <w:pPr>
              <w:spacing w:after="0"/>
              <w:ind w:right="113"/>
              <w:jc w:val="right"/>
            </w:pPr>
            <w:r>
              <w:t>9 540</w:t>
            </w:r>
          </w:p>
        </w:tc>
        <w:tc>
          <w:tcPr>
            <w:tcW w:w="993" w:type="dxa"/>
            <w:tcBorders>
              <w:top w:val="nil"/>
            </w:tcBorders>
          </w:tcPr>
          <w:p w:rsidR="00000000" w:rsidRDefault="00000000">
            <w:pPr>
              <w:spacing w:after="0"/>
              <w:ind w:right="113"/>
              <w:jc w:val="right"/>
            </w:pPr>
            <w:r>
              <w:t>12 300</w:t>
            </w:r>
          </w:p>
        </w:tc>
        <w:tc>
          <w:tcPr>
            <w:tcW w:w="992" w:type="dxa"/>
            <w:tcBorders>
              <w:top w:val="nil"/>
            </w:tcBorders>
          </w:tcPr>
          <w:p w:rsidR="00000000" w:rsidRDefault="00000000">
            <w:pPr>
              <w:spacing w:after="0"/>
              <w:ind w:right="113"/>
              <w:jc w:val="right"/>
            </w:pPr>
            <w:r>
              <w:t>14 730</w:t>
            </w:r>
          </w:p>
        </w:tc>
        <w:tc>
          <w:tcPr>
            <w:tcW w:w="992" w:type="dxa"/>
            <w:tcBorders>
              <w:top w:val="nil"/>
            </w:tcBorders>
          </w:tcPr>
          <w:p w:rsidR="00000000" w:rsidRDefault="00000000">
            <w:pPr>
              <w:spacing w:after="0"/>
              <w:ind w:right="113"/>
              <w:jc w:val="right"/>
            </w:pPr>
            <w:r>
              <w:t>18 120</w:t>
            </w:r>
          </w:p>
        </w:tc>
        <w:tc>
          <w:tcPr>
            <w:tcW w:w="993" w:type="dxa"/>
            <w:tcBorders>
              <w:top w:val="nil"/>
            </w:tcBorders>
          </w:tcPr>
          <w:p w:rsidR="00000000" w:rsidRDefault="00000000">
            <w:pPr>
              <w:spacing w:after="0"/>
              <w:ind w:right="113"/>
              <w:jc w:val="right"/>
            </w:pPr>
            <w:r>
              <w:t>19 935</w:t>
            </w:r>
          </w:p>
        </w:tc>
      </w:tr>
    </w:tbl>
    <w:p w:rsidR="00000000" w:rsidRDefault="00000000">
      <w:pPr>
        <w:pStyle w:val="Heading2"/>
      </w:pPr>
      <w:r>
        <w:br w:type="page"/>
        <w:t>Table 10</w:t>
      </w:r>
    </w:p>
    <w:p w:rsidR="00000000" w:rsidRDefault="00000000">
      <w:pPr>
        <w:pStyle w:val="Heading2"/>
      </w:pPr>
      <w:r>
        <w:t>Urban pensions in the social insurance scheme (1994-1999)</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1155"/>
        <w:gridCol w:w="1155"/>
        <w:gridCol w:w="1156"/>
        <w:gridCol w:w="1155"/>
        <w:gridCol w:w="1155"/>
        <w:gridCol w:w="1156"/>
      </w:tblGrid>
      <w:tr w:rsidR="00000000">
        <w:tblPrEx>
          <w:tblCellMar>
            <w:top w:w="0" w:type="dxa"/>
            <w:bottom w:w="0" w:type="dxa"/>
          </w:tblCellMar>
        </w:tblPrEx>
        <w:tc>
          <w:tcPr>
            <w:tcW w:w="2410" w:type="dxa"/>
            <w:tcBorders>
              <w:bottom w:val="single" w:sz="4" w:space="0" w:color="auto"/>
            </w:tcBorders>
          </w:tcPr>
          <w:p w:rsidR="00000000" w:rsidRDefault="00000000">
            <w:pPr>
              <w:spacing w:after="0"/>
              <w:jc w:val="center"/>
            </w:pPr>
            <w:r>
              <w:t>End of period</w:t>
            </w:r>
          </w:p>
        </w:tc>
        <w:tc>
          <w:tcPr>
            <w:tcW w:w="1155" w:type="dxa"/>
            <w:tcBorders>
              <w:bottom w:val="single" w:sz="4" w:space="0" w:color="auto"/>
            </w:tcBorders>
          </w:tcPr>
          <w:p w:rsidR="00000000" w:rsidRDefault="00000000">
            <w:pPr>
              <w:spacing w:after="0"/>
              <w:jc w:val="center"/>
            </w:pPr>
            <w:r>
              <w:t>1994</w:t>
            </w:r>
          </w:p>
        </w:tc>
        <w:tc>
          <w:tcPr>
            <w:tcW w:w="1155" w:type="dxa"/>
            <w:tcBorders>
              <w:bottom w:val="single" w:sz="4" w:space="0" w:color="auto"/>
            </w:tcBorders>
          </w:tcPr>
          <w:p w:rsidR="00000000" w:rsidRDefault="00000000">
            <w:pPr>
              <w:spacing w:after="0"/>
              <w:jc w:val="center"/>
            </w:pPr>
            <w:r>
              <w:t>1995</w:t>
            </w:r>
          </w:p>
        </w:tc>
        <w:tc>
          <w:tcPr>
            <w:tcW w:w="1156" w:type="dxa"/>
            <w:tcBorders>
              <w:bottom w:val="single" w:sz="4" w:space="0" w:color="auto"/>
            </w:tcBorders>
          </w:tcPr>
          <w:p w:rsidR="00000000" w:rsidRDefault="00000000">
            <w:pPr>
              <w:spacing w:after="0"/>
              <w:jc w:val="center"/>
            </w:pPr>
            <w:r>
              <w:t>1996</w:t>
            </w:r>
          </w:p>
        </w:tc>
        <w:tc>
          <w:tcPr>
            <w:tcW w:w="1155" w:type="dxa"/>
            <w:tcBorders>
              <w:bottom w:val="single" w:sz="4" w:space="0" w:color="auto"/>
            </w:tcBorders>
          </w:tcPr>
          <w:p w:rsidR="00000000" w:rsidRDefault="00000000">
            <w:pPr>
              <w:spacing w:after="0"/>
              <w:jc w:val="center"/>
            </w:pPr>
            <w:r>
              <w:t>1997</w:t>
            </w:r>
          </w:p>
        </w:tc>
        <w:tc>
          <w:tcPr>
            <w:tcW w:w="1155" w:type="dxa"/>
            <w:tcBorders>
              <w:bottom w:val="single" w:sz="4" w:space="0" w:color="auto"/>
            </w:tcBorders>
          </w:tcPr>
          <w:p w:rsidR="00000000" w:rsidRDefault="00000000">
            <w:pPr>
              <w:spacing w:after="0"/>
              <w:jc w:val="center"/>
            </w:pPr>
            <w:r>
              <w:t>1998</w:t>
            </w:r>
          </w:p>
        </w:tc>
        <w:tc>
          <w:tcPr>
            <w:tcW w:w="1156"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410" w:type="dxa"/>
            <w:tcBorders>
              <w:top w:val="single" w:sz="4" w:space="0" w:color="auto"/>
              <w:bottom w:val="nil"/>
            </w:tcBorders>
          </w:tcPr>
          <w:p w:rsidR="00000000" w:rsidRDefault="00000000">
            <w:pPr>
              <w:spacing w:after="0"/>
            </w:pPr>
            <w:r>
              <w:t>Urban pensions</w:t>
            </w:r>
          </w:p>
        </w:tc>
        <w:tc>
          <w:tcPr>
            <w:tcW w:w="1155" w:type="dxa"/>
            <w:tcBorders>
              <w:top w:val="single" w:sz="4" w:space="0" w:color="auto"/>
              <w:bottom w:val="nil"/>
            </w:tcBorders>
          </w:tcPr>
          <w:p w:rsidR="00000000" w:rsidRDefault="00000000">
            <w:pPr>
              <w:spacing w:after="0"/>
              <w:ind w:right="113"/>
              <w:jc w:val="right"/>
            </w:pPr>
          </w:p>
        </w:tc>
        <w:tc>
          <w:tcPr>
            <w:tcW w:w="1155" w:type="dxa"/>
            <w:tcBorders>
              <w:top w:val="single" w:sz="4" w:space="0" w:color="auto"/>
              <w:bottom w:val="nil"/>
            </w:tcBorders>
          </w:tcPr>
          <w:p w:rsidR="00000000" w:rsidRDefault="00000000">
            <w:pPr>
              <w:spacing w:after="0"/>
              <w:ind w:right="113"/>
              <w:jc w:val="right"/>
            </w:pPr>
          </w:p>
        </w:tc>
        <w:tc>
          <w:tcPr>
            <w:tcW w:w="1156" w:type="dxa"/>
            <w:tcBorders>
              <w:top w:val="single" w:sz="4" w:space="0" w:color="auto"/>
              <w:bottom w:val="nil"/>
            </w:tcBorders>
          </w:tcPr>
          <w:p w:rsidR="00000000" w:rsidRDefault="00000000">
            <w:pPr>
              <w:spacing w:after="0"/>
              <w:ind w:right="113"/>
              <w:jc w:val="right"/>
            </w:pPr>
          </w:p>
        </w:tc>
        <w:tc>
          <w:tcPr>
            <w:tcW w:w="1155" w:type="dxa"/>
            <w:tcBorders>
              <w:top w:val="single" w:sz="4" w:space="0" w:color="auto"/>
              <w:bottom w:val="nil"/>
            </w:tcBorders>
          </w:tcPr>
          <w:p w:rsidR="00000000" w:rsidRDefault="00000000">
            <w:pPr>
              <w:spacing w:after="0"/>
              <w:ind w:right="113"/>
              <w:jc w:val="right"/>
            </w:pPr>
          </w:p>
        </w:tc>
        <w:tc>
          <w:tcPr>
            <w:tcW w:w="1155" w:type="dxa"/>
            <w:tcBorders>
              <w:top w:val="single" w:sz="4" w:space="0" w:color="auto"/>
              <w:bottom w:val="nil"/>
            </w:tcBorders>
          </w:tcPr>
          <w:p w:rsidR="00000000" w:rsidRDefault="00000000">
            <w:pPr>
              <w:spacing w:after="0"/>
              <w:ind w:right="113"/>
              <w:jc w:val="right"/>
            </w:pPr>
          </w:p>
        </w:tc>
        <w:tc>
          <w:tcPr>
            <w:tcW w:w="1156" w:type="dxa"/>
            <w:tcBorders>
              <w:top w:val="single" w:sz="4" w:space="0" w:color="auto"/>
              <w:bottom w:val="nil"/>
            </w:tcBorders>
          </w:tcPr>
          <w:p w:rsidR="00000000" w:rsidRDefault="00000000">
            <w:pPr>
              <w:spacing w:after="0"/>
              <w:ind w:right="113"/>
              <w:jc w:val="right"/>
            </w:pPr>
          </w:p>
        </w:tc>
      </w:tr>
      <w:tr w:rsidR="00000000">
        <w:tblPrEx>
          <w:tblCellMar>
            <w:top w:w="0" w:type="dxa"/>
            <w:bottom w:w="0" w:type="dxa"/>
          </w:tblCellMar>
        </w:tblPrEx>
        <w:tc>
          <w:tcPr>
            <w:tcW w:w="2410" w:type="dxa"/>
            <w:tcBorders>
              <w:top w:val="nil"/>
            </w:tcBorders>
          </w:tcPr>
          <w:p w:rsidR="00000000" w:rsidRDefault="00000000">
            <w:pPr>
              <w:spacing w:after="0"/>
            </w:pPr>
            <w:r>
              <w:t xml:space="preserve">  Total</w:t>
            </w:r>
          </w:p>
        </w:tc>
        <w:tc>
          <w:tcPr>
            <w:tcW w:w="1155" w:type="dxa"/>
            <w:tcBorders>
              <w:top w:val="nil"/>
            </w:tcBorders>
          </w:tcPr>
          <w:p w:rsidR="00000000" w:rsidRDefault="00000000">
            <w:pPr>
              <w:spacing w:after="0"/>
              <w:ind w:right="113"/>
              <w:jc w:val="right"/>
            </w:pPr>
            <w:r>
              <w:t>317 035</w:t>
            </w:r>
          </w:p>
        </w:tc>
        <w:tc>
          <w:tcPr>
            <w:tcW w:w="1155" w:type="dxa"/>
            <w:tcBorders>
              <w:top w:val="nil"/>
            </w:tcBorders>
          </w:tcPr>
          <w:p w:rsidR="00000000" w:rsidRDefault="00000000">
            <w:pPr>
              <w:spacing w:after="0"/>
              <w:ind w:right="113"/>
              <w:jc w:val="right"/>
            </w:pPr>
            <w:r>
              <w:t>321 218</w:t>
            </w:r>
          </w:p>
        </w:tc>
        <w:tc>
          <w:tcPr>
            <w:tcW w:w="1156" w:type="dxa"/>
            <w:tcBorders>
              <w:top w:val="nil"/>
            </w:tcBorders>
          </w:tcPr>
          <w:p w:rsidR="00000000" w:rsidRDefault="00000000">
            <w:pPr>
              <w:spacing w:after="0"/>
              <w:ind w:right="113"/>
              <w:jc w:val="right"/>
            </w:pPr>
            <w:r>
              <w:t>331 160</w:t>
            </w:r>
          </w:p>
        </w:tc>
        <w:tc>
          <w:tcPr>
            <w:tcW w:w="1155" w:type="dxa"/>
            <w:tcBorders>
              <w:top w:val="nil"/>
            </w:tcBorders>
          </w:tcPr>
          <w:p w:rsidR="00000000" w:rsidRDefault="00000000">
            <w:pPr>
              <w:spacing w:after="0"/>
              <w:ind w:right="113"/>
              <w:jc w:val="right"/>
            </w:pPr>
            <w:r>
              <w:t>336 782</w:t>
            </w:r>
          </w:p>
        </w:tc>
        <w:tc>
          <w:tcPr>
            <w:tcW w:w="1155" w:type="dxa"/>
            <w:tcBorders>
              <w:top w:val="nil"/>
            </w:tcBorders>
          </w:tcPr>
          <w:p w:rsidR="00000000" w:rsidRDefault="00000000">
            <w:pPr>
              <w:spacing w:after="0"/>
              <w:ind w:right="113"/>
              <w:jc w:val="right"/>
            </w:pPr>
            <w:r>
              <w:t>340 983</w:t>
            </w:r>
          </w:p>
        </w:tc>
        <w:tc>
          <w:tcPr>
            <w:tcW w:w="1156" w:type="dxa"/>
            <w:tcBorders>
              <w:top w:val="nil"/>
            </w:tcBorders>
          </w:tcPr>
          <w:p w:rsidR="00000000" w:rsidRDefault="00000000">
            <w:pPr>
              <w:spacing w:after="0"/>
              <w:ind w:right="113"/>
              <w:jc w:val="right"/>
            </w:pPr>
            <w:r>
              <w:t>349 602</w:t>
            </w:r>
          </w:p>
        </w:tc>
      </w:tr>
      <w:tr w:rsidR="00000000">
        <w:tblPrEx>
          <w:tblCellMar>
            <w:top w:w="0" w:type="dxa"/>
            <w:bottom w:w="0" w:type="dxa"/>
          </w:tblCellMar>
        </w:tblPrEx>
        <w:tc>
          <w:tcPr>
            <w:tcW w:w="2410" w:type="dxa"/>
          </w:tcPr>
          <w:p w:rsidR="00000000" w:rsidRDefault="00000000">
            <w:pPr>
              <w:spacing w:after="0"/>
            </w:pPr>
            <w:r>
              <w:t xml:space="preserve">  Female</w:t>
            </w:r>
          </w:p>
        </w:tc>
        <w:tc>
          <w:tcPr>
            <w:tcW w:w="1155" w:type="dxa"/>
          </w:tcPr>
          <w:p w:rsidR="00000000" w:rsidRDefault="00000000">
            <w:pPr>
              <w:spacing w:after="0"/>
              <w:ind w:right="113"/>
              <w:jc w:val="right"/>
            </w:pPr>
            <w:r>
              <w:t>127 510</w:t>
            </w:r>
          </w:p>
        </w:tc>
        <w:tc>
          <w:tcPr>
            <w:tcW w:w="1155" w:type="dxa"/>
          </w:tcPr>
          <w:p w:rsidR="00000000" w:rsidRDefault="00000000">
            <w:pPr>
              <w:spacing w:after="0"/>
              <w:ind w:right="113"/>
              <w:jc w:val="right"/>
            </w:pPr>
            <w:r>
              <w:t>130 519</w:t>
            </w:r>
          </w:p>
        </w:tc>
        <w:tc>
          <w:tcPr>
            <w:tcW w:w="1156" w:type="dxa"/>
          </w:tcPr>
          <w:p w:rsidR="00000000" w:rsidRDefault="00000000">
            <w:pPr>
              <w:spacing w:after="0"/>
              <w:ind w:right="113"/>
              <w:jc w:val="right"/>
            </w:pPr>
            <w:r>
              <w:t>131 906</w:t>
            </w:r>
          </w:p>
        </w:tc>
        <w:tc>
          <w:tcPr>
            <w:tcW w:w="1155" w:type="dxa"/>
          </w:tcPr>
          <w:p w:rsidR="00000000" w:rsidRDefault="00000000">
            <w:pPr>
              <w:spacing w:after="0"/>
              <w:ind w:right="113"/>
              <w:jc w:val="right"/>
            </w:pPr>
            <w:r>
              <w:t>133 871</w:t>
            </w:r>
          </w:p>
        </w:tc>
        <w:tc>
          <w:tcPr>
            <w:tcW w:w="1155" w:type="dxa"/>
          </w:tcPr>
          <w:p w:rsidR="00000000" w:rsidRDefault="00000000">
            <w:pPr>
              <w:spacing w:after="0"/>
              <w:ind w:right="113"/>
              <w:jc w:val="right"/>
            </w:pPr>
            <w:r>
              <w:t>136 841</w:t>
            </w:r>
          </w:p>
        </w:tc>
        <w:tc>
          <w:tcPr>
            <w:tcW w:w="1156" w:type="dxa"/>
          </w:tcPr>
          <w:p w:rsidR="00000000" w:rsidRDefault="00000000">
            <w:pPr>
              <w:spacing w:after="0"/>
              <w:ind w:right="113"/>
              <w:jc w:val="right"/>
            </w:pPr>
            <w:r>
              <w:t>138 786</w:t>
            </w:r>
          </w:p>
        </w:tc>
      </w:tr>
      <w:tr w:rsidR="00000000">
        <w:tblPrEx>
          <w:tblCellMar>
            <w:top w:w="0" w:type="dxa"/>
            <w:bottom w:w="0" w:type="dxa"/>
          </w:tblCellMar>
        </w:tblPrEx>
        <w:tc>
          <w:tcPr>
            <w:tcW w:w="2410" w:type="dxa"/>
          </w:tcPr>
          <w:p w:rsidR="00000000" w:rsidRDefault="00000000">
            <w:pPr>
              <w:spacing w:after="0"/>
            </w:pPr>
            <w:r>
              <w:t xml:space="preserve">Old-age pensions </w:t>
            </w: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r>
      <w:tr w:rsidR="00000000">
        <w:tblPrEx>
          <w:tblCellMar>
            <w:top w:w="0" w:type="dxa"/>
            <w:bottom w:w="0" w:type="dxa"/>
          </w:tblCellMar>
        </w:tblPrEx>
        <w:tc>
          <w:tcPr>
            <w:tcW w:w="2410" w:type="dxa"/>
          </w:tcPr>
          <w:p w:rsidR="00000000" w:rsidRDefault="00000000">
            <w:pPr>
              <w:spacing w:after="0"/>
            </w:pPr>
            <w:r>
              <w:t xml:space="preserve">  Total</w:t>
            </w:r>
          </w:p>
        </w:tc>
        <w:tc>
          <w:tcPr>
            <w:tcW w:w="1155" w:type="dxa"/>
          </w:tcPr>
          <w:p w:rsidR="00000000" w:rsidRDefault="00000000">
            <w:pPr>
              <w:spacing w:after="0"/>
              <w:ind w:right="113"/>
              <w:jc w:val="right"/>
            </w:pPr>
            <w:r>
              <w:t>247 310</w:t>
            </w:r>
          </w:p>
        </w:tc>
        <w:tc>
          <w:tcPr>
            <w:tcW w:w="1155" w:type="dxa"/>
          </w:tcPr>
          <w:p w:rsidR="00000000" w:rsidRDefault="00000000">
            <w:pPr>
              <w:spacing w:after="0"/>
              <w:ind w:right="113"/>
              <w:jc w:val="right"/>
            </w:pPr>
            <w:r>
              <w:t>249 274</w:t>
            </w:r>
          </w:p>
        </w:tc>
        <w:tc>
          <w:tcPr>
            <w:tcW w:w="1156" w:type="dxa"/>
          </w:tcPr>
          <w:p w:rsidR="00000000" w:rsidRDefault="00000000">
            <w:pPr>
              <w:spacing w:after="0"/>
              <w:ind w:right="113"/>
              <w:jc w:val="right"/>
            </w:pPr>
            <w:r>
              <w:t>252 861</w:t>
            </w:r>
          </w:p>
        </w:tc>
        <w:tc>
          <w:tcPr>
            <w:tcW w:w="1155" w:type="dxa"/>
          </w:tcPr>
          <w:p w:rsidR="00000000" w:rsidRDefault="00000000">
            <w:pPr>
              <w:spacing w:after="0"/>
              <w:ind w:right="113"/>
              <w:jc w:val="right"/>
            </w:pPr>
            <w:r>
              <w:t>254 588</w:t>
            </w:r>
          </w:p>
        </w:tc>
        <w:tc>
          <w:tcPr>
            <w:tcW w:w="1155" w:type="dxa"/>
          </w:tcPr>
          <w:p w:rsidR="00000000" w:rsidRDefault="00000000">
            <w:pPr>
              <w:spacing w:after="0"/>
              <w:ind w:right="113"/>
              <w:jc w:val="right"/>
            </w:pPr>
            <w:r>
              <w:t>257 775</w:t>
            </w:r>
          </w:p>
        </w:tc>
        <w:tc>
          <w:tcPr>
            <w:tcW w:w="1156" w:type="dxa"/>
          </w:tcPr>
          <w:p w:rsidR="00000000" w:rsidRDefault="00000000">
            <w:pPr>
              <w:spacing w:after="0"/>
              <w:ind w:right="113"/>
              <w:jc w:val="right"/>
            </w:pPr>
            <w:r>
              <w:t>265 964</w:t>
            </w:r>
          </w:p>
        </w:tc>
      </w:tr>
      <w:tr w:rsidR="00000000">
        <w:tblPrEx>
          <w:tblCellMar>
            <w:top w:w="0" w:type="dxa"/>
            <w:bottom w:w="0" w:type="dxa"/>
          </w:tblCellMar>
        </w:tblPrEx>
        <w:tc>
          <w:tcPr>
            <w:tcW w:w="2410" w:type="dxa"/>
          </w:tcPr>
          <w:p w:rsidR="00000000" w:rsidRDefault="00000000">
            <w:pPr>
              <w:spacing w:after="0"/>
            </w:pPr>
            <w:r>
              <w:t xml:space="preserve">  Female</w:t>
            </w:r>
          </w:p>
        </w:tc>
        <w:tc>
          <w:tcPr>
            <w:tcW w:w="1155" w:type="dxa"/>
          </w:tcPr>
          <w:p w:rsidR="00000000" w:rsidRDefault="00000000">
            <w:pPr>
              <w:spacing w:after="0"/>
              <w:ind w:right="113"/>
              <w:jc w:val="right"/>
            </w:pPr>
            <w:r>
              <w:t>115 199</w:t>
            </w:r>
          </w:p>
        </w:tc>
        <w:tc>
          <w:tcPr>
            <w:tcW w:w="1155" w:type="dxa"/>
          </w:tcPr>
          <w:p w:rsidR="00000000" w:rsidRDefault="00000000">
            <w:pPr>
              <w:spacing w:after="0"/>
              <w:ind w:right="113"/>
              <w:jc w:val="right"/>
            </w:pPr>
            <w:r>
              <w:t>115 958</w:t>
            </w:r>
          </w:p>
        </w:tc>
        <w:tc>
          <w:tcPr>
            <w:tcW w:w="1156" w:type="dxa"/>
          </w:tcPr>
          <w:p w:rsidR="00000000" w:rsidRDefault="00000000">
            <w:pPr>
              <w:spacing w:after="0"/>
              <w:ind w:right="113"/>
              <w:jc w:val="right"/>
            </w:pPr>
            <w:r>
              <w:t>117 225</w:t>
            </w:r>
          </w:p>
        </w:tc>
        <w:tc>
          <w:tcPr>
            <w:tcW w:w="1155" w:type="dxa"/>
          </w:tcPr>
          <w:p w:rsidR="00000000" w:rsidRDefault="00000000">
            <w:pPr>
              <w:spacing w:after="0"/>
              <w:ind w:right="113"/>
              <w:jc w:val="right"/>
            </w:pPr>
            <w:r>
              <w:t>116 219</w:t>
            </w:r>
          </w:p>
        </w:tc>
        <w:tc>
          <w:tcPr>
            <w:tcW w:w="1155" w:type="dxa"/>
          </w:tcPr>
          <w:p w:rsidR="00000000" w:rsidRDefault="00000000">
            <w:pPr>
              <w:spacing w:after="0"/>
              <w:ind w:right="113"/>
              <w:jc w:val="right"/>
            </w:pPr>
            <w:r>
              <w:t>118 548</w:t>
            </w:r>
          </w:p>
        </w:tc>
        <w:tc>
          <w:tcPr>
            <w:tcW w:w="1156" w:type="dxa"/>
          </w:tcPr>
          <w:p w:rsidR="00000000" w:rsidRDefault="00000000">
            <w:pPr>
              <w:spacing w:after="0"/>
              <w:ind w:right="113"/>
              <w:jc w:val="right"/>
            </w:pPr>
            <w:r>
              <w:t>121 743</w:t>
            </w:r>
          </w:p>
        </w:tc>
      </w:tr>
      <w:tr w:rsidR="00000000">
        <w:tblPrEx>
          <w:tblCellMar>
            <w:top w:w="0" w:type="dxa"/>
            <w:bottom w:w="0" w:type="dxa"/>
          </w:tblCellMar>
        </w:tblPrEx>
        <w:tc>
          <w:tcPr>
            <w:tcW w:w="2410" w:type="dxa"/>
          </w:tcPr>
          <w:p w:rsidR="00000000" w:rsidRDefault="00000000">
            <w:pPr>
              <w:spacing w:after="0"/>
            </w:pPr>
            <w:r>
              <w:t>Invalidity pensions</w:t>
            </w: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r>
      <w:tr w:rsidR="00000000">
        <w:tblPrEx>
          <w:tblCellMar>
            <w:top w:w="0" w:type="dxa"/>
            <w:bottom w:w="0" w:type="dxa"/>
          </w:tblCellMar>
        </w:tblPrEx>
        <w:tc>
          <w:tcPr>
            <w:tcW w:w="2410" w:type="dxa"/>
          </w:tcPr>
          <w:p w:rsidR="00000000" w:rsidRDefault="00000000">
            <w:pPr>
              <w:spacing w:after="0"/>
            </w:pPr>
            <w:r>
              <w:t xml:space="preserve">  Total</w:t>
            </w:r>
          </w:p>
        </w:tc>
        <w:tc>
          <w:tcPr>
            <w:tcW w:w="1155" w:type="dxa"/>
          </w:tcPr>
          <w:p w:rsidR="00000000" w:rsidRDefault="00000000">
            <w:pPr>
              <w:spacing w:after="0"/>
              <w:ind w:right="113"/>
              <w:jc w:val="right"/>
            </w:pPr>
            <w:r>
              <w:t>21 766</w:t>
            </w:r>
          </w:p>
        </w:tc>
        <w:tc>
          <w:tcPr>
            <w:tcW w:w="1155" w:type="dxa"/>
          </w:tcPr>
          <w:p w:rsidR="00000000" w:rsidRDefault="00000000">
            <w:pPr>
              <w:spacing w:after="0"/>
              <w:ind w:right="113"/>
              <w:jc w:val="right"/>
            </w:pPr>
            <w:r>
              <w:t>22 324</w:t>
            </w:r>
          </w:p>
        </w:tc>
        <w:tc>
          <w:tcPr>
            <w:tcW w:w="1156" w:type="dxa"/>
          </w:tcPr>
          <w:p w:rsidR="00000000" w:rsidRDefault="00000000">
            <w:pPr>
              <w:spacing w:after="0"/>
              <w:ind w:right="113"/>
              <w:jc w:val="right"/>
            </w:pPr>
            <w:r>
              <w:t>23 117</w:t>
            </w:r>
          </w:p>
        </w:tc>
        <w:tc>
          <w:tcPr>
            <w:tcW w:w="1155" w:type="dxa"/>
          </w:tcPr>
          <w:p w:rsidR="00000000" w:rsidRDefault="00000000">
            <w:pPr>
              <w:spacing w:after="0"/>
              <w:ind w:right="113"/>
              <w:jc w:val="right"/>
            </w:pPr>
            <w:r>
              <w:t>25 289</w:t>
            </w:r>
          </w:p>
        </w:tc>
        <w:tc>
          <w:tcPr>
            <w:tcW w:w="1155" w:type="dxa"/>
          </w:tcPr>
          <w:p w:rsidR="00000000" w:rsidRDefault="00000000">
            <w:pPr>
              <w:spacing w:after="0"/>
              <w:ind w:right="113"/>
              <w:jc w:val="right"/>
            </w:pPr>
            <w:r>
              <w:t>25 585</w:t>
            </w:r>
          </w:p>
        </w:tc>
        <w:tc>
          <w:tcPr>
            <w:tcW w:w="1156" w:type="dxa"/>
          </w:tcPr>
          <w:p w:rsidR="00000000" w:rsidRDefault="00000000">
            <w:pPr>
              <w:spacing w:after="0"/>
              <w:ind w:right="113"/>
              <w:jc w:val="right"/>
            </w:pPr>
            <w:r>
              <w:t>26 015</w:t>
            </w:r>
          </w:p>
        </w:tc>
      </w:tr>
      <w:tr w:rsidR="00000000">
        <w:tblPrEx>
          <w:tblCellMar>
            <w:top w:w="0" w:type="dxa"/>
            <w:bottom w:w="0" w:type="dxa"/>
          </w:tblCellMar>
        </w:tblPrEx>
        <w:tc>
          <w:tcPr>
            <w:tcW w:w="2410" w:type="dxa"/>
          </w:tcPr>
          <w:p w:rsidR="00000000" w:rsidRDefault="00000000">
            <w:pPr>
              <w:spacing w:after="0"/>
            </w:pPr>
            <w:r>
              <w:t xml:space="preserve">  Female</w:t>
            </w:r>
          </w:p>
        </w:tc>
        <w:tc>
          <w:tcPr>
            <w:tcW w:w="1155" w:type="dxa"/>
          </w:tcPr>
          <w:p w:rsidR="00000000" w:rsidRDefault="00000000">
            <w:pPr>
              <w:spacing w:after="0"/>
              <w:ind w:right="113"/>
              <w:jc w:val="right"/>
            </w:pPr>
            <w:r>
              <w:t>7 824</w:t>
            </w:r>
          </w:p>
        </w:tc>
        <w:tc>
          <w:tcPr>
            <w:tcW w:w="1155" w:type="dxa"/>
          </w:tcPr>
          <w:p w:rsidR="00000000" w:rsidRDefault="00000000">
            <w:pPr>
              <w:spacing w:after="0"/>
              <w:ind w:right="113"/>
              <w:jc w:val="right"/>
            </w:pPr>
            <w:r>
              <w:t>8 449</w:t>
            </w:r>
          </w:p>
        </w:tc>
        <w:tc>
          <w:tcPr>
            <w:tcW w:w="1156" w:type="dxa"/>
          </w:tcPr>
          <w:p w:rsidR="00000000" w:rsidRDefault="00000000">
            <w:pPr>
              <w:spacing w:after="0"/>
              <w:ind w:right="113"/>
              <w:jc w:val="right"/>
            </w:pPr>
            <w:r>
              <w:t>8 023</w:t>
            </w:r>
          </w:p>
        </w:tc>
        <w:tc>
          <w:tcPr>
            <w:tcW w:w="1155" w:type="dxa"/>
          </w:tcPr>
          <w:p w:rsidR="00000000" w:rsidRDefault="00000000">
            <w:pPr>
              <w:spacing w:after="0"/>
              <w:ind w:right="113"/>
              <w:jc w:val="right"/>
            </w:pPr>
            <w:r>
              <w:t>8 607</w:t>
            </w:r>
          </w:p>
        </w:tc>
        <w:tc>
          <w:tcPr>
            <w:tcW w:w="1155" w:type="dxa"/>
          </w:tcPr>
          <w:p w:rsidR="00000000" w:rsidRDefault="00000000">
            <w:pPr>
              <w:spacing w:after="0"/>
              <w:ind w:right="113"/>
              <w:jc w:val="right"/>
            </w:pPr>
            <w:r>
              <w:t>9 129</w:t>
            </w:r>
          </w:p>
        </w:tc>
        <w:tc>
          <w:tcPr>
            <w:tcW w:w="1156" w:type="dxa"/>
          </w:tcPr>
          <w:p w:rsidR="00000000" w:rsidRDefault="00000000">
            <w:pPr>
              <w:spacing w:after="0"/>
              <w:ind w:right="113"/>
              <w:jc w:val="right"/>
            </w:pPr>
            <w:r>
              <w:t>9 293</w:t>
            </w:r>
          </w:p>
        </w:tc>
      </w:tr>
      <w:tr w:rsidR="00000000">
        <w:tblPrEx>
          <w:tblCellMar>
            <w:top w:w="0" w:type="dxa"/>
            <w:bottom w:w="0" w:type="dxa"/>
          </w:tblCellMar>
        </w:tblPrEx>
        <w:tc>
          <w:tcPr>
            <w:tcW w:w="2410" w:type="dxa"/>
          </w:tcPr>
          <w:p w:rsidR="00000000" w:rsidRDefault="00000000">
            <w:pPr>
              <w:spacing w:after="0"/>
            </w:pPr>
            <w:r>
              <w:t>Survivors’ pensions</w:t>
            </w: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r>
      <w:tr w:rsidR="00000000">
        <w:tblPrEx>
          <w:tblCellMar>
            <w:top w:w="0" w:type="dxa"/>
            <w:bottom w:w="0" w:type="dxa"/>
          </w:tblCellMar>
        </w:tblPrEx>
        <w:tc>
          <w:tcPr>
            <w:tcW w:w="2410" w:type="dxa"/>
          </w:tcPr>
          <w:p w:rsidR="00000000" w:rsidRDefault="00000000">
            <w:pPr>
              <w:spacing w:after="0"/>
            </w:pPr>
            <w:r>
              <w:t xml:space="preserve">  Total</w:t>
            </w:r>
          </w:p>
        </w:tc>
        <w:tc>
          <w:tcPr>
            <w:tcW w:w="1155" w:type="dxa"/>
          </w:tcPr>
          <w:p w:rsidR="00000000" w:rsidRDefault="00000000">
            <w:pPr>
              <w:spacing w:after="0"/>
              <w:ind w:right="113"/>
              <w:jc w:val="right"/>
            </w:pPr>
            <w:r>
              <w:t>46 258</w:t>
            </w:r>
          </w:p>
        </w:tc>
        <w:tc>
          <w:tcPr>
            <w:tcW w:w="1155" w:type="dxa"/>
          </w:tcPr>
          <w:p w:rsidR="00000000" w:rsidRDefault="00000000">
            <w:pPr>
              <w:spacing w:after="0"/>
              <w:ind w:right="113"/>
              <w:jc w:val="right"/>
            </w:pPr>
            <w:r>
              <w:t>47 769</w:t>
            </w:r>
          </w:p>
        </w:tc>
        <w:tc>
          <w:tcPr>
            <w:tcW w:w="1156" w:type="dxa"/>
          </w:tcPr>
          <w:p w:rsidR="00000000" w:rsidRDefault="00000000">
            <w:pPr>
              <w:spacing w:after="0"/>
              <w:ind w:right="113"/>
              <w:jc w:val="right"/>
            </w:pPr>
            <w:r>
              <w:t>48 703</w:t>
            </w:r>
          </w:p>
        </w:tc>
        <w:tc>
          <w:tcPr>
            <w:tcW w:w="1155" w:type="dxa"/>
          </w:tcPr>
          <w:p w:rsidR="00000000" w:rsidRDefault="00000000">
            <w:pPr>
              <w:spacing w:after="0"/>
              <w:ind w:right="113"/>
              <w:jc w:val="right"/>
            </w:pPr>
            <w:r>
              <w:t>49 863</w:t>
            </w:r>
          </w:p>
        </w:tc>
        <w:tc>
          <w:tcPr>
            <w:tcW w:w="1155" w:type="dxa"/>
          </w:tcPr>
          <w:p w:rsidR="00000000" w:rsidRDefault="00000000">
            <w:pPr>
              <w:spacing w:after="0"/>
              <w:ind w:right="113"/>
              <w:jc w:val="right"/>
            </w:pPr>
            <w:r>
              <w:t>50 986</w:t>
            </w:r>
          </w:p>
        </w:tc>
        <w:tc>
          <w:tcPr>
            <w:tcW w:w="1156" w:type="dxa"/>
          </w:tcPr>
          <w:p w:rsidR="00000000" w:rsidRDefault="00000000">
            <w:pPr>
              <w:spacing w:after="0"/>
              <w:ind w:right="113"/>
              <w:jc w:val="right"/>
            </w:pPr>
            <w:r>
              <w:t>51 069</w:t>
            </w:r>
          </w:p>
        </w:tc>
      </w:tr>
      <w:tr w:rsidR="00000000">
        <w:tblPrEx>
          <w:tblCellMar>
            <w:top w:w="0" w:type="dxa"/>
            <w:bottom w:w="0" w:type="dxa"/>
          </w:tblCellMar>
        </w:tblPrEx>
        <w:tc>
          <w:tcPr>
            <w:tcW w:w="2410" w:type="dxa"/>
          </w:tcPr>
          <w:p w:rsidR="00000000" w:rsidRDefault="00000000">
            <w:pPr>
              <w:spacing w:after="0"/>
            </w:pPr>
            <w:r>
              <w:t xml:space="preserve">  Female</w:t>
            </w:r>
          </w:p>
        </w:tc>
        <w:tc>
          <w:tcPr>
            <w:tcW w:w="1155" w:type="dxa"/>
          </w:tcPr>
          <w:p w:rsidR="00000000" w:rsidRDefault="00000000">
            <w:pPr>
              <w:spacing w:after="0"/>
              <w:ind w:right="113"/>
              <w:jc w:val="right"/>
            </w:pPr>
            <w:r>
              <w:t>4 454</w:t>
            </w:r>
          </w:p>
        </w:tc>
        <w:tc>
          <w:tcPr>
            <w:tcW w:w="1155" w:type="dxa"/>
          </w:tcPr>
          <w:p w:rsidR="00000000" w:rsidRDefault="00000000">
            <w:pPr>
              <w:spacing w:after="0"/>
              <w:ind w:right="113"/>
              <w:jc w:val="right"/>
            </w:pPr>
            <w:r>
              <w:t>6 078</w:t>
            </w:r>
          </w:p>
        </w:tc>
        <w:tc>
          <w:tcPr>
            <w:tcW w:w="1156" w:type="dxa"/>
          </w:tcPr>
          <w:p w:rsidR="00000000" w:rsidRDefault="00000000">
            <w:pPr>
              <w:spacing w:after="0"/>
              <w:ind w:right="113"/>
              <w:jc w:val="right"/>
            </w:pPr>
            <w:r>
              <w:t>6 394</w:t>
            </w:r>
          </w:p>
        </w:tc>
        <w:tc>
          <w:tcPr>
            <w:tcW w:w="1155" w:type="dxa"/>
          </w:tcPr>
          <w:p w:rsidR="00000000" w:rsidRDefault="00000000">
            <w:pPr>
              <w:spacing w:after="0"/>
              <w:ind w:right="113"/>
              <w:jc w:val="right"/>
            </w:pPr>
            <w:r>
              <w:t>8 726</w:t>
            </w:r>
          </w:p>
        </w:tc>
        <w:tc>
          <w:tcPr>
            <w:tcW w:w="1155" w:type="dxa"/>
          </w:tcPr>
          <w:p w:rsidR="00000000" w:rsidRDefault="00000000">
            <w:pPr>
              <w:spacing w:after="0"/>
              <w:ind w:right="113"/>
              <w:jc w:val="right"/>
            </w:pPr>
            <w:r>
              <w:t>8 922</w:t>
            </w:r>
          </w:p>
        </w:tc>
        <w:tc>
          <w:tcPr>
            <w:tcW w:w="1156" w:type="dxa"/>
          </w:tcPr>
          <w:p w:rsidR="00000000" w:rsidRDefault="00000000">
            <w:pPr>
              <w:spacing w:after="0"/>
              <w:ind w:right="113"/>
              <w:jc w:val="right"/>
            </w:pPr>
            <w:r>
              <w:t>7 507</w:t>
            </w:r>
          </w:p>
        </w:tc>
      </w:tr>
      <w:tr w:rsidR="00000000">
        <w:tblPrEx>
          <w:tblCellMar>
            <w:top w:w="0" w:type="dxa"/>
            <w:bottom w:w="0" w:type="dxa"/>
          </w:tblCellMar>
        </w:tblPrEx>
        <w:tc>
          <w:tcPr>
            <w:tcW w:w="2410" w:type="dxa"/>
          </w:tcPr>
          <w:p w:rsidR="00000000" w:rsidRDefault="00000000">
            <w:pPr>
              <w:spacing w:after="0"/>
            </w:pPr>
            <w:r>
              <w:t>Others</w:t>
            </w: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c>
          <w:tcPr>
            <w:tcW w:w="1155" w:type="dxa"/>
          </w:tcPr>
          <w:p w:rsidR="00000000" w:rsidRDefault="00000000">
            <w:pPr>
              <w:spacing w:after="0"/>
              <w:ind w:right="113"/>
              <w:jc w:val="right"/>
            </w:pPr>
          </w:p>
        </w:tc>
        <w:tc>
          <w:tcPr>
            <w:tcW w:w="1155" w:type="dxa"/>
          </w:tcPr>
          <w:p w:rsidR="00000000" w:rsidRDefault="00000000">
            <w:pPr>
              <w:spacing w:after="0"/>
              <w:ind w:right="113"/>
              <w:jc w:val="right"/>
            </w:pPr>
          </w:p>
        </w:tc>
        <w:tc>
          <w:tcPr>
            <w:tcW w:w="1156" w:type="dxa"/>
          </w:tcPr>
          <w:p w:rsidR="00000000" w:rsidRDefault="00000000">
            <w:pPr>
              <w:spacing w:after="0"/>
              <w:ind w:right="113"/>
              <w:jc w:val="right"/>
            </w:pPr>
          </w:p>
        </w:tc>
      </w:tr>
      <w:tr w:rsidR="00000000">
        <w:tblPrEx>
          <w:tblCellMar>
            <w:top w:w="0" w:type="dxa"/>
            <w:bottom w:w="0" w:type="dxa"/>
          </w:tblCellMar>
        </w:tblPrEx>
        <w:tc>
          <w:tcPr>
            <w:tcW w:w="2410" w:type="dxa"/>
          </w:tcPr>
          <w:p w:rsidR="00000000" w:rsidRDefault="00000000">
            <w:pPr>
              <w:spacing w:after="0"/>
            </w:pPr>
            <w:r>
              <w:t xml:space="preserve">  Total</w:t>
            </w:r>
          </w:p>
        </w:tc>
        <w:tc>
          <w:tcPr>
            <w:tcW w:w="1155" w:type="dxa"/>
          </w:tcPr>
          <w:p w:rsidR="00000000" w:rsidRDefault="00000000">
            <w:pPr>
              <w:spacing w:after="0"/>
              <w:ind w:right="113"/>
              <w:jc w:val="right"/>
            </w:pPr>
            <w:r>
              <w:t>1 701</w:t>
            </w:r>
          </w:p>
        </w:tc>
        <w:tc>
          <w:tcPr>
            <w:tcW w:w="1155" w:type="dxa"/>
          </w:tcPr>
          <w:p w:rsidR="00000000" w:rsidRDefault="00000000">
            <w:pPr>
              <w:spacing w:after="0"/>
              <w:ind w:right="113"/>
              <w:jc w:val="right"/>
            </w:pPr>
            <w:r>
              <w:t>1 851</w:t>
            </w:r>
          </w:p>
        </w:tc>
        <w:tc>
          <w:tcPr>
            <w:tcW w:w="1156" w:type="dxa"/>
          </w:tcPr>
          <w:p w:rsidR="00000000" w:rsidRDefault="00000000">
            <w:pPr>
              <w:spacing w:after="0"/>
              <w:ind w:right="113"/>
              <w:jc w:val="right"/>
            </w:pPr>
            <w:r>
              <w:t>6 479</w:t>
            </w:r>
          </w:p>
        </w:tc>
        <w:tc>
          <w:tcPr>
            <w:tcW w:w="1155" w:type="dxa"/>
          </w:tcPr>
          <w:p w:rsidR="00000000" w:rsidRDefault="00000000">
            <w:pPr>
              <w:spacing w:after="0"/>
              <w:ind w:right="113"/>
              <w:jc w:val="right"/>
            </w:pPr>
            <w:r>
              <w:t>7 042</w:t>
            </w:r>
          </w:p>
        </w:tc>
        <w:tc>
          <w:tcPr>
            <w:tcW w:w="1155" w:type="dxa"/>
          </w:tcPr>
          <w:p w:rsidR="00000000" w:rsidRDefault="00000000">
            <w:pPr>
              <w:spacing w:after="0"/>
              <w:ind w:right="113"/>
              <w:jc w:val="right"/>
            </w:pPr>
            <w:r>
              <w:t>6 637</w:t>
            </w:r>
          </w:p>
        </w:tc>
        <w:tc>
          <w:tcPr>
            <w:tcW w:w="1156" w:type="dxa"/>
          </w:tcPr>
          <w:p w:rsidR="00000000" w:rsidRDefault="00000000">
            <w:pPr>
              <w:spacing w:after="0"/>
              <w:ind w:right="113"/>
              <w:jc w:val="right"/>
            </w:pPr>
            <w:r>
              <w:t>6 554</w:t>
            </w:r>
          </w:p>
        </w:tc>
      </w:tr>
      <w:tr w:rsidR="00000000">
        <w:tblPrEx>
          <w:tblCellMar>
            <w:top w:w="0" w:type="dxa"/>
            <w:bottom w:w="0" w:type="dxa"/>
          </w:tblCellMar>
        </w:tblPrEx>
        <w:tc>
          <w:tcPr>
            <w:tcW w:w="2410" w:type="dxa"/>
          </w:tcPr>
          <w:p w:rsidR="00000000" w:rsidRDefault="00000000">
            <w:pPr>
              <w:spacing w:after="0"/>
            </w:pPr>
            <w:r>
              <w:t xml:space="preserve">  Female</w:t>
            </w:r>
          </w:p>
        </w:tc>
        <w:tc>
          <w:tcPr>
            <w:tcW w:w="1155" w:type="dxa"/>
          </w:tcPr>
          <w:p w:rsidR="00000000" w:rsidRDefault="00000000">
            <w:pPr>
              <w:spacing w:after="0"/>
              <w:ind w:right="113"/>
              <w:jc w:val="right"/>
            </w:pPr>
            <w:r>
              <w:t>33</w:t>
            </w:r>
          </w:p>
        </w:tc>
        <w:tc>
          <w:tcPr>
            <w:tcW w:w="1155" w:type="dxa"/>
          </w:tcPr>
          <w:p w:rsidR="00000000" w:rsidRDefault="00000000">
            <w:pPr>
              <w:spacing w:after="0"/>
              <w:ind w:right="113"/>
              <w:jc w:val="right"/>
            </w:pPr>
            <w:r>
              <w:t>34</w:t>
            </w:r>
          </w:p>
        </w:tc>
        <w:tc>
          <w:tcPr>
            <w:tcW w:w="1156" w:type="dxa"/>
          </w:tcPr>
          <w:p w:rsidR="00000000" w:rsidRDefault="00000000">
            <w:pPr>
              <w:spacing w:after="0"/>
              <w:ind w:right="113"/>
              <w:jc w:val="right"/>
            </w:pPr>
            <w:r>
              <w:t>264</w:t>
            </w:r>
          </w:p>
        </w:tc>
        <w:tc>
          <w:tcPr>
            <w:tcW w:w="1155" w:type="dxa"/>
          </w:tcPr>
          <w:p w:rsidR="00000000" w:rsidRDefault="00000000">
            <w:pPr>
              <w:spacing w:after="0"/>
              <w:ind w:right="113"/>
              <w:jc w:val="right"/>
            </w:pPr>
            <w:r>
              <w:t>319</w:t>
            </w:r>
          </w:p>
        </w:tc>
        <w:tc>
          <w:tcPr>
            <w:tcW w:w="1155" w:type="dxa"/>
          </w:tcPr>
          <w:p w:rsidR="00000000" w:rsidRDefault="00000000">
            <w:pPr>
              <w:spacing w:after="0"/>
              <w:ind w:right="113"/>
              <w:jc w:val="right"/>
            </w:pPr>
            <w:r>
              <w:t>242</w:t>
            </w:r>
          </w:p>
        </w:tc>
        <w:tc>
          <w:tcPr>
            <w:tcW w:w="1156" w:type="dxa"/>
          </w:tcPr>
          <w:p w:rsidR="00000000" w:rsidRDefault="00000000">
            <w:pPr>
              <w:spacing w:after="0"/>
              <w:ind w:right="113"/>
              <w:jc w:val="right"/>
            </w:pPr>
            <w:r>
              <w:t>243</w:t>
            </w:r>
          </w:p>
        </w:tc>
      </w:tr>
    </w:tbl>
    <w:p w:rsidR="00000000" w:rsidRDefault="00000000">
      <w:pPr>
        <w:pStyle w:val="Heading2"/>
        <w:spacing w:before="360"/>
      </w:pPr>
      <w:r>
        <w:t>Table 11</w:t>
      </w:r>
    </w:p>
    <w:p w:rsidR="00000000" w:rsidRDefault="00000000">
      <w:pPr>
        <w:pStyle w:val="Heading2"/>
      </w:pPr>
      <w:r>
        <w:t>Rural pensions in the social insurance scheme (1994-1999)</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78"/>
        <w:gridCol w:w="1146"/>
        <w:gridCol w:w="1146"/>
        <w:gridCol w:w="1147"/>
        <w:gridCol w:w="1146"/>
        <w:gridCol w:w="1146"/>
        <w:gridCol w:w="1147"/>
      </w:tblGrid>
      <w:tr w:rsidR="00000000">
        <w:tblPrEx>
          <w:tblCellMar>
            <w:top w:w="0" w:type="dxa"/>
            <w:bottom w:w="0" w:type="dxa"/>
          </w:tblCellMar>
        </w:tblPrEx>
        <w:tc>
          <w:tcPr>
            <w:tcW w:w="2478" w:type="dxa"/>
            <w:tcBorders>
              <w:bottom w:val="single" w:sz="4" w:space="0" w:color="auto"/>
            </w:tcBorders>
          </w:tcPr>
          <w:p w:rsidR="00000000" w:rsidRDefault="00000000">
            <w:pPr>
              <w:spacing w:after="0"/>
              <w:jc w:val="center"/>
            </w:pPr>
          </w:p>
        </w:tc>
        <w:tc>
          <w:tcPr>
            <w:tcW w:w="1146" w:type="dxa"/>
            <w:tcBorders>
              <w:bottom w:val="single" w:sz="4" w:space="0" w:color="auto"/>
            </w:tcBorders>
          </w:tcPr>
          <w:p w:rsidR="00000000" w:rsidRDefault="00000000">
            <w:pPr>
              <w:spacing w:after="0"/>
              <w:jc w:val="center"/>
            </w:pPr>
            <w:r>
              <w:t>1994</w:t>
            </w:r>
          </w:p>
        </w:tc>
        <w:tc>
          <w:tcPr>
            <w:tcW w:w="1146" w:type="dxa"/>
            <w:tcBorders>
              <w:bottom w:val="single" w:sz="4" w:space="0" w:color="auto"/>
            </w:tcBorders>
          </w:tcPr>
          <w:p w:rsidR="00000000" w:rsidRDefault="00000000">
            <w:pPr>
              <w:spacing w:after="0"/>
              <w:jc w:val="center"/>
            </w:pPr>
            <w:r>
              <w:t>1995</w:t>
            </w:r>
          </w:p>
        </w:tc>
        <w:tc>
          <w:tcPr>
            <w:tcW w:w="1147" w:type="dxa"/>
            <w:tcBorders>
              <w:bottom w:val="single" w:sz="4" w:space="0" w:color="auto"/>
            </w:tcBorders>
          </w:tcPr>
          <w:p w:rsidR="00000000" w:rsidRDefault="00000000">
            <w:pPr>
              <w:spacing w:after="0"/>
              <w:jc w:val="center"/>
            </w:pPr>
            <w:r>
              <w:t>1996</w:t>
            </w:r>
          </w:p>
        </w:tc>
        <w:tc>
          <w:tcPr>
            <w:tcW w:w="1146" w:type="dxa"/>
            <w:tcBorders>
              <w:bottom w:val="single" w:sz="4" w:space="0" w:color="auto"/>
            </w:tcBorders>
          </w:tcPr>
          <w:p w:rsidR="00000000" w:rsidRDefault="00000000">
            <w:pPr>
              <w:spacing w:after="0"/>
              <w:jc w:val="center"/>
            </w:pPr>
            <w:r>
              <w:t>1997</w:t>
            </w:r>
          </w:p>
        </w:tc>
        <w:tc>
          <w:tcPr>
            <w:tcW w:w="1146" w:type="dxa"/>
            <w:tcBorders>
              <w:bottom w:val="single" w:sz="4" w:space="0" w:color="auto"/>
            </w:tcBorders>
          </w:tcPr>
          <w:p w:rsidR="00000000" w:rsidRDefault="00000000">
            <w:pPr>
              <w:spacing w:after="0"/>
              <w:jc w:val="center"/>
            </w:pPr>
            <w:r>
              <w:t>1998</w:t>
            </w:r>
          </w:p>
        </w:tc>
        <w:tc>
          <w:tcPr>
            <w:tcW w:w="1147"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478" w:type="dxa"/>
            <w:tcBorders>
              <w:top w:val="single" w:sz="4" w:space="0" w:color="auto"/>
              <w:bottom w:val="nil"/>
            </w:tcBorders>
          </w:tcPr>
          <w:p w:rsidR="00000000" w:rsidRDefault="00000000">
            <w:pPr>
              <w:spacing w:after="0"/>
            </w:pPr>
            <w:r>
              <w:t>Rural pensions</w:t>
            </w:r>
          </w:p>
        </w:tc>
        <w:tc>
          <w:tcPr>
            <w:tcW w:w="1146" w:type="dxa"/>
            <w:tcBorders>
              <w:top w:val="single" w:sz="4" w:space="0" w:color="auto"/>
              <w:bottom w:val="nil"/>
            </w:tcBorders>
          </w:tcPr>
          <w:p w:rsidR="00000000" w:rsidRDefault="00000000">
            <w:pPr>
              <w:spacing w:after="0"/>
              <w:ind w:right="113"/>
              <w:jc w:val="right"/>
            </w:pPr>
          </w:p>
        </w:tc>
        <w:tc>
          <w:tcPr>
            <w:tcW w:w="1146" w:type="dxa"/>
            <w:tcBorders>
              <w:top w:val="single" w:sz="4" w:space="0" w:color="auto"/>
              <w:bottom w:val="nil"/>
            </w:tcBorders>
          </w:tcPr>
          <w:p w:rsidR="00000000" w:rsidRDefault="00000000">
            <w:pPr>
              <w:spacing w:after="0"/>
              <w:ind w:right="113"/>
              <w:jc w:val="right"/>
            </w:pPr>
          </w:p>
        </w:tc>
        <w:tc>
          <w:tcPr>
            <w:tcW w:w="1147" w:type="dxa"/>
            <w:tcBorders>
              <w:top w:val="single" w:sz="4" w:space="0" w:color="auto"/>
              <w:bottom w:val="nil"/>
            </w:tcBorders>
          </w:tcPr>
          <w:p w:rsidR="00000000" w:rsidRDefault="00000000">
            <w:pPr>
              <w:spacing w:after="0"/>
              <w:ind w:right="113"/>
              <w:jc w:val="right"/>
            </w:pPr>
          </w:p>
        </w:tc>
        <w:tc>
          <w:tcPr>
            <w:tcW w:w="1146" w:type="dxa"/>
            <w:tcBorders>
              <w:top w:val="single" w:sz="4" w:space="0" w:color="auto"/>
              <w:bottom w:val="nil"/>
            </w:tcBorders>
          </w:tcPr>
          <w:p w:rsidR="00000000" w:rsidRDefault="00000000">
            <w:pPr>
              <w:spacing w:after="0"/>
              <w:ind w:right="113"/>
              <w:jc w:val="right"/>
            </w:pPr>
          </w:p>
        </w:tc>
        <w:tc>
          <w:tcPr>
            <w:tcW w:w="1146" w:type="dxa"/>
            <w:tcBorders>
              <w:top w:val="single" w:sz="4" w:space="0" w:color="auto"/>
              <w:bottom w:val="nil"/>
            </w:tcBorders>
          </w:tcPr>
          <w:p w:rsidR="00000000" w:rsidRDefault="00000000">
            <w:pPr>
              <w:spacing w:after="0"/>
              <w:ind w:right="113"/>
              <w:jc w:val="right"/>
            </w:pPr>
          </w:p>
        </w:tc>
        <w:tc>
          <w:tcPr>
            <w:tcW w:w="1147" w:type="dxa"/>
            <w:tcBorders>
              <w:top w:val="single" w:sz="4" w:space="0" w:color="auto"/>
              <w:bottom w:val="nil"/>
            </w:tcBorders>
          </w:tcPr>
          <w:p w:rsidR="00000000" w:rsidRDefault="00000000">
            <w:pPr>
              <w:spacing w:after="0"/>
              <w:ind w:right="113"/>
              <w:jc w:val="right"/>
            </w:pPr>
          </w:p>
        </w:tc>
      </w:tr>
      <w:tr w:rsidR="00000000">
        <w:tblPrEx>
          <w:tblCellMar>
            <w:top w:w="0" w:type="dxa"/>
            <w:bottom w:w="0" w:type="dxa"/>
          </w:tblCellMar>
        </w:tblPrEx>
        <w:tc>
          <w:tcPr>
            <w:tcW w:w="2478" w:type="dxa"/>
            <w:tcBorders>
              <w:top w:val="nil"/>
            </w:tcBorders>
          </w:tcPr>
          <w:p w:rsidR="00000000" w:rsidRDefault="00000000">
            <w:pPr>
              <w:spacing w:after="0"/>
            </w:pPr>
            <w:r>
              <w:t xml:space="preserve">  Total</w:t>
            </w:r>
          </w:p>
        </w:tc>
        <w:tc>
          <w:tcPr>
            <w:tcW w:w="1146" w:type="dxa"/>
            <w:tcBorders>
              <w:top w:val="nil"/>
            </w:tcBorders>
          </w:tcPr>
          <w:p w:rsidR="00000000" w:rsidRDefault="00000000">
            <w:pPr>
              <w:spacing w:after="0"/>
              <w:ind w:right="113"/>
              <w:jc w:val="right"/>
            </w:pPr>
            <w:r>
              <w:t>156 258</w:t>
            </w:r>
          </w:p>
        </w:tc>
        <w:tc>
          <w:tcPr>
            <w:tcW w:w="1146" w:type="dxa"/>
            <w:tcBorders>
              <w:top w:val="nil"/>
            </w:tcBorders>
          </w:tcPr>
          <w:p w:rsidR="00000000" w:rsidRDefault="00000000">
            <w:pPr>
              <w:spacing w:after="0"/>
              <w:ind w:right="113"/>
              <w:jc w:val="right"/>
            </w:pPr>
            <w:r>
              <w:t>161 118</w:t>
            </w:r>
          </w:p>
        </w:tc>
        <w:tc>
          <w:tcPr>
            <w:tcW w:w="1147" w:type="dxa"/>
            <w:tcBorders>
              <w:top w:val="nil"/>
            </w:tcBorders>
          </w:tcPr>
          <w:p w:rsidR="00000000" w:rsidRDefault="00000000">
            <w:pPr>
              <w:spacing w:after="0"/>
              <w:ind w:right="113"/>
              <w:jc w:val="right"/>
            </w:pPr>
            <w:r>
              <w:t>165 950</w:t>
            </w:r>
          </w:p>
        </w:tc>
        <w:tc>
          <w:tcPr>
            <w:tcW w:w="1146" w:type="dxa"/>
            <w:tcBorders>
              <w:top w:val="nil"/>
            </w:tcBorders>
          </w:tcPr>
          <w:p w:rsidR="00000000" w:rsidRDefault="00000000">
            <w:pPr>
              <w:spacing w:after="0"/>
              <w:ind w:right="113"/>
              <w:jc w:val="right"/>
            </w:pPr>
            <w:r>
              <w:t>169 394</w:t>
            </w:r>
          </w:p>
        </w:tc>
        <w:tc>
          <w:tcPr>
            <w:tcW w:w="1146" w:type="dxa"/>
            <w:tcBorders>
              <w:top w:val="nil"/>
            </w:tcBorders>
          </w:tcPr>
          <w:p w:rsidR="00000000" w:rsidRDefault="00000000">
            <w:pPr>
              <w:spacing w:after="0"/>
              <w:ind w:right="113"/>
              <w:jc w:val="right"/>
            </w:pPr>
            <w:r>
              <w:t>174 249</w:t>
            </w:r>
          </w:p>
        </w:tc>
        <w:tc>
          <w:tcPr>
            <w:tcW w:w="1147" w:type="dxa"/>
            <w:tcBorders>
              <w:top w:val="nil"/>
            </w:tcBorders>
          </w:tcPr>
          <w:p w:rsidR="00000000" w:rsidRDefault="00000000">
            <w:pPr>
              <w:spacing w:after="0"/>
              <w:ind w:right="113"/>
              <w:jc w:val="right"/>
            </w:pPr>
            <w:r>
              <w:t>177 205</w:t>
            </w:r>
          </w:p>
        </w:tc>
      </w:tr>
      <w:tr w:rsidR="00000000">
        <w:tblPrEx>
          <w:tblCellMar>
            <w:top w:w="0" w:type="dxa"/>
            <w:bottom w:w="0" w:type="dxa"/>
          </w:tblCellMar>
        </w:tblPrEx>
        <w:tc>
          <w:tcPr>
            <w:tcW w:w="2478" w:type="dxa"/>
          </w:tcPr>
          <w:p w:rsidR="00000000" w:rsidRDefault="00000000">
            <w:pPr>
              <w:spacing w:after="0"/>
            </w:pPr>
            <w:r>
              <w:t xml:space="preserve">  Female</w:t>
            </w:r>
          </w:p>
        </w:tc>
        <w:tc>
          <w:tcPr>
            <w:tcW w:w="1146" w:type="dxa"/>
          </w:tcPr>
          <w:p w:rsidR="00000000" w:rsidRDefault="00000000">
            <w:pPr>
              <w:spacing w:after="0"/>
              <w:ind w:right="113"/>
              <w:jc w:val="right"/>
            </w:pPr>
            <w:r>
              <w:t>81 305</w:t>
            </w:r>
          </w:p>
        </w:tc>
        <w:tc>
          <w:tcPr>
            <w:tcW w:w="1146" w:type="dxa"/>
          </w:tcPr>
          <w:p w:rsidR="00000000" w:rsidRDefault="00000000">
            <w:pPr>
              <w:spacing w:after="0"/>
              <w:ind w:right="113"/>
              <w:jc w:val="right"/>
            </w:pPr>
            <w:r>
              <w:t>85 951</w:t>
            </w:r>
          </w:p>
        </w:tc>
        <w:tc>
          <w:tcPr>
            <w:tcW w:w="1147" w:type="dxa"/>
          </w:tcPr>
          <w:p w:rsidR="00000000" w:rsidRDefault="00000000">
            <w:pPr>
              <w:spacing w:after="0"/>
              <w:ind w:right="113"/>
              <w:jc w:val="right"/>
            </w:pPr>
            <w:r>
              <w:t>85 971</w:t>
            </w:r>
          </w:p>
        </w:tc>
        <w:tc>
          <w:tcPr>
            <w:tcW w:w="1146" w:type="dxa"/>
          </w:tcPr>
          <w:p w:rsidR="00000000" w:rsidRDefault="00000000">
            <w:pPr>
              <w:spacing w:after="0"/>
              <w:ind w:right="113"/>
              <w:jc w:val="right"/>
            </w:pPr>
            <w:r>
              <w:t>87 513</w:t>
            </w:r>
          </w:p>
        </w:tc>
        <w:tc>
          <w:tcPr>
            <w:tcW w:w="1146" w:type="dxa"/>
          </w:tcPr>
          <w:p w:rsidR="00000000" w:rsidRDefault="00000000">
            <w:pPr>
              <w:spacing w:after="0"/>
              <w:ind w:right="113"/>
              <w:jc w:val="right"/>
            </w:pPr>
            <w:r>
              <w:t>90 349</w:t>
            </w:r>
          </w:p>
        </w:tc>
        <w:tc>
          <w:tcPr>
            <w:tcW w:w="1147" w:type="dxa"/>
          </w:tcPr>
          <w:p w:rsidR="00000000" w:rsidRDefault="00000000">
            <w:pPr>
              <w:spacing w:after="0"/>
              <w:ind w:right="113"/>
              <w:jc w:val="right"/>
            </w:pPr>
            <w:r>
              <w:t>91 567</w:t>
            </w:r>
          </w:p>
        </w:tc>
      </w:tr>
      <w:tr w:rsidR="00000000">
        <w:tblPrEx>
          <w:tblCellMar>
            <w:top w:w="0" w:type="dxa"/>
            <w:bottom w:w="0" w:type="dxa"/>
          </w:tblCellMar>
        </w:tblPrEx>
        <w:tc>
          <w:tcPr>
            <w:tcW w:w="2478" w:type="dxa"/>
          </w:tcPr>
          <w:p w:rsidR="00000000" w:rsidRDefault="00000000">
            <w:pPr>
              <w:spacing w:after="0"/>
            </w:pPr>
            <w:r>
              <w:t>of which:</w:t>
            </w: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r>
      <w:tr w:rsidR="00000000">
        <w:tblPrEx>
          <w:tblCellMar>
            <w:top w:w="0" w:type="dxa"/>
            <w:bottom w:w="0" w:type="dxa"/>
          </w:tblCellMar>
        </w:tblPrEx>
        <w:tc>
          <w:tcPr>
            <w:tcW w:w="2478" w:type="dxa"/>
          </w:tcPr>
          <w:p w:rsidR="00000000" w:rsidRDefault="00000000">
            <w:pPr>
              <w:spacing w:after="0"/>
            </w:pPr>
            <w:r>
              <w:t>Old-age pensions</w:t>
            </w: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r>
      <w:tr w:rsidR="00000000">
        <w:tblPrEx>
          <w:tblCellMar>
            <w:top w:w="0" w:type="dxa"/>
            <w:bottom w:w="0" w:type="dxa"/>
          </w:tblCellMar>
        </w:tblPrEx>
        <w:tc>
          <w:tcPr>
            <w:tcW w:w="2478" w:type="dxa"/>
          </w:tcPr>
          <w:p w:rsidR="00000000" w:rsidRDefault="00000000">
            <w:pPr>
              <w:spacing w:after="0"/>
            </w:pPr>
            <w:r>
              <w:t xml:space="preserve">  Total</w:t>
            </w:r>
          </w:p>
        </w:tc>
        <w:tc>
          <w:tcPr>
            <w:tcW w:w="1146" w:type="dxa"/>
          </w:tcPr>
          <w:p w:rsidR="00000000" w:rsidRDefault="00000000">
            <w:pPr>
              <w:spacing w:after="0"/>
              <w:ind w:right="113"/>
              <w:jc w:val="right"/>
            </w:pPr>
            <w:r>
              <w:t>130 301</w:t>
            </w:r>
          </w:p>
        </w:tc>
        <w:tc>
          <w:tcPr>
            <w:tcW w:w="1146" w:type="dxa"/>
          </w:tcPr>
          <w:p w:rsidR="00000000" w:rsidRDefault="00000000">
            <w:pPr>
              <w:spacing w:after="0"/>
              <w:ind w:right="113"/>
              <w:jc w:val="right"/>
            </w:pPr>
            <w:r>
              <w:t>134 888</w:t>
            </w:r>
          </w:p>
        </w:tc>
        <w:tc>
          <w:tcPr>
            <w:tcW w:w="1147" w:type="dxa"/>
          </w:tcPr>
          <w:p w:rsidR="00000000" w:rsidRDefault="00000000">
            <w:pPr>
              <w:spacing w:after="0"/>
              <w:ind w:right="113"/>
              <w:jc w:val="right"/>
            </w:pPr>
            <w:r>
              <w:t>140 049</w:t>
            </w:r>
          </w:p>
        </w:tc>
        <w:tc>
          <w:tcPr>
            <w:tcW w:w="1146" w:type="dxa"/>
          </w:tcPr>
          <w:p w:rsidR="00000000" w:rsidRDefault="00000000">
            <w:pPr>
              <w:spacing w:after="0"/>
              <w:ind w:right="113"/>
              <w:jc w:val="right"/>
            </w:pPr>
            <w:r>
              <w:t>143 098</w:t>
            </w:r>
          </w:p>
        </w:tc>
        <w:tc>
          <w:tcPr>
            <w:tcW w:w="1146" w:type="dxa"/>
          </w:tcPr>
          <w:p w:rsidR="00000000" w:rsidRDefault="00000000">
            <w:pPr>
              <w:spacing w:after="0"/>
              <w:ind w:right="113"/>
              <w:jc w:val="right"/>
            </w:pPr>
            <w:r>
              <w:t>147 984</w:t>
            </w:r>
          </w:p>
        </w:tc>
        <w:tc>
          <w:tcPr>
            <w:tcW w:w="1147" w:type="dxa"/>
          </w:tcPr>
          <w:p w:rsidR="00000000" w:rsidRDefault="00000000">
            <w:pPr>
              <w:spacing w:after="0"/>
              <w:ind w:right="113"/>
              <w:jc w:val="right"/>
            </w:pPr>
            <w:r>
              <w:t>151 502</w:t>
            </w:r>
          </w:p>
        </w:tc>
      </w:tr>
      <w:tr w:rsidR="00000000">
        <w:tblPrEx>
          <w:tblCellMar>
            <w:top w:w="0" w:type="dxa"/>
            <w:bottom w:w="0" w:type="dxa"/>
          </w:tblCellMar>
        </w:tblPrEx>
        <w:tc>
          <w:tcPr>
            <w:tcW w:w="2478" w:type="dxa"/>
          </w:tcPr>
          <w:p w:rsidR="00000000" w:rsidRDefault="00000000">
            <w:pPr>
              <w:spacing w:after="0"/>
            </w:pPr>
            <w:r>
              <w:t xml:space="preserve">  Female</w:t>
            </w:r>
          </w:p>
        </w:tc>
        <w:tc>
          <w:tcPr>
            <w:tcW w:w="1146" w:type="dxa"/>
          </w:tcPr>
          <w:p w:rsidR="00000000" w:rsidRDefault="00000000">
            <w:pPr>
              <w:spacing w:after="0"/>
              <w:ind w:right="113"/>
              <w:jc w:val="right"/>
            </w:pPr>
            <w:r>
              <w:t>76 192</w:t>
            </w:r>
          </w:p>
        </w:tc>
        <w:tc>
          <w:tcPr>
            <w:tcW w:w="1146" w:type="dxa"/>
          </w:tcPr>
          <w:p w:rsidR="00000000" w:rsidRDefault="00000000">
            <w:pPr>
              <w:spacing w:after="0"/>
              <w:ind w:right="113"/>
              <w:jc w:val="right"/>
            </w:pPr>
            <w:r>
              <w:t>79 727</w:t>
            </w:r>
          </w:p>
        </w:tc>
        <w:tc>
          <w:tcPr>
            <w:tcW w:w="1147" w:type="dxa"/>
          </w:tcPr>
          <w:p w:rsidR="00000000" w:rsidRDefault="00000000">
            <w:pPr>
              <w:spacing w:after="0"/>
              <w:ind w:right="113"/>
              <w:jc w:val="right"/>
            </w:pPr>
            <w:r>
              <w:t>80 566</w:t>
            </w:r>
          </w:p>
        </w:tc>
        <w:tc>
          <w:tcPr>
            <w:tcW w:w="1146" w:type="dxa"/>
          </w:tcPr>
          <w:p w:rsidR="00000000" w:rsidRDefault="00000000">
            <w:pPr>
              <w:spacing w:after="0"/>
              <w:ind w:right="113"/>
              <w:jc w:val="right"/>
            </w:pPr>
            <w:r>
              <w:t>81 703</w:t>
            </w:r>
          </w:p>
        </w:tc>
        <w:tc>
          <w:tcPr>
            <w:tcW w:w="1146" w:type="dxa"/>
          </w:tcPr>
          <w:p w:rsidR="00000000" w:rsidRDefault="00000000">
            <w:pPr>
              <w:spacing w:after="0"/>
              <w:ind w:right="113"/>
              <w:jc w:val="right"/>
            </w:pPr>
            <w:r>
              <w:t>84 366</w:t>
            </w:r>
          </w:p>
        </w:tc>
        <w:tc>
          <w:tcPr>
            <w:tcW w:w="1147" w:type="dxa"/>
          </w:tcPr>
          <w:p w:rsidR="00000000" w:rsidRDefault="00000000">
            <w:pPr>
              <w:spacing w:after="0"/>
              <w:ind w:right="113"/>
              <w:jc w:val="right"/>
            </w:pPr>
            <w:r>
              <w:t>85 906</w:t>
            </w:r>
          </w:p>
        </w:tc>
      </w:tr>
      <w:tr w:rsidR="00000000">
        <w:tblPrEx>
          <w:tblCellMar>
            <w:top w:w="0" w:type="dxa"/>
            <w:bottom w:w="0" w:type="dxa"/>
          </w:tblCellMar>
        </w:tblPrEx>
        <w:tc>
          <w:tcPr>
            <w:tcW w:w="2478" w:type="dxa"/>
          </w:tcPr>
          <w:p w:rsidR="00000000" w:rsidRDefault="00000000">
            <w:pPr>
              <w:spacing w:after="0"/>
            </w:pPr>
            <w:r>
              <w:t>Invalidity pensions</w:t>
            </w: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r>
      <w:tr w:rsidR="00000000">
        <w:tblPrEx>
          <w:tblCellMar>
            <w:top w:w="0" w:type="dxa"/>
            <w:bottom w:w="0" w:type="dxa"/>
          </w:tblCellMar>
        </w:tblPrEx>
        <w:tc>
          <w:tcPr>
            <w:tcW w:w="2478" w:type="dxa"/>
          </w:tcPr>
          <w:p w:rsidR="00000000" w:rsidRDefault="00000000">
            <w:pPr>
              <w:spacing w:after="0"/>
            </w:pPr>
            <w:r>
              <w:t xml:space="preserve">  Total</w:t>
            </w:r>
          </w:p>
        </w:tc>
        <w:tc>
          <w:tcPr>
            <w:tcW w:w="1146" w:type="dxa"/>
          </w:tcPr>
          <w:p w:rsidR="00000000" w:rsidRDefault="00000000">
            <w:pPr>
              <w:spacing w:after="0"/>
              <w:ind w:right="113"/>
              <w:jc w:val="right"/>
            </w:pPr>
            <w:r>
              <w:t>4 748</w:t>
            </w:r>
          </w:p>
        </w:tc>
        <w:tc>
          <w:tcPr>
            <w:tcW w:w="1146" w:type="dxa"/>
          </w:tcPr>
          <w:p w:rsidR="00000000" w:rsidRDefault="00000000">
            <w:pPr>
              <w:spacing w:after="0"/>
              <w:ind w:right="113"/>
              <w:jc w:val="right"/>
            </w:pPr>
            <w:r>
              <w:t>4 652</w:t>
            </w:r>
          </w:p>
        </w:tc>
        <w:tc>
          <w:tcPr>
            <w:tcW w:w="1147" w:type="dxa"/>
          </w:tcPr>
          <w:p w:rsidR="00000000" w:rsidRDefault="00000000">
            <w:pPr>
              <w:spacing w:after="0"/>
              <w:ind w:right="113"/>
              <w:jc w:val="right"/>
            </w:pPr>
            <w:r>
              <w:t>4 409</w:t>
            </w:r>
          </w:p>
        </w:tc>
        <w:tc>
          <w:tcPr>
            <w:tcW w:w="1146" w:type="dxa"/>
          </w:tcPr>
          <w:p w:rsidR="00000000" w:rsidRDefault="00000000">
            <w:pPr>
              <w:spacing w:after="0"/>
              <w:ind w:right="113"/>
              <w:jc w:val="right"/>
            </w:pPr>
            <w:r>
              <w:t>4 473</w:t>
            </w:r>
          </w:p>
        </w:tc>
        <w:tc>
          <w:tcPr>
            <w:tcW w:w="1146" w:type="dxa"/>
          </w:tcPr>
          <w:p w:rsidR="00000000" w:rsidRDefault="00000000">
            <w:pPr>
              <w:spacing w:after="0"/>
              <w:ind w:right="113"/>
              <w:jc w:val="right"/>
            </w:pPr>
            <w:r>
              <w:t>4 296</w:t>
            </w:r>
          </w:p>
        </w:tc>
        <w:tc>
          <w:tcPr>
            <w:tcW w:w="1147" w:type="dxa"/>
          </w:tcPr>
          <w:p w:rsidR="00000000" w:rsidRDefault="00000000">
            <w:pPr>
              <w:spacing w:after="0"/>
              <w:ind w:right="113"/>
              <w:jc w:val="right"/>
            </w:pPr>
            <w:r>
              <w:t>4 027</w:t>
            </w:r>
          </w:p>
        </w:tc>
      </w:tr>
      <w:tr w:rsidR="00000000">
        <w:tblPrEx>
          <w:tblCellMar>
            <w:top w:w="0" w:type="dxa"/>
            <w:bottom w:w="0" w:type="dxa"/>
          </w:tblCellMar>
        </w:tblPrEx>
        <w:tc>
          <w:tcPr>
            <w:tcW w:w="2478" w:type="dxa"/>
          </w:tcPr>
          <w:p w:rsidR="00000000" w:rsidRDefault="00000000">
            <w:pPr>
              <w:spacing w:after="0"/>
            </w:pPr>
            <w:r>
              <w:t xml:space="preserve">  Female</w:t>
            </w:r>
          </w:p>
        </w:tc>
        <w:tc>
          <w:tcPr>
            <w:tcW w:w="1146" w:type="dxa"/>
          </w:tcPr>
          <w:p w:rsidR="00000000" w:rsidRDefault="00000000">
            <w:pPr>
              <w:spacing w:after="0"/>
              <w:ind w:right="113"/>
              <w:jc w:val="right"/>
            </w:pPr>
            <w:r>
              <w:t>2 043</w:t>
            </w:r>
          </w:p>
        </w:tc>
        <w:tc>
          <w:tcPr>
            <w:tcW w:w="1146" w:type="dxa"/>
          </w:tcPr>
          <w:p w:rsidR="00000000" w:rsidRDefault="00000000">
            <w:pPr>
              <w:spacing w:after="0"/>
              <w:ind w:right="113"/>
              <w:jc w:val="right"/>
            </w:pPr>
            <w:r>
              <w:t>2 019</w:t>
            </w:r>
          </w:p>
        </w:tc>
        <w:tc>
          <w:tcPr>
            <w:tcW w:w="1147" w:type="dxa"/>
          </w:tcPr>
          <w:p w:rsidR="00000000" w:rsidRDefault="00000000">
            <w:pPr>
              <w:spacing w:after="0"/>
              <w:ind w:right="113"/>
              <w:jc w:val="right"/>
            </w:pPr>
            <w:r>
              <w:t>1 838</w:t>
            </w:r>
          </w:p>
        </w:tc>
        <w:tc>
          <w:tcPr>
            <w:tcW w:w="1146" w:type="dxa"/>
          </w:tcPr>
          <w:p w:rsidR="00000000" w:rsidRDefault="00000000">
            <w:pPr>
              <w:spacing w:after="0"/>
              <w:ind w:right="113"/>
              <w:jc w:val="right"/>
            </w:pPr>
            <w:r>
              <w:t>1 676</w:t>
            </w:r>
          </w:p>
        </w:tc>
        <w:tc>
          <w:tcPr>
            <w:tcW w:w="1146" w:type="dxa"/>
          </w:tcPr>
          <w:p w:rsidR="00000000" w:rsidRDefault="00000000">
            <w:pPr>
              <w:spacing w:after="0"/>
              <w:ind w:right="113"/>
              <w:jc w:val="right"/>
            </w:pPr>
            <w:r>
              <w:t>1 644</w:t>
            </w:r>
          </w:p>
        </w:tc>
        <w:tc>
          <w:tcPr>
            <w:tcW w:w="1147" w:type="dxa"/>
          </w:tcPr>
          <w:p w:rsidR="00000000" w:rsidRDefault="00000000">
            <w:pPr>
              <w:spacing w:after="0"/>
              <w:ind w:right="113"/>
              <w:jc w:val="right"/>
            </w:pPr>
            <w:r>
              <w:t>1 545</w:t>
            </w:r>
          </w:p>
        </w:tc>
      </w:tr>
      <w:tr w:rsidR="00000000">
        <w:tblPrEx>
          <w:tblCellMar>
            <w:top w:w="0" w:type="dxa"/>
            <w:bottom w:w="0" w:type="dxa"/>
          </w:tblCellMar>
        </w:tblPrEx>
        <w:tc>
          <w:tcPr>
            <w:tcW w:w="2478" w:type="dxa"/>
          </w:tcPr>
          <w:p w:rsidR="00000000" w:rsidRDefault="00000000">
            <w:pPr>
              <w:spacing w:after="0"/>
            </w:pPr>
            <w:r>
              <w:t>Survivors’ pensions</w:t>
            </w: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c>
          <w:tcPr>
            <w:tcW w:w="1146" w:type="dxa"/>
          </w:tcPr>
          <w:p w:rsidR="00000000" w:rsidRDefault="00000000">
            <w:pPr>
              <w:spacing w:after="0"/>
              <w:ind w:right="113"/>
              <w:jc w:val="right"/>
            </w:pPr>
          </w:p>
        </w:tc>
        <w:tc>
          <w:tcPr>
            <w:tcW w:w="1146" w:type="dxa"/>
          </w:tcPr>
          <w:p w:rsidR="00000000" w:rsidRDefault="00000000">
            <w:pPr>
              <w:spacing w:after="0"/>
              <w:ind w:right="113"/>
              <w:jc w:val="right"/>
            </w:pPr>
          </w:p>
        </w:tc>
        <w:tc>
          <w:tcPr>
            <w:tcW w:w="1147" w:type="dxa"/>
          </w:tcPr>
          <w:p w:rsidR="00000000" w:rsidRDefault="00000000">
            <w:pPr>
              <w:spacing w:after="0"/>
              <w:ind w:right="113"/>
              <w:jc w:val="right"/>
            </w:pPr>
          </w:p>
        </w:tc>
      </w:tr>
      <w:tr w:rsidR="00000000">
        <w:tblPrEx>
          <w:tblCellMar>
            <w:top w:w="0" w:type="dxa"/>
            <w:bottom w:w="0" w:type="dxa"/>
          </w:tblCellMar>
        </w:tblPrEx>
        <w:tc>
          <w:tcPr>
            <w:tcW w:w="2478" w:type="dxa"/>
          </w:tcPr>
          <w:p w:rsidR="00000000" w:rsidRDefault="00000000">
            <w:pPr>
              <w:spacing w:after="0"/>
            </w:pPr>
            <w:r>
              <w:t xml:space="preserve">  Total</w:t>
            </w:r>
          </w:p>
        </w:tc>
        <w:tc>
          <w:tcPr>
            <w:tcW w:w="1146" w:type="dxa"/>
          </w:tcPr>
          <w:p w:rsidR="00000000" w:rsidRDefault="00000000">
            <w:pPr>
              <w:spacing w:after="0"/>
              <w:ind w:right="113"/>
              <w:jc w:val="right"/>
            </w:pPr>
            <w:r>
              <w:t>21 209</w:t>
            </w:r>
          </w:p>
        </w:tc>
        <w:tc>
          <w:tcPr>
            <w:tcW w:w="1146" w:type="dxa"/>
          </w:tcPr>
          <w:p w:rsidR="00000000" w:rsidRDefault="00000000">
            <w:pPr>
              <w:spacing w:after="0"/>
              <w:ind w:right="113"/>
              <w:jc w:val="right"/>
            </w:pPr>
            <w:r>
              <w:t>21 578</w:t>
            </w:r>
          </w:p>
        </w:tc>
        <w:tc>
          <w:tcPr>
            <w:tcW w:w="1147" w:type="dxa"/>
          </w:tcPr>
          <w:p w:rsidR="00000000" w:rsidRDefault="00000000">
            <w:pPr>
              <w:spacing w:after="0"/>
              <w:ind w:right="113"/>
              <w:jc w:val="right"/>
            </w:pPr>
            <w:r>
              <w:t>21 492</w:t>
            </w:r>
          </w:p>
        </w:tc>
        <w:tc>
          <w:tcPr>
            <w:tcW w:w="1146" w:type="dxa"/>
          </w:tcPr>
          <w:p w:rsidR="00000000" w:rsidRDefault="00000000">
            <w:pPr>
              <w:spacing w:after="0"/>
              <w:ind w:right="113"/>
              <w:jc w:val="right"/>
            </w:pPr>
            <w:r>
              <w:t>21 823</w:t>
            </w:r>
          </w:p>
        </w:tc>
        <w:tc>
          <w:tcPr>
            <w:tcW w:w="1146" w:type="dxa"/>
          </w:tcPr>
          <w:p w:rsidR="00000000" w:rsidRDefault="00000000">
            <w:pPr>
              <w:spacing w:after="0"/>
              <w:ind w:right="113"/>
              <w:jc w:val="right"/>
            </w:pPr>
            <w:r>
              <w:t>21 969</w:t>
            </w:r>
          </w:p>
        </w:tc>
        <w:tc>
          <w:tcPr>
            <w:tcW w:w="1147" w:type="dxa"/>
          </w:tcPr>
          <w:p w:rsidR="00000000" w:rsidRDefault="00000000">
            <w:pPr>
              <w:spacing w:after="0"/>
              <w:ind w:right="113"/>
              <w:jc w:val="right"/>
            </w:pPr>
            <w:r>
              <w:t>21 676</w:t>
            </w:r>
          </w:p>
        </w:tc>
      </w:tr>
      <w:tr w:rsidR="00000000">
        <w:tblPrEx>
          <w:tblCellMar>
            <w:top w:w="0" w:type="dxa"/>
            <w:bottom w:w="0" w:type="dxa"/>
          </w:tblCellMar>
        </w:tblPrEx>
        <w:tc>
          <w:tcPr>
            <w:tcW w:w="2478" w:type="dxa"/>
          </w:tcPr>
          <w:p w:rsidR="00000000" w:rsidRDefault="00000000">
            <w:pPr>
              <w:spacing w:after="0"/>
            </w:pPr>
            <w:r>
              <w:t xml:space="preserve">  Female</w:t>
            </w:r>
          </w:p>
        </w:tc>
        <w:tc>
          <w:tcPr>
            <w:tcW w:w="1146" w:type="dxa"/>
          </w:tcPr>
          <w:p w:rsidR="00000000" w:rsidRDefault="00000000">
            <w:pPr>
              <w:spacing w:after="0"/>
              <w:ind w:right="113"/>
              <w:jc w:val="right"/>
            </w:pPr>
            <w:r>
              <w:t>3 070</w:t>
            </w:r>
          </w:p>
        </w:tc>
        <w:tc>
          <w:tcPr>
            <w:tcW w:w="1146" w:type="dxa"/>
          </w:tcPr>
          <w:p w:rsidR="00000000" w:rsidRDefault="00000000">
            <w:pPr>
              <w:spacing w:after="0"/>
              <w:ind w:right="113"/>
              <w:jc w:val="right"/>
            </w:pPr>
            <w:r>
              <w:t>4 205</w:t>
            </w:r>
          </w:p>
        </w:tc>
        <w:tc>
          <w:tcPr>
            <w:tcW w:w="1147" w:type="dxa"/>
          </w:tcPr>
          <w:p w:rsidR="00000000" w:rsidRDefault="00000000">
            <w:pPr>
              <w:spacing w:after="0"/>
              <w:ind w:right="113"/>
              <w:jc w:val="right"/>
            </w:pPr>
            <w:r>
              <w:t>3 567</w:t>
            </w:r>
          </w:p>
        </w:tc>
        <w:tc>
          <w:tcPr>
            <w:tcW w:w="1146" w:type="dxa"/>
          </w:tcPr>
          <w:p w:rsidR="00000000" w:rsidRDefault="00000000">
            <w:pPr>
              <w:spacing w:after="0"/>
              <w:ind w:right="113"/>
              <w:jc w:val="right"/>
            </w:pPr>
            <w:r>
              <w:t>4 143</w:t>
            </w:r>
          </w:p>
        </w:tc>
        <w:tc>
          <w:tcPr>
            <w:tcW w:w="1146" w:type="dxa"/>
          </w:tcPr>
          <w:p w:rsidR="00000000" w:rsidRDefault="00000000">
            <w:pPr>
              <w:spacing w:after="0"/>
              <w:ind w:right="113"/>
              <w:jc w:val="right"/>
            </w:pPr>
            <w:r>
              <w:t>4 339</w:t>
            </w:r>
          </w:p>
        </w:tc>
        <w:tc>
          <w:tcPr>
            <w:tcW w:w="1147" w:type="dxa"/>
          </w:tcPr>
          <w:p w:rsidR="00000000" w:rsidRDefault="00000000">
            <w:pPr>
              <w:spacing w:after="0"/>
              <w:ind w:right="113"/>
              <w:jc w:val="right"/>
            </w:pPr>
            <w:r>
              <w:t>4 116</w:t>
            </w:r>
          </w:p>
        </w:tc>
      </w:tr>
    </w:tbl>
    <w:p w:rsidR="00000000" w:rsidRDefault="00000000">
      <w:pPr>
        <w:pStyle w:val="Heading2"/>
      </w:pPr>
      <w:r>
        <w:br w:type="page"/>
        <w:t>Table 12</w:t>
      </w:r>
    </w:p>
    <w:p w:rsidR="00000000" w:rsidRDefault="00000000">
      <w:pPr>
        <w:pStyle w:val="Heading2"/>
      </w:pPr>
      <w:r>
        <w:t>Old-age pension amount (1994-1999)</w:t>
      </w:r>
      <w:r>
        <w:br/>
        <w:t>(leks per month)</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4" w:space="0" w:color="auto"/>
            </w:tcBorders>
          </w:tcPr>
          <w:p w:rsidR="00000000" w:rsidRDefault="00000000">
            <w:pPr>
              <w:spacing w:after="0"/>
              <w:jc w:val="center"/>
            </w:pPr>
          </w:p>
        </w:tc>
        <w:tc>
          <w:tcPr>
            <w:tcW w:w="1134" w:type="dxa"/>
            <w:tcBorders>
              <w:bottom w:val="single" w:sz="4" w:space="0" w:color="auto"/>
            </w:tcBorders>
          </w:tcPr>
          <w:p w:rsidR="00000000" w:rsidRDefault="00000000">
            <w:pPr>
              <w:spacing w:after="0"/>
              <w:jc w:val="center"/>
            </w:pPr>
            <w:r>
              <w:t>1994</w:t>
            </w:r>
          </w:p>
        </w:tc>
        <w:tc>
          <w:tcPr>
            <w:tcW w:w="1134" w:type="dxa"/>
            <w:tcBorders>
              <w:bottom w:val="single" w:sz="4" w:space="0" w:color="auto"/>
            </w:tcBorders>
          </w:tcPr>
          <w:p w:rsidR="00000000" w:rsidRDefault="00000000">
            <w:pPr>
              <w:spacing w:after="0"/>
              <w:jc w:val="center"/>
            </w:pPr>
            <w:r>
              <w:t>1995</w:t>
            </w:r>
          </w:p>
        </w:tc>
        <w:tc>
          <w:tcPr>
            <w:tcW w:w="1134" w:type="dxa"/>
            <w:tcBorders>
              <w:bottom w:val="single" w:sz="4" w:space="0" w:color="auto"/>
            </w:tcBorders>
          </w:tcPr>
          <w:p w:rsidR="00000000" w:rsidRDefault="00000000">
            <w:pPr>
              <w:spacing w:after="0"/>
              <w:jc w:val="center"/>
            </w:pPr>
            <w:r>
              <w:t>1996</w:t>
            </w:r>
          </w:p>
        </w:tc>
        <w:tc>
          <w:tcPr>
            <w:tcW w:w="1134" w:type="dxa"/>
            <w:tcBorders>
              <w:bottom w:val="single" w:sz="4" w:space="0" w:color="auto"/>
            </w:tcBorders>
          </w:tcPr>
          <w:p w:rsidR="00000000" w:rsidRDefault="00000000">
            <w:pPr>
              <w:spacing w:after="0"/>
              <w:jc w:val="center"/>
            </w:pPr>
            <w:r>
              <w:t>1997</w:t>
            </w:r>
          </w:p>
        </w:tc>
        <w:tc>
          <w:tcPr>
            <w:tcW w:w="1134" w:type="dxa"/>
            <w:tcBorders>
              <w:bottom w:val="single" w:sz="4" w:space="0" w:color="auto"/>
            </w:tcBorders>
          </w:tcPr>
          <w:p w:rsidR="00000000" w:rsidRDefault="00000000">
            <w:pPr>
              <w:spacing w:after="0"/>
              <w:jc w:val="center"/>
            </w:pPr>
            <w:r>
              <w:t>1998</w:t>
            </w:r>
          </w:p>
        </w:tc>
        <w:tc>
          <w:tcPr>
            <w:tcW w:w="1134"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after="0"/>
            </w:pPr>
            <w:r>
              <w:t>Minimum monthly pension</w:t>
            </w:r>
          </w:p>
        </w:tc>
        <w:tc>
          <w:tcPr>
            <w:tcW w:w="1134" w:type="dxa"/>
            <w:tcBorders>
              <w:top w:val="single" w:sz="4" w:space="0" w:color="auto"/>
              <w:bottom w:val="nil"/>
            </w:tcBorders>
          </w:tcPr>
          <w:p w:rsidR="00000000" w:rsidRDefault="00000000">
            <w:pPr>
              <w:spacing w:after="0"/>
              <w:ind w:right="170"/>
              <w:jc w:val="right"/>
            </w:pPr>
          </w:p>
        </w:tc>
        <w:tc>
          <w:tcPr>
            <w:tcW w:w="1134" w:type="dxa"/>
            <w:tcBorders>
              <w:top w:val="single" w:sz="4" w:space="0" w:color="auto"/>
              <w:bottom w:val="nil"/>
            </w:tcBorders>
          </w:tcPr>
          <w:p w:rsidR="00000000" w:rsidRDefault="00000000">
            <w:pPr>
              <w:spacing w:after="0"/>
              <w:ind w:right="170"/>
              <w:jc w:val="right"/>
            </w:pPr>
          </w:p>
        </w:tc>
        <w:tc>
          <w:tcPr>
            <w:tcW w:w="1134" w:type="dxa"/>
            <w:tcBorders>
              <w:top w:val="single" w:sz="4" w:space="0" w:color="auto"/>
              <w:bottom w:val="nil"/>
            </w:tcBorders>
          </w:tcPr>
          <w:p w:rsidR="00000000" w:rsidRDefault="00000000">
            <w:pPr>
              <w:spacing w:after="0"/>
              <w:ind w:right="170"/>
              <w:jc w:val="right"/>
            </w:pPr>
          </w:p>
        </w:tc>
        <w:tc>
          <w:tcPr>
            <w:tcW w:w="1134" w:type="dxa"/>
            <w:tcBorders>
              <w:top w:val="single" w:sz="4" w:space="0" w:color="auto"/>
              <w:bottom w:val="nil"/>
            </w:tcBorders>
          </w:tcPr>
          <w:p w:rsidR="00000000" w:rsidRDefault="00000000">
            <w:pPr>
              <w:spacing w:after="0"/>
              <w:ind w:right="170"/>
              <w:jc w:val="right"/>
            </w:pPr>
          </w:p>
        </w:tc>
        <w:tc>
          <w:tcPr>
            <w:tcW w:w="1134" w:type="dxa"/>
            <w:tcBorders>
              <w:top w:val="single" w:sz="4" w:space="0" w:color="auto"/>
              <w:bottom w:val="nil"/>
            </w:tcBorders>
          </w:tcPr>
          <w:p w:rsidR="00000000" w:rsidRDefault="00000000">
            <w:pPr>
              <w:spacing w:after="0"/>
              <w:ind w:right="170"/>
              <w:jc w:val="right"/>
            </w:pPr>
          </w:p>
        </w:tc>
        <w:tc>
          <w:tcPr>
            <w:tcW w:w="1134" w:type="dxa"/>
            <w:tcBorders>
              <w:top w:val="single" w:sz="4" w:space="0" w:color="auto"/>
              <w:bottom w:val="nil"/>
            </w:tcBorders>
          </w:tcPr>
          <w:p w:rsidR="00000000" w:rsidRDefault="00000000">
            <w:pPr>
              <w:spacing w:after="0"/>
              <w:ind w:right="170"/>
              <w:jc w:val="right"/>
            </w:pPr>
          </w:p>
        </w:tc>
      </w:tr>
      <w:tr w:rsidR="00000000">
        <w:tblPrEx>
          <w:tblCellMar>
            <w:top w:w="0" w:type="dxa"/>
            <w:bottom w:w="0" w:type="dxa"/>
          </w:tblCellMar>
        </w:tblPrEx>
        <w:tc>
          <w:tcPr>
            <w:tcW w:w="2552" w:type="dxa"/>
            <w:tcBorders>
              <w:top w:val="nil"/>
            </w:tcBorders>
          </w:tcPr>
          <w:p w:rsidR="00000000" w:rsidRDefault="00000000">
            <w:pPr>
              <w:spacing w:after="0"/>
            </w:pPr>
            <w:r>
              <w:t xml:space="preserve">  State pensions</w:t>
            </w:r>
          </w:p>
        </w:tc>
        <w:tc>
          <w:tcPr>
            <w:tcW w:w="1134" w:type="dxa"/>
            <w:tcBorders>
              <w:top w:val="nil"/>
            </w:tcBorders>
          </w:tcPr>
          <w:p w:rsidR="00000000" w:rsidRDefault="00000000">
            <w:pPr>
              <w:spacing w:after="0"/>
              <w:ind w:right="170"/>
              <w:jc w:val="right"/>
            </w:pPr>
            <w:r>
              <w:t>2 200</w:t>
            </w:r>
          </w:p>
        </w:tc>
        <w:tc>
          <w:tcPr>
            <w:tcW w:w="1134" w:type="dxa"/>
            <w:tcBorders>
              <w:top w:val="nil"/>
            </w:tcBorders>
          </w:tcPr>
          <w:p w:rsidR="00000000" w:rsidRDefault="00000000">
            <w:pPr>
              <w:spacing w:after="0"/>
              <w:ind w:right="170"/>
              <w:jc w:val="right"/>
            </w:pPr>
            <w:r>
              <w:t>2 710</w:t>
            </w:r>
          </w:p>
        </w:tc>
        <w:tc>
          <w:tcPr>
            <w:tcW w:w="1134" w:type="dxa"/>
            <w:tcBorders>
              <w:top w:val="nil"/>
            </w:tcBorders>
          </w:tcPr>
          <w:p w:rsidR="00000000" w:rsidRDefault="00000000">
            <w:pPr>
              <w:spacing w:after="0"/>
              <w:ind w:right="170"/>
              <w:jc w:val="right"/>
            </w:pPr>
            <w:r>
              <w:t>3 250</w:t>
            </w:r>
          </w:p>
        </w:tc>
        <w:tc>
          <w:tcPr>
            <w:tcW w:w="1134" w:type="dxa"/>
            <w:tcBorders>
              <w:top w:val="nil"/>
            </w:tcBorders>
          </w:tcPr>
          <w:p w:rsidR="00000000" w:rsidRDefault="00000000">
            <w:pPr>
              <w:spacing w:after="0"/>
              <w:ind w:right="170"/>
              <w:jc w:val="right"/>
            </w:pPr>
            <w:r>
              <w:t>3 250</w:t>
            </w:r>
          </w:p>
        </w:tc>
        <w:tc>
          <w:tcPr>
            <w:tcW w:w="1134" w:type="dxa"/>
            <w:tcBorders>
              <w:top w:val="nil"/>
            </w:tcBorders>
          </w:tcPr>
          <w:p w:rsidR="00000000" w:rsidRDefault="00000000">
            <w:pPr>
              <w:spacing w:after="0"/>
              <w:ind w:right="170"/>
              <w:jc w:val="right"/>
            </w:pPr>
            <w:r>
              <w:t>4 000</w:t>
            </w:r>
          </w:p>
        </w:tc>
        <w:tc>
          <w:tcPr>
            <w:tcW w:w="1134" w:type="dxa"/>
            <w:tcBorders>
              <w:top w:val="nil"/>
            </w:tcBorders>
          </w:tcPr>
          <w:p w:rsidR="00000000" w:rsidRDefault="00000000">
            <w:pPr>
              <w:spacing w:after="0"/>
              <w:ind w:right="170"/>
              <w:jc w:val="right"/>
            </w:pPr>
            <w:r>
              <w:t>4 400</w:t>
            </w:r>
          </w:p>
        </w:tc>
      </w:tr>
      <w:tr w:rsidR="00000000">
        <w:tblPrEx>
          <w:tblCellMar>
            <w:top w:w="0" w:type="dxa"/>
            <w:bottom w:w="0" w:type="dxa"/>
          </w:tblCellMar>
        </w:tblPrEx>
        <w:tc>
          <w:tcPr>
            <w:tcW w:w="2552" w:type="dxa"/>
          </w:tcPr>
          <w:p w:rsidR="00000000" w:rsidRDefault="00000000">
            <w:pPr>
              <w:spacing w:after="0"/>
            </w:pPr>
            <w:r>
              <w:t xml:space="preserve">  Rural pensions</w:t>
            </w:r>
          </w:p>
        </w:tc>
        <w:tc>
          <w:tcPr>
            <w:tcW w:w="1134" w:type="dxa"/>
          </w:tcPr>
          <w:p w:rsidR="00000000" w:rsidRDefault="00000000">
            <w:pPr>
              <w:spacing w:after="0"/>
              <w:ind w:right="170"/>
              <w:jc w:val="right"/>
            </w:pPr>
            <w:r>
              <w:t>700</w:t>
            </w:r>
          </w:p>
        </w:tc>
        <w:tc>
          <w:tcPr>
            <w:tcW w:w="1134" w:type="dxa"/>
          </w:tcPr>
          <w:p w:rsidR="00000000" w:rsidRDefault="00000000">
            <w:pPr>
              <w:spacing w:after="0"/>
              <w:ind w:right="170"/>
              <w:jc w:val="right"/>
            </w:pPr>
            <w:r>
              <w:t>700</w:t>
            </w:r>
          </w:p>
        </w:tc>
        <w:tc>
          <w:tcPr>
            <w:tcW w:w="1134" w:type="dxa"/>
          </w:tcPr>
          <w:p w:rsidR="00000000" w:rsidRDefault="00000000">
            <w:pPr>
              <w:spacing w:after="0"/>
              <w:ind w:right="170"/>
              <w:jc w:val="right"/>
            </w:pPr>
            <w:r>
              <w:t>875</w:t>
            </w:r>
          </w:p>
        </w:tc>
        <w:tc>
          <w:tcPr>
            <w:tcW w:w="1134" w:type="dxa"/>
          </w:tcPr>
          <w:p w:rsidR="00000000" w:rsidRDefault="00000000">
            <w:pPr>
              <w:spacing w:after="0"/>
              <w:ind w:right="170"/>
              <w:jc w:val="right"/>
            </w:pPr>
            <w:r>
              <w:t>875</w:t>
            </w:r>
          </w:p>
        </w:tc>
        <w:tc>
          <w:tcPr>
            <w:tcW w:w="1134" w:type="dxa"/>
          </w:tcPr>
          <w:p w:rsidR="00000000" w:rsidRDefault="00000000">
            <w:pPr>
              <w:spacing w:after="0"/>
              <w:ind w:right="170"/>
              <w:jc w:val="right"/>
            </w:pPr>
            <w:r>
              <w:t>1 050</w:t>
            </w:r>
          </w:p>
        </w:tc>
        <w:tc>
          <w:tcPr>
            <w:tcW w:w="1134" w:type="dxa"/>
          </w:tcPr>
          <w:p w:rsidR="00000000" w:rsidRDefault="00000000">
            <w:pPr>
              <w:spacing w:after="0"/>
              <w:ind w:right="170"/>
              <w:jc w:val="right"/>
            </w:pPr>
            <w:r>
              <w:t>1 155</w:t>
            </w:r>
          </w:p>
        </w:tc>
      </w:tr>
      <w:tr w:rsidR="00000000">
        <w:tblPrEx>
          <w:tblCellMar>
            <w:top w:w="0" w:type="dxa"/>
            <w:bottom w:w="0" w:type="dxa"/>
          </w:tblCellMar>
        </w:tblPrEx>
        <w:tc>
          <w:tcPr>
            <w:tcW w:w="2552" w:type="dxa"/>
          </w:tcPr>
          <w:p w:rsidR="00000000" w:rsidRDefault="00000000">
            <w:pPr>
              <w:spacing w:after="0"/>
            </w:pPr>
            <w:r>
              <w:t>Maximum monthly pension</w:t>
            </w: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r>
      <w:tr w:rsidR="00000000">
        <w:tblPrEx>
          <w:tblCellMar>
            <w:top w:w="0" w:type="dxa"/>
            <w:bottom w:w="0" w:type="dxa"/>
          </w:tblCellMar>
        </w:tblPrEx>
        <w:tc>
          <w:tcPr>
            <w:tcW w:w="2552" w:type="dxa"/>
          </w:tcPr>
          <w:p w:rsidR="00000000" w:rsidRDefault="00000000">
            <w:pPr>
              <w:spacing w:after="0"/>
            </w:pPr>
            <w:r>
              <w:t xml:space="preserve">  State pensions</w:t>
            </w:r>
          </w:p>
        </w:tc>
        <w:tc>
          <w:tcPr>
            <w:tcW w:w="1134" w:type="dxa"/>
          </w:tcPr>
          <w:p w:rsidR="00000000" w:rsidRDefault="00000000">
            <w:pPr>
              <w:spacing w:after="0"/>
              <w:ind w:right="170"/>
              <w:jc w:val="right"/>
            </w:pPr>
            <w:r>
              <w:t>3 840</w:t>
            </w:r>
          </w:p>
        </w:tc>
        <w:tc>
          <w:tcPr>
            <w:tcW w:w="1134" w:type="dxa"/>
          </w:tcPr>
          <w:p w:rsidR="00000000" w:rsidRDefault="00000000">
            <w:pPr>
              <w:spacing w:after="0"/>
              <w:ind w:right="170"/>
              <w:jc w:val="right"/>
            </w:pPr>
            <w:r>
              <w:t>4 400</w:t>
            </w:r>
          </w:p>
        </w:tc>
        <w:tc>
          <w:tcPr>
            <w:tcW w:w="1134" w:type="dxa"/>
          </w:tcPr>
          <w:p w:rsidR="00000000" w:rsidRDefault="00000000">
            <w:pPr>
              <w:spacing w:after="0"/>
              <w:ind w:right="170"/>
              <w:jc w:val="right"/>
            </w:pPr>
            <w:r>
              <w:t>5 420</w:t>
            </w:r>
          </w:p>
        </w:tc>
        <w:tc>
          <w:tcPr>
            <w:tcW w:w="1134" w:type="dxa"/>
          </w:tcPr>
          <w:p w:rsidR="00000000" w:rsidRDefault="00000000">
            <w:pPr>
              <w:spacing w:after="0"/>
              <w:ind w:right="170"/>
              <w:jc w:val="right"/>
            </w:pPr>
            <w:r>
              <w:t>6 500</w:t>
            </w:r>
          </w:p>
        </w:tc>
        <w:tc>
          <w:tcPr>
            <w:tcW w:w="1134" w:type="dxa"/>
          </w:tcPr>
          <w:p w:rsidR="00000000" w:rsidRDefault="00000000">
            <w:pPr>
              <w:spacing w:after="0"/>
              <w:ind w:right="170"/>
              <w:jc w:val="right"/>
            </w:pPr>
            <w:r>
              <w:t>8 000</w:t>
            </w:r>
          </w:p>
        </w:tc>
        <w:tc>
          <w:tcPr>
            <w:tcW w:w="1134" w:type="dxa"/>
          </w:tcPr>
          <w:p w:rsidR="00000000" w:rsidRDefault="00000000">
            <w:pPr>
              <w:spacing w:after="0"/>
              <w:ind w:right="170"/>
              <w:jc w:val="right"/>
            </w:pPr>
            <w:r>
              <w:t>8 800</w:t>
            </w:r>
          </w:p>
        </w:tc>
      </w:tr>
      <w:tr w:rsidR="00000000">
        <w:tblPrEx>
          <w:tblCellMar>
            <w:top w:w="0" w:type="dxa"/>
            <w:bottom w:w="0" w:type="dxa"/>
          </w:tblCellMar>
        </w:tblPrEx>
        <w:tc>
          <w:tcPr>
            <w:tcW w:w="2552" w:type="dxa"/>
          </w:tcPr>
          <w:p w:rsidR="00000000" w:rsidRDefault="00000000">
            <w:pPr>
              <w:spacing w:after="0"/>
            </w:pPr>
            <w:r>
              <w:t>Average monthly pension</w:t>
            </w: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c>
          <w:tcPr>
            <w:tcW w:w="1134" w:type="dxa"/>
          </w:tcPr>
          <w:p w:rsidR="00000000" w:rsidRDefault="00000000">
            <w:pPr>
              <w:spacing w:after="0"/>
              <w:ind w:right="170"/>
              <w:jc w:val="right"/>
            </w:pPr>
          </w:p>
        </w:tc>
      </w:tr>
      <w:tr w:rsidR="00000000">
        <w:tblPrEx>
          <w:tblCellMar>
            <w:top w:w="0" w:type="dxa"/>
            <w:bottom w:w="0" w:type="dxa"/>
          </w:tblCellMar>
        </w:tblPrEx>
        <w:tc>
          <w:tcPr>
            <w:tcW w:w="2552" w:type="dxa"/>
          </w:tcPr>
          <w:p w:rsidR="00000000" w:rsidRDefault="00000000">
            <w:pPr>
              <w:spacing w:after="0"/>
            </w:pPr>
            <w:r>
              <w:t xml:space="preserve">  State pensions</w:t>
            </w:r>
          </w:p>
        </w:tc>
        <w:tc>
          <w:tcPr>
            <w:tcW w:w="1134" w:type="dxa"/>
          </w:tcPr>
          <w:p w:rsidR="00000000" w:rsidRDefault="00000000">
            <w:pPr>
              <w:spacing w:after="0"/>
              <w:ind w:right="170"/>
              <w:jc w:val="right"/>
            </w:pPr>
            <w:r>
              <w:t>2 240</w:t>
            </w:r>
          </w:p>
        </w:tc>
        <w:tc>
          <w:tcPr>
            <w:tcW w:w="1134" w:type="dxa"/>
          </w:tcPr>
          <w:p w:rsidR="00000000" w:rsidRDefault="00000000">
            <w:pPr>
              <w:spacing w:after="0"/>
              <w:ind w:right="170"/>
              <w:jc w:val="right"/>
            </w:pPr>
            <w:r>
              <w:t>2 840</w:t>
            </w:r>
          </w:p>
        </w:tc>
        <w:tc>
          <w:tcPr>
            <w:tcW w:w="1134" w:type="dxa"/>
          </w:tcPr>
          <w:p w:rsidR="00000000" w:rsidRDefault="00000000">
            <w:pPr>
              <w:spacing w:after="0"/>
              <w:ind w:right="170"/>
              <w:jc w:val="right"/>
            </w:pPr>
            <w:r>
              <w:t>3 380</w:t>
            </w:r>
          </w:p>
        </w:tc>
        <w:tc>
          <w:tcPr>
            <w:tcW w:w="1134" w:type="dxa"/>
          </w:tcPr>
          <w:p w:rsidR="00000000" w:rsidRDefault="00000000">
            <w:pPr>
              <w:spacing w:after="0"/>
              <w:ind w:right="170"/>
              <w:jc w:val="right"/>
            </w:pPr>
            <w:r>
              <w:t>3 514</w:t>
            </w:r>
          </w:p>
        </w:tc>
        <w:tc>
          <w:tcPr>
            <w:tcW w:w="1134" w:type="dxa"/>
          </w:tcPr>
          <w:p w:rsidR="00000000" w:rsidRDefault="00000000">
            <w:pPr>
              <w:spacing w:after="0"/>
              <w:ind w:right="170"/>
              <w:jc w:val="right"/>
            </w:pPr>
            <w:r>
              <w:t>4 212</w:t>
            </w:r>
          </w:p>
        </w:tc>
        <w:tc>
          <w:tcPr>
            <w:tcW w:w="1134" w:type="dxa"/>
          </w:tcPr>
          <w:p w:rsidR="00000000" w:rsidRDefault="00000000">
            <w:pPr>
              <w:spacing w:after="0"/>
              <w:ind w:right="170"/>
              <w:jc w:val="right"/>
            </w:pPr>
            <w:r>
              <w:t>4 653</w:t>
            </w:r>
          </w:p>
        </w:tc>
      </w:tr>
      <w:tr w:rsidR="00000000">
        <w:tblPrEx>
          <w:tblCellMar>
            <w:top w:w="0" w:type="dxa"/>
            <w:bottom w:w="0" w:type="dxa"/>
          </w:tblCellMar>
        </w:tblPrEx>
        <w:tc>
          <w:tcPr>
            <w:tcW w:w="2552" w:type="dxa"/>
          </w:tcPr>
          <w:p w:rsidR="00000000" w:rsidRDefault="00000000">
            <w:pPr>
              <w:spacing w:after="0"/>
            </w:pPr>
            <w:r>
              <w:t xml:space="preserve">  Rural pensions</w:t>
            </w:r>
          </w:p>
        </w:tc>
        <w:tc>
          <w:tcPr>
            <w:tcW w:w="1134" w:type="dxa"/>
          </w:tcPr>
          <w:p w:rsidR="00000000" w:rsidRDefault="00000000">
            <w:pPr>
              <w:spacing w:after="0"/>
              <w:ind w:right="170"/>
              <w:jc w:val="right"/>
            </w:pPr>
            <w:r>
              <w:t>700</w:t>
            </w:r>
          </w:p>
        </w:tc>
        <w:tc>
          <w:tcPr>
            <w:tcW w:w="1134" w:type="dxa"/>
          </w:tcPr>
          <w:p w:rsidR="00000000" w:rsidRDefault="00000000">
            <w:pPr>
              <w:spacing w:after="0"/>
              <w:ind w:right="170"/>
              <w:jc w:val="right"/>
            </w:pPr>
            <w:r>
              <w:t>700</w:t>
            </w:r>
          </w:p>
        </w:tc>
        <w:tc>
          <w:tcPr>
            <w:tcW w:w="1134" w:type="dxa"/>
          </w:tcPr>
          <w:p w:rsidR="00000000" w:rsidRDefault="00000000">
            <w:pPr>
              <w:spacing w:after="0"/>
              <w:ind w:right="170"/>
              <w:jc w:val="right"/>
            </w:pPr>
            <w:r>
              <w:t>875</w:t>
            </w:r>
          </w:p>
        </w:tc>
        <w:tc>
          <w:tcPr>
            <w:tcW w:w="1134" w:type="dxa"/>
          </w:tcPr>
          <w:p w:rsidR="00000000" w:rsidRDefault="00000000">
            <w:pPr>
              <w:spacing w:after="0"/>
              <w:ind w:right="170"/>
              <w:jc w:val="right"/>
            </w:pPr>
            <w:r>
              <w:t>818</w:t>
            </w:r>
          </w:p>
        </w:tc>
        <w:tc>
          <w:tcPr>
            <w:tcW w:w="1134" w:type="dxa"/>
          </w:tcPr>
          <w:p w:rsidR="00000000" w:rsidRDefault="00000000">
            <w:pPr>
              <w:spacing w:after="0"/>
              <w:ind w:right="170"/>
              <w:jc w:val="right"/>
            </w:pPr>
            <w:r>
              <w:t>984</w:t>
            </w:r>
          </w:p>
        </w:tc>
        <w:tc>
          <w:tcPr>
            <w:tcW w:w="1134" w:type="dxa"/>
          </w:tcPr>
          <w:p w:rsidR="00000000" w:rsidRDefault="00000000">
            <w:pPr>
              <w:spacing w:after="0"/>
              <w:ind w:right="170"/>
              <w:jc w:val="right"/>
            </w:pPr>
            <w:r>
              <w:t>1 058</w:t>
            </w:r>
          </w:p>
        </w:tc>
      </w:tr>
    </w:tbl>
    <w:p w:rsidR="00000000" w:rsidRDefault="00000000">
      <w:pPr>
        <w:pStyle w:val="Heading2"/>
        <w:spacing w:before="360"/>
      </w:pPr>
      <w:r>
        <w:t>Table 13</w:t>
      </w:r>
    </w:p>
    <w:p w:rsidR="00000000" w:rsidRDefault="00000000">
      <w:pPr>
        <w:pStyle w:val="Heading2"/>
      </w:pPr>
      <w:r>
        <w:t>Disabled that benefit from social protection and total fund</w:t>
      </w:r>
      <w:r>
        <w:br/>
        <w:t>of disability benefit (1995-1999)</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360"/>
        <w:gridCol w:w="1361"/>
        <w:gridCol w:w="1361"/>
        <w:gridCol w:w="1361"/>
        <w:gridCol w:w="1361"/>
      </w:tblGrid>
      <w:tr w:rsidR="00000000">
        <w:tblPrEx>
          <w:tblCellMar>
            <w:top w:w="0" w:type="dxa"/>
            <w:bottom w:w="0" w:type="dxa"/>
          </w:tblCellMar>
        </w:tblPrEx>
        <w:tc>
          <w:tcPr>
            <w:tcW w:w="2552" w:type="dxa"/>
            <w:tcBorders>
              <w:bottom w:val="single" w:sz="4" w:space="0" w:color="auto"/>
            </w:tcBorders>
          </w:tcPr>
          <w:p w:rsidR="00000000" w:rsidRDefault="00000000">
            <w:pPr>
              <w:spacing w:after="0"/>
              <w:jc w:val="center"/>
            </w:pPr>
            <w:r>
              <w:t>End of period</w:t>
            </w:r>
          </w:p>
        </w:tc>
        <w:tc>
          <w:tcPr>
            <w:tcW w:w="1360" w:type="dxa"/>
            <w:tcBorders>
              <w:bottom w:val="single" w:sz="4" w:space="0" w:color="auto"/>
            </w:tcBorders>
          </w:tcPr>
          <w:p w:rsidR="00000000" w:rsidRDefault="00000000">
            <w:pPr>
              <w:spacing w:after="0"/>
              <w:jc w:val="center"/>
            </w:pPr>
            <w:r>
              <w:t>1995</w:t>
            </w:r>
          </w:p>
        </w:tc>
        <w:tc>
          <w:tcPr>
            <w:tcW w:w="1361" w:type="dxa"/>
            <w:tcBorders>
              <w:bottom w:val="single" w:sz="4" w:space="0" w:color="auto"/>
            </w:tcBorders>
          </w:tcPr>
          <w:p w:rsidR="00000000" w:rsidRDefault="00000000">
            <w:pPr>
              <w:spacing w:after="0"/>
              <w:jc w:val="center"/>
            </w:pPr>
            <w:r>
              <w:t>1996</w:t>
            </w:r>
          </w:p>
        </w:tc>
        <w:tc>
          <w:tcPr>
            <w:tcW w:w="1361" w:type="dxa"/>
            <w:tcBorders>
              <w:bottom w:val="single" w:sz="4" w:space="0" w:color="auto"/>
            </w:tcBorders>
          </w:tcPr>
          <w:p w:rsidR="00000000" w:rsidRDefault="00000000">
            <w:pPr>
              <w:spacing w:after="0"/>
              <w:jc w:val="center"/>
            </w:pPr>
            <w:r>
              <w:t>1997</w:t>
            </w:r>
          </w:p>
        </w:tc>
        <w:tc>
          <w:tcPr>
            <w:tcW w:w="1361" w:type="dxa"/>
            <w:tcBorders>
              <w:bottom w:val="single" w:sz="4" w:space="0" w:color="auto"/>
            </w:tcBorders>
          </w:tcPr>
          <w:p w:rsidR="00000000" w:rsidRDefault="00000000">
            <w:pPr>
              <w:spacing w:after="0"/>
              <w:jc w:val="center"/>
            </w:pPr>
            <w:r>
              <w:t>1998</w:t>
            </w:r>
          </w:p>
        </w:tc>
        <w:tc>
          <w:tcPr>
            <w:tcW w:w="1361"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after="0"/>
            </w:pPr>
            <w:r>
              <w:t>In total number</w:t>
            </w:r>
          </w:p>
        </w:tc>
        <w:tc>
          <w:tcPr>
            <w:tcW w:w="1360" w:type="dxa"/>
            <w:tcBorders>
              <w:top w:val="single" w:sz="4" w:space="0" w:color="auto"/>
              <w:bottom w:val="nil"/>
            </w:tcBorders>
          </w:tcPr>
          <w:p w:rsidR="00000000" w:rsidRDefault="00000000">
            <w:pPr>
              <w:spacing w:after="0"/>
              <w:ind w:right="170"/>
              <w:jc w:val="right"/>
            </w:pPr>
            <w:r>
              <w:t>16 739</w:t>
            </w:r>
          </w:p>
        </w:tc>
        <w:tc>
          <w:tcPr>
            <w:tcW w:w="1361" w:type="dxa"/>
            <w:tcBorders>
              <w:top w:val="single" w:sz="4" w:space="0" w:color="auto"/>
              <w:bottom w:val="nil"/>
            </w:tcBorders>
          </w:tcPr>
          <w:p w:rsidR="00000000" w:rsidRDefault="00000000">
            <w:pPr>
              <w:spacing w:after="0"/>
              <w:ind w:right="170"/>
              <w:jc w:val="right"/>
            </w:pPr>
            <w:r>
              <w:t>19 159</w:t>
            </w:r>
          </w:p>
        </w:tc>
        <w:tc>
          <w:tcPr>
            <w:tcW w:w="1361" w:type="dxa"/>
            <w:tcBorders>
              <w:top w:val="single" w:sz="4" w:space="0" w:color="auto"/>
              <w:bottom w:val="nil"/>
            </w:tcBorders>
          </w:tcPr>
          <w:p w:rsidR="00000000" w:rsidRDefault="00000000">
            <w:pPr>
              <w:spacing w:after="0"/>
              <w:ind w:right="170"/>
              <w:jc w:val="right"/>
            </w:pPr>
            <w:r>
              <w:t>18 703</w:t>
            </w:r>
          </w:p>
        </w:tc>
        <w:tc>
          <w:tcPr>
            <w:tcW w:w="1361" w:type="dxa"/>
            <w:tcBorders>
              <w:top w:val="single" w:sz="4" w:space="0" w:color="auto"/>
              <w:bottom w:val="nil"/>
            </w:tcBorders>
          </w:tcPr>
          <w:p w:rsidR="00000000" w:rsidRDefault="00000000">
            <w:pPr>
              <w:spacing w:after="0"/>
              <w:ind w:right="57"/>
              <w:jc w:val="right"/>
            </w:pPr>
            <w:r>
              <w:t>25 647</w:t>
            </w:r>
          </w:p>
        </w:tc>
        <w:tc>
          <w:tcPr>
            <w:tcW w:w="1361" w:type="dxa"/>
            <w:tcBorders>
              <w:top w:val="single" w:sz="4" w:space="0" w:color="auto"/>
              <w:bottom w:val="nil"/>
            </w:tcBorders>
          </w:tcPr>
          <w:p w:rsidR="00000000" w:rsidRDefault="00000000">
            <w:pPr>
              <w:spacing w:after="0"/>
              <w:ind w:right="113"/>
              <w:jc w:val="right"/>
            </w:pPr>
            <w:r>
              <w:t>30 692</w:t>
            </w:r>
          </w:p>
        </w:tc>
      </w:tr>
      <w:tr w:rsidR="00000000">
        <w:tblPrEx>
          <w:tblCellMar>
            <w:top w:w="0" w:type="dxa"/>
            <w:bottom w:w="0" w:type="dxa"/>
          </w:tblCellMar>
        </w:tblPrEx>
        <w:tc>
          <w:tcPr>
            <w:tcW w:w="2552" w:type="dxa"/>
            <w:tcBorders>
              <w:top w:val="nil"/>
            </w:tcBorders>
          </w:tcPr>
          <w:p w:rsidR="00000000" w:rsidRDefault="00000000">
            <w:pPr>
              <w:spacing w:after="0"/>
            </w:pPr>
            <w:r>
              <w:t xml:space="preserve">  In municipalities</w:t>
            </w:r>
          </w:p>
        </w:tc>
        <w:tc>
          <w:tcPr>
            <w:tcW w:w="1360" w:type="dxa"/>
            <w:tcBorders>
              <w:top w:val="nil"/>
            </w:tcBorders>
          </w:tcPr>
          <w:p w:rsidR="00000000" w:rsidRDefault="00000000">
            <w:pPr>
              <w:spacing w:after="0"/>
              <w:ind w:right="170"/>
              <w:jc w:val="right"/>
            </w:pPr>
            <w:r>
              <w:t>6 049</w:t>
            </w:r>
          </w:p>
        </w:tc>
        <w:tc>
          <w:tcPr>
            <w:tcW w:w="1361" w:type="dxa"/>
            <w:tcBorders>
              <w:top w:val="nil"/>
            </w:tcBorders>
          </w:tcPr>
          <w:p w:rsidR="00000000" w:rsidRDefault="00000000">
            <w:pPr>
              <w:spacing w:after="0"/>
              <w:ind w:right="170"/>
              <w:jc w:val="right"/>
            </w:pPr>
            <w:r>
              <w:t>6 733</w:t>
            </w:r>
          </w:p>
        </w:tc>
        <w:tc>
          <w:tcPr>
            <w:tcW w:w="1361" w:type="dxa"/>
            <w:tcBorders>
              <w:top w:val="nil"/>
            </w:tcBorders>
          </w:tcPr>
          <w:p w:rsidR="00000000" w:rsidRDefault="00000000">
            <w:pPr>
              <w:spacing w:after="0"/>
              <w:ind w:right="170"/>
              <w:jc w:val="right"/>
            </w:pPr>
            <w:r>
              <w:t>8 173</w:t>
            </w:r>
          </w:p>
        </w:tc>
        <w:tc>
          <w:tcPr>
            <w:tcW w:w="1361" w:type="dxa"/>
            <w:tcBorders>
              <w:top w:val="nil"/>
            </w:tcBorders>
          </w:tcPr>
          <w:p w:rsidR="00000000" w:rsidRDefault="00000000">
            <w:pPr>
              <w:spacing w:after="0"/>
              <w:ind w:right="57"/>
              <w:jc w:val="right"/>
            </w:pPr>
            <w:r>
              <w:t>10 983</w:t>
            </w:r>
          </w:p>
        </w:tc>
        <w:tc>
          <w:tcPr>
            <w:tcW w:w="1361" w:type="dxa"/>
            <w:tcBorders>
              <w:top w:val="nil"/>
            </w:tcBorders>
          </w:tcPr>
          <w:p w:rsidR="00000000" w:rsidRDefault="00000000">
            <w:pPr>
              <w:spacing w:after="0"/>
              <w:ind w:right="113"/>
              <w:jc w:val="right"/>
            </w:pPr>
            <w:r>
              <w:t>13 454</w:t>
            </w:r>
          </w:p>
        </w:tc>
      </w:tr>
      <w:tr w:rsidR="00000000">
        <w:tblPrEx>
          <w:tblCellMar>
            <w:top w:w="0" w:type="dxa"/>
            <w:bottom w:w="0" w:type="dxa"/>
          </w:tblCellMar>
        </w:tblPrEx>
        <w:tc>
          <w:tcPr>
            <w:tcW w:w="2552" w:type="dxa"/>
          </w:tcPr>
          <w:p w:rsidR="00000000" w:rsidRDefault="00000000">
            <w:pPr>
              <w:spacing w:after="0"/>
            </w:pPr>
            <w:r>
              <w:t xml:space="preserve">  In communes</w:t>
            </w:r>
          </w:p>
        </w:tc>
        <w:tc>
          <w:tcPr>
            <w:tcW w:w="1360" w:type="dxa"/>
          </w:tcPr>
          <w:p w:rsidR="00000000" w:rsidRDefault="00000000">
            <w:pPr>
              <w:spacing w:after="0"/>
              <w:ind w:right="170"/>
              <w:jc w:val="right"/>
            </w:pPr>
            <w:r>
              <w:t>10 690</w:t>
            </w:r>
          </w:p>
        </w:tc>
        <w:tc>
          <w:tcPr>
            <w:tcW w:w="1361" w:type="dxa"/>
          </w:tcPr>
          <w:p w:rsidR="00000000" w:rsidRDefault="00000000">
            <w:pPr>
              <w:spacing w:after="0"/>
              <w:ind w:right="170"/>
              <w:jc w:val="right"/>
            </w:pPr>
            <w:r>
              <w:t>12 426</w:t>
            </w:r>
          </w:p>
        </w:tc>
        <w:tc>
          <w:tcPr>
            <w:tcW w:w="1361" w:type="dxa"/>
          </w:tcPr>
          <w:p w:rsidR="00000000" w:rsidRDefault="00000000">
            <w:pPr>
              <w:spacing w:after="0"/>
              <w:ind w:right="170"/>
              <w:jc w:val="right"/>
            </w:pPr>
            <w:r>
              <w:t>10 530</w:t>
            </w:r>
          </w:p>
        </w:tc>
        <w:tc>
          <w:tcPr>
            <w:tcW w:w="1361" w:type="dxa"/>
          </w:tcPr>
          <w:p w:rsidR="00000000" w:rsidRDefault="00000000">
            <w:pPr>
              <w:spacing w:after="0"/>
              <w:ind w:right="57"/>
              <w:jc w:val="right"/>
            </w:pPr>
            <w:r>
              <w:t>14 664</w:t>
            </w:r>
          </w:p>
        </w:tc>
        <w:tc>
          <w:tcPr>
            <w:tcW w:w="1361" w:type="dxa"/>
          </w:tcPr>
          <w:p w:rsidR="00000000" w:rsidRDefault="00000000">
            <w:pPr>
              <w:spacing w:after="0"/>
              <w:ind w:right="113"/>
              <w:jc w:val="right"/>
            </w:pPr>
            <w:r>
              <w:t>17 238</w:t>
            </w:r>
          </w:p>
        </w:tc>
      </w:tr>
      <w:tr w:rsidR="00000000">
        <w:tblPrEx>
          <w:tblCellMar>
            <w:top w:w="0" w:type="dxa"/>
            <w:bottom w:w="0" w:type="dxa"/>
          </w:tblCellMar>
        </w:tblPrEx>
        <w:tc>
          <w:tcPr>
            <w:tcW w:w="2552" w:type="dxa"/>
          </w:tcPr>
          <w:p w:rsidR="00000000" w:rsidRDefault="00000000">
            <w:pPr>
              <w:spacing w:after="0"/>
            </w:pPr>
            <w:r>
              <w:t xml:space="preserve">Total fund </w:t>
            </w:r>
            <w:r>
              <w:br/>
              <w:t>(in thousand leks)</w:t>
            </w:r>
          </w:p>
        </w:tc>
        <w:tc>
          <w:tcPr>
            <w:tcW w:w="1360" w:type="dxa"/>
          </w:tcPr>
          <w:p w:rsidR="00000000" w:rsidRDefault="00000000">
            <w:pPr>
              <w:spacing w:after="0"/>
              <w:ind w:right="170"/>
              <w:jc w:val="right"/>
            </w:pPr>
            <w:r>
              <w:t>271 196</w:t>
            </w:r>
          </w:p>
        </w:tc>
        <w:tc>
          <w:tcPr>
            <w:tcW w:w="1361" w:type="dxa"/>
          </w:tcPr>
          <w:p w:rsidR="00000000" w:rsidRDefault="00000000">
            <w:pPr>
              <w:spacing w:after="0"/>
              <w:ind w:right="170"/>
              <w:jc w:val="right"/>
            </w:pPr>
            <w:r>
              <w:t>581 718</w:t>
            </w:r>
          </w:p>
        </w:tc>
        <w:tc>
          <w:tcPr>
            <w:tcW w:w="1361" w:type="dxa"/>
          </w:tcPr>
          <w:p w:rsidR="00000000" w:rsidRDefault="00000000">
            <w:pPr>
              <w:spacing w:after="0"/>
              <w:ind w:right="170"/>
              <w:jc w:val="right"/>
            </w:pPr>
            <w:r>
              <w:t>746 881</w:t>
            </w:r>
          </w:p>
        </w:tc>
        <w:tc>
          <w:tcPr>
            <w:tcW w:w="1361" w:type="dxa"/>
          </w:tcPr>
          <w:p w:rsidR="00000000" w:rsidRDefault="00000000">
            <w:pPr>
              <w:spacing w:after="0"/>
              <w:ind w:right="57"/>
              <w:jc w:val="right"/>
            </w:pPr>
            <w:r>
              <w:t>1 347 427</w:t>
            </w:r>
          </w:p>
        </w:tc>
        <w:tc>
          <w:tcPr>
            <w:tcW w:w="1361" w:type="dxa"/>
          </w:tcPr>
          <w:p w:rsidR="00000000" w:rsidRDefault="00000000">
            <w:pPr>
              <w:spacing w:after="0"/>
              <w:ind w:right="113"/>
              <w:jc w:val="right"/>
            </w:pPr>
            <w:r>
              <w:t>1 511 518</w:t>
            </w:r>
          </w:p>
        </w:tc>
      </w:tr>
      <w:tr w:rsidR="00000000">
        <w:tblPrEx>
          <w:tblCellMar>
            <w:top w:w="0" w:type="dxa"/>
            <w:bottom w:w="0" w:type="dxa"/>
          </w:tblCellMar>
        </w:tblPrEx>
        <w:tc>
          <w:tcPr>
            <w:tcW w:w="2552" w:type="dxa"/>
          </w:tcPr>
          <w:p w:rsidR="00000000" w:rsidRDefault="00000000">
            <w:pPr>
              <w:spacing w:after="0"/>
            </w:pPr>
            <w:r>
              <w:t xml:space="preserve">  In municipalities</w:t>
            </w:r>
          </w:p>
        </w:tc>
        <w:tc>
          <w:tcPr>
            <w:tcW w:w="1360" w:type="dxa"/>
          </w:tcPr>
          <w:p w:rsidR="00000000" w:rsidRDefault="00000000">
            <w:pPr>
              <w:spacing w:after="0"/>
              <w:ind w:right="170"/>
              <w:jc w:val="right"/>
            </w:pPr>
            <w:r>
              <w:t>100 668</w:t>
            </w:r>
          </w:p>
        </w:tc>
        <w:tc>
          <w:tcPr>
            <w:tcW w:w="1361" w:type="dxa"/>
          </w:tcPr>
          <w:p w:rsidR="00000000" w:rsidRDefault="00000000">
            <w:pPr>
              <w:spacing w:after="0"/>
              <w:ind w:right="170"/>
              <w:jc w:val="right"/>
            </w:pPr>
            <w:r>
              <w:t>215 624</w:t>
            </w:r>
          </w:p>
        </w:tc>
        <w:tc>
          <w:tcPr>
            <w:tcW w:w="1361" w:type="dxa"/>
          </w:tcPr>
          <w:p w:rsidR="00000000" w:rsidRDefault="00000000">
            <w:pPr>
              <w:spacing w:after="0"/>
              <w:ind w:right="170"/>
              <w:jc w:val="right"/>
            </w:pPr>
            <w:r>
              <w:t>332 123</w:t>
            </w:r>
          </w:p>
        </w:tc>
        <w:tc>
          <w:tcPr>
            <w:tcW w:w="1361" w:type="dxa"/>
          </w:tcPr>
          <w:p w:rsidR="00000000" w:rsidRDefault="00000000">
            <w:pPr>
              <w:spacing w:after="0"/>
              <w:ind w:right="57"/>
              <w:jc w:val="right"/>
            </w:pPr>
            <w:r>
              <w:t>613 162</w:t>
            </w:r>
          </w:p>
        </w:tc>
        <w:tc>
          <w:tcPr>
            <w:tcW w:w="1361" w:type="dxa"/>
          </w:tcPr>
          <w:p w:rsidR="00000000" w:rsidRDefault="00000000">
            <w:pPr>
              <w:spacing w:after="0"/>
              <w:ind w:right="113"/>
              <w:jc w:val="right"/>
            </w:pPr>
            <w:r>
              <w:t>666 276</w:t>
            </w:r>
          </w:p>
        </w:tc>
      </w:tr>
      <w:tr w:rsidR="00000000">
        <w:tblPrEx>
          <w:tblCellMar>
            <w:top w:w="0" w:type="dxa"/>
            <w:bottom w:w="0" w:type="dxa"/>
          </w:tblCellMar>
        </w:tblPrEx>
        <w:tc>
          <w:tcPr>
            <w:tcW w:w="2552" w:type="dxa"/>
          </w:tcPr>
          <w:p w:rsidR="00000000" w:rsidRDefault="00000000">
            <w:pPr>
              <w:spacing w:after="0"/>
            </w:pPr>
            <w:r>
              <w:t xml:space="preserve">  In communes</w:t>
            </w:r>
          </w:p>
        </w:tc>
        <w:tc>
          <w:tcPr>
            <w:tcW w:w="1360" w:type="dxa"/>
          </w:tcPr>
          <w:p w:rsidR="00000000" w:rsidRDefault="00000000">
            <w:pPr>
              <w:spacing w:after="0"/>
              <w:ind w:right="170"/>
              <w:jc w:val="right"/>
            </w:pPr>
            <w:r>
              <w:t>170 528</w:t>
            </w:r>
          </w:p>
        </w:tc>
        <w:tc>
          <w:tcPr>
            <w:tcW w:w="1361" w:type="dxa"/>
          </w:tcPr>
          <w:p w:rsidR="00000000" w:rsidRDefault="00000000">
            <w:pPr>
              <w:spacing w:after="0"/>
              <w:ind w:right="170"/>
              <w:jc w:val="right"/>
            </w:pPr>
            <w:r>
              <w:t>366 094</w:t>
            </w:r>
          </w:p>
        </w:tc>
        <w:tc>
          <w:tcPr>
            <w:tcW w:w="1361" w:type="dxa"/>
          </w:tcPr>
          <w:p w:rsidR="00000000" w:rsidRDefault="00000000">
            <w:pPr>
              <w:spacing w:after="0"/>
              <w:ind w:right="170"/>
              <w:jc w:val="right"/>
            </w:pPr>
            <w:r>
              <w:t>414 758</w:t>
            </w:r>
          </w:p>
        </w:tc>
        <w:tc>
          <w:tcPr>
            <w:tcW w:w="1361" w:type="dxa"/>
          </w:tcPr>
          <w:p w:rsidR="00000000" w:rsidRDefault="00000000">
            <w:pPr>
              <w:spacing w:after="0"/>
              <w:ind w:right="57"/>
              <w:jc w:val="right"/>
            </w:pPr>
            <w:r>
              <w:t>734 265</w:t>
            </w:r>
          </w:p>
        </w:tc>
        <w:tc>
          <w:tcPr>
            <w:tcW w:w="1361" w:type="dxa"/>
          </w:tcPr>
          <w:p w:rsidR="00000000" w:rsidRDefault="00000000">
            <w:pPr>
              <w:spacing w:after="0"/>
              <w:ind w:right="113"/>
              <w:jc w:val="right"/>
            </w:pPr>
            <w:r>
              <w:t>845 242</w:t>
            </w:r>
          </w:p>
        </w:tc>
      </w:tr>
    </w:tbl>
    <w:p w:rsidR="00000000" w:rsidRDefault="00000000">
      <w:pPr>
        <w:pStyle w:val="Heading2"/>
        <w:spacing w:before="360"/>
      </w:pPr>
      <w:r>
        <w:t>Table 14</w:t>
      </w:r>
    </w:p>
    <w:p w:rsidR="00000000" w:rsidRDefault="00000000">
      <w:pPr>
        <w:pStyle w:val="Heading2"/>
      </w:pPr>
      <w:r>
        <w:t>Unemployment benefits (1992-1999)</w:t>
      </w:r>
      <w:r>
        <w:br/>
        <w:t>(in leks)</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850"/>
        <w:gridCol w:w="851"/>
        <w:gridCol w:w="850"/>
        <w:gridCol w:w="851"/>
        <w:gridCol w:w="850"/>
        <w:gridCol w:w="851"/>
        <w:gridCol w:w="850"/>
        <w:gridCol w:w="851"/>
      </w:tblGrid>
      <w:tr w:rsidR="00000000">
        <w:tblPrEx>
          <w:tblCellMar>
            <w:top w:w="0" w:type="dxa"/>
            <w:bottom w:w="0" w:type="dxa"/>
          </w:tblCellMar>
        </w:tblPrEx>
        <w:tc>
          <w:tcPr>
            <w:tcW w:w="2552" w:type="dxa"/>
            <w:tcBorders>
              <w:bottom w:val="single" w:sz="4" w:space="0" w:color="auto"/>
            </w:tcBorders>
          </w:tcPr>
          <w:p w:rsidR="00000000" w:rsidRDefault="00000000">
            <w:pPr>
              <w:spacing w:after="0"/>
            </w:pPr>
          </w:p>
        </w:tc>
        <w:tc>
          <w:tcPr>
            <w:tcW w:w="850" w:type="dxa"/>
            <w:tcBorders>
              <w:bottom w:val="single" w:sz="4" w:space="0" w:color="auto"/>
            </w:tcBorders>
          </w:tcPr>
          <w:p w:rsidR="00000000" w:rsidRDefault="00000000">
            <w:pPr>
              <w:spacing w:after="0"/>
              <w:jc w:val="center"/>
            </w:pPr>
            <w:r>
              <w:t>1992</w:t>
            </w:r>
          </w:p>
        </w:tc>
        <w:tc>
          <w:tcPr>
            <w:tcW w:w="851" w:type="dxa"/>
            <w:tcBorders>
              <w:bottom w:val="single" w:sz="4" w:space="0" w:color="auto"/>
            </w:tcBorders>
          </w:tcPr>
          <w:p w:rsidR="00000000" w:rsidRDefault="00000000">
            <w:pPr>
              <w:spacing w:after="0"/>
              <w:jc w:val="center"/>
            </w:pPr>
            <w:r>
              <w:t>1993</w:t>
            </w:r>
          </w:p>
        </w:tc>
        <w:tc>
          <w:tcPr>
            <w:tcW w:w="850" w:type="dxa"/>
            <w:tcBorders>
              <w:bottom w:val="single" w:sz="4" w:space="0" w:color="auto"/>
            </w:tcBorders>
          </w:tcPr>
          <w:p w:rsidR="00000000" w:rsidRDefault="00000000">
            <w:pPr>
              <w:spacing w:after="0"/>
              <w:jc w:val="center"/>
            </w:pPr>
            <w:r>
              <w:t>1994</w:t>
            </w:r>
          </w:p>
        </w:tc>
        <w:tc>
          <w:tcPr>
            <w:tcW w:w="851" w:type="dxa"/>
            <w:tcBorders>
              <w:bottom w:val="single" w:sz="4" w:space="0" w:color="auto"/>
            </w:tcBorders>
          </w:tcPr>
          <w:p w:rsidR="00000000" w:rsidRDefault="00000000">
            <w:pPr>
              <w:spacing w:after="0"/>
              <w:jc w:val="center"/>
            </w:pPr>
            <w:r>
              <w:t>1995</w:t>
            </w:r>
          </w:p>
        </w:tc>
        <w:tc>
          <w:tcPr>
            <w:tcW w:w="850" w:type="dxa"/>
            <w:tcBorders>
              <w:bottom w:val="single" w:sz="4" w:space="0" w:color="auto"/>
            </w:tcBorders>
          </w:tcPr>
          <w:p w:rsidR="00000000" w:rsidRDefault="00000000">
            <w:pPr>
              <w:spacing w:after="0"/>
              <w:jc w:val="center"/>
            </w:pPr>
            <w:r>
              <w:t>1996</w:t>
            </w:r>
          </w:p>
        </w:tc>
        <w:tc>
          <w:tcPr>
            <w:tcW w:w="851" w:type="dxa"/>
            <w:tcBorders>
              <w:bottom w:val="single" w:sz="4" w:space="0" w:color="auto"/>
            </w:tcBorders>
          </w:tcPr>
          <w:p w:rsidR="00000000" w:rsidRDefault="00000000">
            <w:pPr>
              <w:spacing w:after="0"/>
              <w:jc w:val="center"/>
            </w:pPr>
            <w:r>
              <w:t>1997</w:t>
            </w:r>
          </w:p>
        </w:tc>
        <w:tc>
          <w:tcPr>
            <w:tcW w:w="850" w:type="dxa"/>
            <w:tcBorders>
              <w:bottom w:val="single" w:sz="4" w:space="0" w:color="auto"/>
            </w:tcBorders>
          </w:tcPr>
          <w:p w:rsidR="00000000" w:rsidRDefault="00000000">
            <w:pPr>
              <w:spacing w:after="0"/>
              <w:jc w:val="center"/>
            </w:pPr>
            <w:r>
              <w:t>1998</w:t>
            </w:r>
          </w:p>
        </w:tc>
        <w:tc>
          <w:tcPr>
            <w:tcW w:w="851"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pStyle w:val="Header"/>
              <w:tabs>
                <w:tab w:val="clear" w:pos="4320"/>
                <w:tab w:val="clear" w:pos="8640"/>
              </w:tabs>
              <w:spacing w:after="0"/>
            </w:pPr>
            <w:r>
              <w:t>Monthly unemployment benefit</w:t>
            </w:r>
          </w:p>
        </w:tc>
        <w:tc>
          <w:tcPr>
            <w:tcW w:w="850"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1 180</w:t>
            </w:r>
          </w:p>
        </w:tc>
        <w:tc>
          <w:tcPr>
            <w:tcW w:w="851" w:type="dxa"/>
            <w:tcBorders>
              <w:top w:val="single" w:sz="4" w:space="0" w:color="auto"/>
              <w:bottom w:val="single" w:sz="4" w:space="0" w:color="auto"/>
            </w:tcBorders>
          </w:tcPr>
          <w:p w:rsidR="00000000" w:rsidRDefault="00000000">
            <w:pPr>
              <w:spacing w:after="0"/>
              <w:jc w:val="center"/>
            </w:pPr>
            <w:r>
              <w:t>1 237</w:t>
            </w:r>
          </w:p>
        </w:tc>
        <w:tc>
          <w:tcPr>
            <w:tcW w:w="850" w:type="dxa"/>
            <w:tcBorders>
              <w:top w:val="single" w:sz="4" w:space="0" w:color="auto"/>
              <w:bottom w:val="single" w:sz="4" w:space="0" w:color="auto"/>
            </w:tcBorders>
          </w:tcPr>
          <w:p w:rsidR="00000000" w:rsidRDefault="00000000">
            <w:pPr>
              <w:spacing w:after="0"/>
              <w:jc w:val="center"/>
            </w:pPr>
            <w:r>
              <w:t>1 920</w:t>
            </w:r>
          </w:p>
        </w:tc>
        <w:tc>
          <w:tcPr>
            <w:tcW w:w="851" w:type="dxa"/>
            <w:tcBorders>
              <w:top w:val="single" w:sz="4" w:space="0" w:color="auto"/>
              <w:bottom w:val="single" w:sz="4" w:space="0" w:color="auto"/>
            </w:tcBorders>
          </w:tcPr>
          <w:p w:rsidR="00000000" w:rsidRDefault="00000000">
            <w:pPr>
              <w:spacing w:after="0"/>
              <w:jc w:val="center"/>
            </w:pPr>
            <w:r>
              <w:t>2 200</w:t>
            </w:r>
          </w:p>
        </w:tc>
        <w:tc>
          <w:tcPr>
            <w:tcW w:w="850" w:type="dxa"/>
            <w:tcBorders>
              <w:top w:val="single" w:sz="4" w:space="0" w:color="auto"/>
              <w:bottom w:val="single" w:sz="4" w:space="0" w:color="auto"/>
            </w:tcBorders>
          </w:tcPr>
          <w:p w:rsidR="00000000" w:rsidRDefault="00000000">
            <w:pPr>
              <w:spacing w:after="0"/>
              <w:jc w:val="center"/>
            </w:pPr>
            <w:r>
              <w:t>2 500</w:t>
            </w:r>
          </w:p>
        </w:tc>
        <w:tc>
          <w:tcPr>
            <w:tcW w:w="851" w:type="dxa"/>
            <w:tcBorders>
              <w:top w:val="single" w:sz="4" w:space="0" w:color="auto"/>
              <w:bottom w:val="single" w:sz="4" w:space="0" w:color="auto"/>
            </w:tcBorders>
          </w:tcPr>
          <w:p w:rsidR="00000000" w:rsidRDefault="00000000">
            <w:pPr>
              <w:spacing w:after="0"/>
              <w:jc w:val="center"/>
            </w:pPr>
            <w:r>
              <w:t>2 500</w:t>
            </w:r>
          </w:p>
        </w:tc>
        <w:tc>
          <w:tcPr>
            <w:tcW w:w="850" w:type="dxa"/>
            <w:tcBorders>
              <w:top w:val="single" w:sz="4" w:space="0" w:color="auto"/>
              <w:bottom w:val="single" w:sz="4" w:space="0" w:color="auto"/>
            </w:tcBorders>
          </w:tcPr>
          <w:p w:rsidR="00000000" w:rsidRDefault="00000000">
            <w:pPr>
              <w:spacing w:after="0"/>
              <w:jc w:val="center"/>
            </w:pPr>
            <w:r>
              <w:t>2 500</w:t>
            </w:r>
          </w:p>
        </w:tc>
        <w:tc>
          <w:tcPr>
            <w:tcW w:w="851" w:type="dxa"/>
            <w:tcBorders>
              <w:top w:val="single" w:sz="4" w:space="0" w:color="auto"/>
              <w:bottom w:val="single" w:sz="4" w:space="0" w:color="auto"/>
            </w:tcBorders>
          </w:tcPr>
          <w:p w:rsidR="00000000" w:rsidRDefault="00000000">
            <w:pPr>
              <w:spacing w:after="0"/>
              <w:jc w:val="center"/>
            </w:pPr>
            <w:r>
              <w:t>2 500</w:t>
            </w:r>
          </w:p>
        </w:tc>
      </w:tr>
    </w:tbl>
    <w:p w:rsidR="00000000" w:rsidRDefault="00000000">
      <w:pPr>
        <w:pStyle w:val="Heading2"/>
        <w:spacing w:before="360"/>
      </w:pPr>
    </w:p>
    <w:p w:rsidR="00000000" w:rsidRDefault="00000000">
      <w:pPr>
        <w:pStyle w:val="Heading2"/>
      </w:pPr>
      <w:r>
        <w:br w:type="page"/>
        <w:t>Table 15</w:t>
      </w:r>
    </w:p>
    <w:p w:rsidR="00000000" w:rsidRDefault="00000000">
      <w:pPr>
        <w:pStyle w:val="Heading2"/>
      </w:pPr>
      <w:r>
        <w:t>Contribution rate by social insurance (1994-1999)</w:t>
      </w:r>
      <w:r>
        <w:br/>
        <w:t>(in percentage rate)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4" w:space="0" w:color="auto"/>
            </w:tcBorders>
          </w:tcPr>
          <w:p w:rsidR="00000000" w:rsidRDefault="00000000">
            <w:pPr>
              <w:spacing w:after="0"/>
              <w:jc w:val="center"/>
            </w:pPr>
          </w:p>
        </w:tc>
        <w:tc>
          <w:tcPr>
            <w:tcW w:w="1134" w:type="dxa"/>
            <w:tcBorders>
              <w:bottom w:val="single" w:sz="4" w:space="0" w:color="auto"/>
            </w:tcBorders>
          </w:tcPr>
          <w:p w:rsidR="00000000" w:rsidRDefault="00000000">
            <w:pPr>
              <w:spacing w:after="0"/>
              <w:jc w:val="center"/>
            </w:pPr>
            <w:r>
              <w:t>1994</w:t>
            </w:r>
          </w:p>
        </w:tc>
        <w:tc>
          <w:tcPr>
            <w:tcW w:w="1134" w:type="dxa"/>
            <w:tcBorders>
              <w:bottom w:val="single" w:sz="4" w:space="0" w:color="auto"/>
            </w:tcBorders>
          </w:tcPr>
          <w:p w:rsidR="00000000" w:rsidRDefault="00000000">
            <w:pPr>
              <w:spacing w:after="0"/>
              <w:jc w:val="center"/>
            </w:pPr>
            <w:r>
              <w:t>1995</w:t>
            </w:r>
          </w:p>
        </w:tc>
        <w:tc>
          <w:tcPr>
            <w:tcW w:w="1134" w:type="dxa"/>
            <w:tcBorders>
              <w:bottom w:val="single" w:sz="4" w:space="0" w:color="auto"/>
            </w:tcBorders>
          </w:tcPr>
          <w:p w:rsidR="00000000" w:rsidRDefault="00000000">
            <w:pPr>
              <w:spacing w:after="0"/>
              <w:jc w:val="center"/>
            </w:pPr>
            <w:r>
              <w:t>1996</w:t>
            </w:r>
          </w:p>
        </w:tc>
        <w:tc>
          <w:tcPr>
            <w:tcW w:w="1134" w:type="dxa"/>
            <w:tcBorders>
              <w:bottom w:val="single" w:sz="4" w:space="0" w:color="auto"/>
            </w:tcBorders>
          </w:tcPr>
          <w:p w:rsidR="00000000" w:rsidRDefault="00000000">
            <w:pPr>
              <w:spacing w:after="0"/>
              <w:jc w:val="center"/>
            </w:pPr>
            <w:r>
              <w:t>1997</w:t>
            </w:r>
          </w:p>
        </w:tc>
        <w:tc>
          <w:tcPr>
            <w:tcW w:w="1134" w:type="dxa"/>
            <w:tcBorders>
              <w:bottom w:val="single" w:sz="4" w:space="0" w:color="auto"/>
            </w:tcBorders>
          </w:tcPr>
          <w:p w:rsidR="00000000" w:rsidRDefault="00000000">
            <w:pPr>
              <w:spacing w:after="0"/>
              <w:jc w:val="center"/>
            </w:pPr>
            <w:r>
              <w:t>1998</w:t>
            </w:r>
          </w:p>
        </w:tc>
        <w:tc>
          <w:tcPr>
            <w:tcW w:w="1134"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after="0"/>
            </w:pPr>
            <w:r>
              <w:t>Sickness</w:t>
            </w:r>
          </w:p>
        </w:tc>
        <w:tc>
          <w:tcPr>
            <w:tcW w:w="1134" w:type="dxa"/>
            <w:tcBorders>
              <w:top w:val="single" w:sz="4" w:space="0" w:color="auto"/>
              <w:bottom w:val="nil"/>
            </w:tcBorders>
          </w:tcPr>
          <w:p w:rsidR="00000000" w:rsidRDefault="00000000">
            <w:pPr>
              <w:spacing w:after="0"/>
              <w:ind w:right="227"/>
              <w:jc w:val="right"/>
            </w:pPr>
            <w:r>
              <w:t>1.5</w:t>
            </w:r>
          </w:p>
        </w:tc>
        <w:tc>
          <w:tcPr>
            <w:tcW w:w="1134" w:type="dxa"/>
            <w:tcBorders>
              <w:top w:val="single" w:sz="4" w:space="0" w:color="auto"/>
              <w:bottom w:val="nil"/>
            </w:tcBorders>
          </w:tcPr>
          <w:p w:rsidR="00000000" w:rsidRDefault="00000000">
            <w:pPr>
              <w:spacing w:after="0"/>
              <w:ind w:right="227"/>
              <w:jc w:val="right"/>
            </w:pPr>
            <w:r>
              <w:t>1.5</w:t>
            </w:r>
          </w:p>
        </w:tc>
        <w:tc>
          <w:tcPr>
            <w:tcW w:w="1134" w:type="dxa"/>
            <w:tcBorders>
              <w:top w:val="single" w:sz="4" w:space="0" w:color="auto"/>
              <w:bottom w:val="nil"/>
            </w:tcBorders>
          </w:tcPr>
          <w:p w:rsidR="00000000" w:rsidRDefault="00000000">
            <w:pPr>
              <w:spacing w:after="0"/>
              <w:ind w:right="227"/>
              <w:jc w:val="right"/>
            </w:pPr>
            <w:r>
              <w:t>1.5</w:t>
            </w:r>
          </w:p>
        </w:tc>
        <w:tc>
          <w:tcPr>
            <w:tcW w:w="1134" w:type="dxa"/>
            <w:tcBorders>
              <w:top w:val="single" w:sz="4" w:space="0" w:color="auto"/>
              <w:bottom w:val="nil"/>
            </w:tcBorders>
          </w:tcPr>
          <w:p w:rsidR="00000000" w:rsidRDefault="00000000">
            <w:pPr>
              <w:spacing w:after="0"/>
              <w:ind w:right="227"/>
              <w:jc w:val="right"/>
            </w:pPr>
            <w:r>
              <w:t>1.5</w:t>
            </w:r>
          </w:p>
        </w:tc>
        <w:tc>
          <w:tcPr>
            <w:tcW w:w="1134" w:type="dxa"/>
            <w:tcBorders>
              <w:top w:val="single" w:sz="4" w:space="0" w:color="auto"/>
              <w:bottom w:val="nil"/>
            </w:tcBorders>
          </w:tcPr>
          <w:p w:rsidR="00000000" w:rsidRDefault="00000000">
            <w:pPr>
              <w:spacing w:after="0"/>
              <w:ind w:right="227"/>
              <w:jc w:val="right"/>
            </w:pPr>
            <w:r>
              <w:t>1.5</w:t>
            </w:r>
          </w:p>
        </w:tc>
        <w:tc>
          <w:tcPr>
            <w:tcW w:w="1134" w:type="dxa"/>
            <w:tcBorders>
              <w:top w:val="single" w:sz="4" w:space="0" w:color="auto"/>
              <w:bottom w:val="nil"/>
            </w:tcBorders>
          </w:tcPr>
          <w:p w:rsidR="00000000" w:rsidRDefault="00000000">
            <w:pPr>
              <w:spacing w:after="0"/>
              <w:ind w:right="227"/>
              <w:jc w:val="right"/>
            </w:pPr>
            <w:r>
              <w:t>1.5</w:t>
            </w:r>
          </w:p>
        </w:tc>
      </w:tr>
      <w:tr w:rsidR="00000000">
        <w:tblPrEx>
          <w:tblCellMar>
            <w:top w:w="0" w:type="dxa"/>
            <w:bottom w:w="0" w:type="dxa"/>
          </w:tblCellMar>
        </w:tblPrEx>
        <w:tc>
          <w:tcPr>
            <w:tcW w:w="2552" w:type="dxa"/>
            <w:tcBorders>
              <w:top w:val="nil"/>
            </w:tcBorders>
          </w:tcPr>
          <w:p w:rsidR="00000000" w:rsidRDefault="00000000">
            <w:pPr>
              <w:spacing w:after="0"/>
            </w:pPr>
            <w:r>
              <w:t>Maternity</w:t>
            </w:r>
          </w:p>
        </w:tc>
        <w:tc>
          <w:tcPr>
            <w:tcW w:w="1134" w:type="dxa"/>
            <w:tcBorders>
              <w:top w:val="nil"/>
            </w:tcBorders>
          </w:tcPr>
          <w:p w:rsidR="00000000" w:rsidRDefault="00000000">
            <w:pPr>
              <w:spacing w:after="0"/>
              <w:ind w:right="227"/>
              <w:jc w:val="right"/>
            </w:pPr>
            <w:r>
              <w:t>2.8</w:t>
            </w:r>
          </w:p>
        </w:tc>
        <w:tc>
          <w:tcPr>
            <w:tcW w:w="1134" w:type="dxa"/>
            <w:tcBorders>
              <w:top w:val="nil"/>
            </w:tcBorders>
          </w:tcPr>
          <w:p w:rsidR="00000000" w:rsidRDefault="00000000">
            <w:pPr>
              <w:spacing w:after="0"/>
              <w:ind w:right="227"/>
              <w:jc w:val="right"/>
            </w:pPr>
            <w:r>
              <w:t>2.8</w:t>
            </w:r>
          </w:p>
        </w:tc>
        <w:tc>
          <w:tcPr>
            <w:tcW w:w="1134" w:type="dxa"/>
            <w:tcBorders>
              <w:top w:val="nil"/>
            </w:tcBorders>
          </w:tcPr>
          <w:p w:rsidR="00000000" w:rsidRDefault="00000000">
            <w:pPr>
              <w:spacing w:after="0"/>
              <w:ind w:right="227"/>
              <w:jc w:val="right"/>
            </w:pPr>
            <w:r>
              <w:t>2.8</w:t>
            </w:r>
          </w:p>
        </w:tc>
        <w:tc>
          <w:tcPr>
            <w:tcW w:w="1134" w:type="dxa"/>
            <w:tcBorders>
              <w:top w:val="nil"/>
            </w:tcBorders>
          </w:tcPr>
          <w:p w:rsidR="00000000" w:rsidRDefault="00000000">
            <w:pPr>
              <w:spacing w:after="0"/>
              <w:ind w:right="227"/>
              <w:jc w:val="right"/>
            </w:pPr>
            <w:r>
              <w:t>2.8</w:t>
            </w:r>
          </w:p>
        </w:tc>
        <w:tc>
          <w:tcPr>
            <w:tcW w:w="1134" w:type="dxa"/>
            <w:tcBorders>
              <w:top w:val="nil"/>
            </w:tcBorders>
          </w:tcPr>
          <w:p w:rsidR="00000000" w:rsidRDefault="00000000">
            <w:pPr>
              <w:spacing w:after="0"/>
              <w:ind w:right="227"/>
              <w:jc w:val="right"/>
            </w:pPr>
            <w:r>
              <w:t>2.8</w:t>
            </w:r>
          </w:p>
        </w:tc>
        <w:tc>
          <w:tcPr>
            <w:tcW w:w="1134" w:type="dxa"/>
            <w:tcBorders>
              <w:top w:val="nil"/>
            </w:tcBorders>
          </w:tcPr>
          <w:p w:rsidR="00000000" w:rsidRDefault="00000000">
            <w:pPr>
              <w:spacing w:after="0"/>
              <w:ind w:right="227"/>
              <w:jc w:val="right"/>
            </w:pPr>
            <w:r>
              <w:t>2.8</w:t>
            </w:r>
          </w:p>
        </w:tc>
      </w:tr>
      <w:tr w:rsidR="00000000">
        <w:tblPrEx>
          <w:tblCellMar>
            <w:top w:w="0" w:type="dxa"/>
            <w:bottom w:w="0" w:type="dxa"/>
          </w:tblCellMar>
        </w:tblPrEx>
        <w:tc>
          <w:tcPr>
            <w:tcW w:w="2552" w:type="dxa"/>
          </w:tcPr>
          <w:p w:rsidR="00000000" w:rsidRDefault="00000000">
            <w:pPr>
              <w:spacing w:after="0"/>
            </w:pPr>
            <w:r>
              <w:t>Pensions (old-age, invalidity, survivors’)</w:t>
            </w:r>
          </w:p>
        </w:tc>
        <w:tc>
          <w:tcPr>
            <w:tcW w:w="1134" w:type="dxa"/>
          </w:tcPr>
          <w:p w:rsidR="00000000" w:rsidRDefault="00000000">
            <w:pPr>
              <w:spacing w:after="0"/>
              <w:ind w:right="227"/>
              <w:jc w:val="right"/>
            </w:pPr>
            <w:r>
              <w:t>31.7</w:t>
            </w:r>
          </w:p>
        </w:tc>
        <w:tc>
          <w:tcPr>
            <w:tcW w:w="1134" w:type="dxa"/>
          </w:tcPr>
          <w:p w:rsidR="00000000" w:rsidRDefault="00000000">
            <w:pPr>
              <w:spacing w:after="0"/>
              <w:ind w:right="227"/>
              <w:jc w:val="right"/>
            </w:pPr>
            <w:r>
              <w:t>31.7</w:t>
            </w:r>
          </w:p>
        </w:tc>
        <w:tc>
          <w:tcPr>
            <w:tcW w:w="1134" w:type="dxa"/>
          </w:tcPr>
          <w:p w:rsidR="00000000" w:rsidRDefault="00000000">
            <w:pPr>
              <w:spacing w:after="0"/>
              <w:ind w:right="227"/>
              <w:jc w:val="right"/>
            </w:pPr>
            <w:r>
              <w:t>31.7</w:t>
            </w:r>
          </w:p>
        </w:tc>
        <w:tc>
          <w:tcPr>
            <w:tcW w:w="1134" w:type="dxa"/>
          </w:tcPr>
          <w:p w:rsidR="00000000" w:rsidRDefault="00000000">
            <w:pPr>
              <w:spacing w:after="0"/>
              <w:ind w:right="227"/>
              <w:jc w:val="right"/>
            </w:pPr>
            <w:r>
              <w:t>31.7</w:t>
            </w:r>
          </w:p>
        </w:tc>
        <w:tc>
          <w:tcPr>
            <w:tcW w:w="1134" w:type="dxa"/>
          </w:tcPr>
          <w:p w:rsidR="00000000" w:rsidRDefault="00000000">
            <w:pPr>
              <w:spacing w:after="0"/>
              <w:ind w:right="227"/>
              <w:jc w:val="right"/>
            </w:pPr>
            <w:r>
              <w:t>31.7</w:t>
            </w:r>
          </w:p>
        </w:tc>
        <w:tc>
          <w:tcPr>
            <w:tcW w:w="1134" w:type="dxa"/>
          </w:tcPr>
          <w:p w:rsidR="00000000" w:rsidRDefault="00000000">
            <w:pPr>
              <w:spacing w:after="0"/>
              <w:ind w:right="227"/>
              <w:jc w:val="right"/>
            </w:pPr>
            <w:r>
              <w:t>31.7</w:t>
            </w:r>
          </w:p>
        </w:tc>
      </w:tr>
      <w:tr w:rsidR="00000000">
        <w:tblPrEx>
          <w:tblCellMar>
            <w:top w:w="0" w:type="dxa"/>
            <w:bottom w:w="0" w:type="dxa"/>
          </w:tblCellMar>
        </w:tblPrEx>
        <w:tc>
          <w:tcPr>
            <w:tcW w:w="2552" w:type="dxa"/>
          </w:tcPr>
          <w:p w:rsidR="00000000" w:rsidRDefault="00000000">
            <w:pPr>
              <w:spacing w:after="0"/>
            </w:pPr>
            <w:r>
              <w:t>Employment injuries and occupational diseases</w:t>
            </w:r>
          </w:p>
        </w:tc>
        <w:tc>
          <w:tcPr>
            <w:tcW w:w="1134" w:type="dxa"/>
          </w:tcPr>
          <w:p w:rsidR="00000000" w:rsidRDefault="00000000">
            <w:pPr>
              <w:spacing w:after="0"/>
              <w:ind w:right="227"/>
              <w:jc w:val="right"/>
            </w:pPr>
            <w:r>
              <w:t>0.5</w:t>
            </w:r>
          </w:p>
        </w:tc>
        <w:tc>
          <w:tcPr>
            <w:tcW w:w="1134" w:type="dxa"/>
          </w:tcPr>
          <w:p w:rsidR="00000000" w:rsidRDefault="00000000">
            <w:pPr>
              <w:spacing w:after="0"/>
              <w:ind w:right="227"/>
              <w:jc w:val="right"/>
            </w:pPr>
            <w:r>
              <w:t>0.5</w:t>
            </w:r>
          </w:p>
        </w:tc>
        <w:tc>
          <w:tcPr>
            <w:tcW w:w="1134" w:type="dxa"/>
          </w:tcPr>
          <w:p w:rsidR="00000000" w:rsidRDefault="00000000">
            <w:pPr>
              <w:spacing w:after="0"/>
              <w:ind w:right="227"/>
              <w:jc w:val="right"/>
            </w:pPr>
            <w:r>
              <w:t>0.5</w:t>
            </w:r>
          </w:p>
        </w:tc>
        <w:tc>
          <w:tcPr>
            <w:tcW w:w="1134" w:type="dxa"/>
          </w:tcPr>
          <w:p w:rsidR="00000000" w:rsidRDefault="00000000">
            <w:pPr>
              <w:spacing w:after="0"/>
              <w:ind w:right="227"/>
              <w:jc w:val="right"/>
            </w:pPr>
            <w:r>
              <w:t>0.5</w:t>
            </w:r>
          </w:p>
        </w:tc>
        <w:tc>
          <w:tcPr>
            <w:tcW w:w="1134" w:type="dxa"/>
          </w:tcPr>
          <w:p w:rsidR="00000000" w:rsidRDefault="00000000">
            <w:pPr>
              <w:spacing w:after="0"/>
              <w:ind w:right="227"/>
              <w:jc w:val="right"/>
            </w:pPr>
            <w:r>
              <w:t>0.5</w:t>
            </w:r>
          </w:p>
        </w:tc>
        <w:tc>
          <w:tcPr>
            <w:tcW w:w="1134" w:type="dxa"/>
          </w:tcPr>
          <w:p w:rsidR="00000000" w:rsidRDefault="00000000">
            <w:pPr>
              <w:spacing w:after="0"/>
              <w:ind w:right="227"/>
              <w:jc w:val="right"/>
            </w:pPr>
            <w:r>
              <w:t>0.5</w:t>
            </w:r>
          </w:p>
        </w:tc>
      </w:tr>
      <w:tr w:rsidR="00000000">
        <w:tblPrEx>
          <w:tblCellMar>
            <w:top w:w="0" w:type="dxa"/>
            <w:bottom w:w="0" w:type="dxa"/>
          </w:tblCellMar>
        </w:tblPrEx>
        <w:tc>
          <w:tcPr>
            <w:tcW w:w="2552" w:type="dxa"/>
            <w:tcBorders>
              <w:bottom w:val="single" w:sz="4" w:space="0" w:color="auto"/>
            </w:tcBorders>
          </w:tcPr>
          <w:p w:rsidR="00000000" w:rsidRDefault="00000000">
            <w:pPr>
              <w:spacing w:after="0"/>
            </w:pPr>
            <w:r>
              <w:t>Unemployment</w:t>
            </w:r>
          </w:p>
        </w:tc>
        <w:tc>
          <w:tcPr>
            <w:tcW w:w="1134" w:type="dxa"/>
            <w:tcBorders>
              <w:bottom w:val="single" w:sz="4" w:space="0" w:color="auto"/>
            </w:tcBorders>
          </w:tcPr>
          <w:p w:rsidR="00000000" w:rsidRDefault="00000000">
            <w:pPr>
              <w:spacing w:after="0"/>
              <w:ind w:right="227"/>
              <w:jc w:val="right"/>
            </w:pPr>
            <w:r>
              <w:t>6.0</w:t>
            </w:r>
          </w:p>
        </w:tc>
        <w:tc>
          <w:tcPr>
            <w:tcW w:w="1134" w:type="dxa"/>
            <w:tcBorders>
              <w:bottom w:val="single" w:sz="4" w:space="0" w:color="auto"/>
            </w:tcBorders>
          </w:tcPr>
          <w:p w:rsidR="00000000" w:rsidRDefault="00000000">
            <w:pPr>
              <w:spacing w:after="0"/>
              <w:ind w:right="227"/>
              <w:jc w:val="right"/>
            </w:pPr>
            <w:r>
              <w:t>6.0</w:t>
            </w:r>
          </w:p>
        </w:tc>
        <w:tc>
          <w:tcPr>
            <w:tcW w:w="1134" w:type="dxa"/>
            <w:tcBorders>
              <w:bottom w:val="single" w:sz="4" w:space="0" w:color="auto"/>
            </w:tcBorders>
          </w:tcPr>
          <w:p w:rsidR="00000000" w:rsidRDefault="00000000">
            <w:pPr>
              <w:spacing w:after="0"/>
              <w:ind w:right="227"/>
              <w:jc w:val="right"/>
            </w:pPr>
            <w:r>
              <w:t>6.0</w:t>
            </w:r>
          </w:p>
        </w:tc>
        <w:tc>
          <w:tcPr>
            <w:tcW w:w="1134" w:type="dxa"/>
            <w:tcBorders>
              <w:bottom w:val="single" w:sz="4" w:space="0" w:color="auto"/>
            </w:tcBorders>
          </w:tcPr>
          <w:p w:rsidR="00000000" w:rsidRDefault="00000000">
            <w:pPr>
              <w:spacing w:after="0"/>
              <w:ind w:right="227"/>
              <w:jc w:val="right"/>
            </w:pPr>
            <w:r>
              <w:t>6.0</w:t>
            </w:r>
          </w:p>
        </w:tc>
        <w:tc>
          <w:tcPr>
            <w:tcW w:w="1134" w:type="dxa"/>
            <w:tcBorders>
              <w:bottom w:val="single" w:sz="4" w:space="0" w:color="auto"/>
            </w:tcBorders>
          </w:tcPr>
          <w:p w:rsidR="00000000" w:rsidRDefault="00000000">
            <w:pPr>
              <w:spacing w:after="0"/>
              <w:ind w:right="227"/>
              <w:jc w:val="right"/>
            </w:pPr>
            <w:r>
              <w:t>6.0</w:t>
            </w:r>
          </w:p>
        </w:tc>
        <w:tc>
          <w:tcPr>
            <w:tcW w:w="1134" w:type="dxa"/>
            <w:tcBorders>
              <w:bottom w:val="single" w:sz="4" w:space="0" w:color="auto"/>
            </w:tcBorders>
          </w:tcPr>
          <w:p w:rsidR="00000000" w:rsidRDefault="00000000">
            <w:pPr>
              <w:spacing w:after="0"/>
              <w:ind w:right="227"/>
              <w:jc w:val="right"/>
            </w:pPr>
            <w:r>
              <w:t>6.0</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tabs>
                <w:tab w:val="left" w:pos="284"/>
              </w:tabs>
              <w:spacing w:after="0"/>
            </w:pPr>
            <w:r>
              <w:t xml:space="preserve">     Total</w:t>
            </w:r>
          </w:p>
        </w:tc>
        <w:tc>
          <w:tcPr>
            <w:tcW w:w="1134" w:type="dxa"/>
            <w:tcBorders>
              <w:top w:val="single" w:sz="4" w:space="0" w:color="auto"/>
              <w:bottom w:val="single" w:sz="4" w:space="0" w:color="auto"/>
            </w:tcBorders>
          </w:tcPr>
          <w:p w:rsidR="00000000" w:rsidRDefault="00000000">
            <w:pPr>
              <w:spacing w:after="0"/>
              <w:ind w:right="227"/>
              <w:jc w:val="right"/>
            </w:pPr>
            <w:r>
              <w:t>42.5</w:t>
            </w:r>
          </w:p>
        </w:tc>
        <w:tc>
          <w:tcPr>
            <w:tcW w:w="1134" w:type="dxa"/>
            <w:tcBorders>
              <w:top w:val="single" w:sz="4" w:space="0" w:color="auto"/>
              <w:bottom w:val="single" w:sz="4" w:space="0" w:color="auto"/>
            </w:tcBorders>
          </w:tcPr>
          <w:p w:rsidR="00000000" w:rsidRDefault="00000000">
            <w:pPr>
              <w:spacing w:after="0"/>
              <w:ind w:right="227"/>
              <w:jc w:val="right"/>
            </w:pPr>
            <w:r>
              <w:t>42.5</w:t>
            </w:r>
          </w:p>
        </w:tc>
        <w:tc>
          <w:tcPr>
            <w:tcW w:w="1134" w:type="dxa"/>
            <w:tcBorders>
              <w:top w:val="single" w:sz="4" w:space="0" w:color="auto"/>
              <w:bottom w:val="single" w:sz="4" w:space="0" w:color="auto"/>
            </w:tcBorders>
          </w:tcPr>
          <w:p w:rsidR="00000000" w:rsidRDefault="00000000">
            <w:pPr>
              <w:spacing w:after="0"/>
              <w:ind w:right="227"/>
              <w:jc w:val="right"/>
            </w:pPr>
            <w:r>
              <w:t>42.5</w:t>
            </w:r>
          </w:p>
        </w:tc>
        <w:tc>
          <w:tcPr>
            <w:tcW w:w="1134" w:type="dxa"/>
            <w:tcBorders>
              <w:top w:val="single" w:sz="4" w:space="0" w:color="auto"/>
              <w:bottom w:val="single" w:sz="4" w:space="0" w:color="auto"/>
            </w:tcBorders>
          </w:tcPr>
          <w:p w:rsidR="00000000" w:rsidRDefault="00000000">
            <w:pPr>
              <w:spacing w:after="0"/>
              <w:ind w:right="227"/>
              <w:jc w:val="right"/>
            </w:pPr>
            <w:r>
              <w:t>42.5</w:t>
            </w:r>
          </w:p>
        </w:tc>
        <w:tc>
          <w:tcPr>
            <w:tcW w:w="1134" w:type="dxa"/>
            <w:tcBorders>
              <w:top w:val="single" w:sz="4" w:space="0" w:color="auto"/>
              <w:bottom w:val="single" w:sz="4" w:space="0" w:color="auto"/>
            </w:tcBorders>
          </w:tcPr>
          <w:p w:rsidR="00000000" w:rsidRDefault="00000000">
            <w:pPr>
              <w:spacing w:after="0"/>
              <w:ind w:right="227"/>
              <w:jc w:val="right"/>
            </w:pPr>
            <w:r>
              <w:t>42.5</w:t>
            </w:r>
          </w:p>
        </w:tc>
        <w:tc>
          <w:tcPr>
            <w:tcW w:w="1134" w:type="dxa"/>
            <w:tcBorders>
              <w:top w:val="single" w:sz="4" w:space="0" w:color="auto"/>
              <w:bottom w:val="single" w:sz="4" w:space="0" w:color="auto"/>
            </w:tcBorders>
          </w:tcPr>
          <w:p w:rsidR="00000000" w:rsidRDefault="00000000">
            <w:pPr>
              <w:spacing w:after="0"/>
              <w:ind w:right="227"/>
              <w:jc w:val="right"/>
            </w:pPr>
            <w:r>
              <w:t>42.5</w:t>
            </w:r>
          </w:p>
        </w:tc>
      </w:tr>
    </w:tbl>
    <w:p w:rsidR="00000000" w:rsidRDefault="00000000">
      <w:pPr>
        <w:pStyle w:val="Heading2"/>
        <w:spacing w:before="360"/>
      </w:pPr>
      <w:r>
        <w:t>Table 16</w:t>
      </w:r>
    </w:p>
    <w:p w:rsidR="00000000" w:rsidRDefault="00000000">
      <w:pPr>
        <w:pStyle w:val="Heading2"/>
      </w:pPr>
      <w:r>
        <w:t>Average monthly pension during 2002</w:t>
      </w:r>
      <w:r>
        <w:br/>
        <w:t>(in leks)</w:t>
      </w:r>
    </w:p>
    <w:tbl>
      <w:tblPr>
        <w:tblW w:w="0" w:type="auto"/>
        <w:jc w:val="center"/>
        <w:tblInd w:w="152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47"/>
        <w:gridCol w:w="3048"/>
      </w:tblGrid>
      <w:tr w:rsidR="00000000">
        <w:tblPrEx>
          <w:tblCellMar>
            <w:top w:w="0" w:type="dxa"/>
            <w:bottom w:w="0" w:type="dxa"/>
          </w:tblCellMar>
        </w:tblPrEx>
        <w:trPr>
          <w:jc w:val="center"/>
        </w:trPr>
        <w:tc>
          <w:tcPr>
            <w:tcW w:w="3047" w:type="dxa"/>
          </w:tcPr>
          <w:p w:rsidR="00000000" w:rsidRDefault="00000000">
            <w:pPr>
              <w:spacing w:after="0"/>
            </w:pPr>
            <w:r>
              <w:t>State pensions:</w:t>
            </w:r>
          </w:p>
        </w:tc>
        <w:tc>
          <w:tcPr>
            <w:tcW w:w="3048" w:type="dxa"/>
          </w:tcPr>
          <w:p w:rsidR="00000000" w:rsidRDefault="00000000">
            <w:pPr>
              <w:spacing w:after="0"/>
              <w:ind w:right="1134"/>
              <w:jc w:val="right"/>
            </w:pPr>
          </w:p>
        </w:tc>
      </w:tr>
      <w:tr w:rsidR="00000000">
        <w:tblPrEx>
          <w:tblCellMar>
            <w:top w:w="0" w:type="dxa"/>
            <w:bottom w:w="0" w:type="dxa"/>
          </w:tblCellMar>
        </w:tblPrEx>
        <w:trPr>
          <w:jc w:val="center"/>
        </w:trPr>
        <w:tc>
          <w:tcPr>
            <w:tcW w:w="3047" w:type="dxa"/>
          </w:tcPr>
          <w:p w:rsidR="00000000" w:rsidRDefault="00000000">
            <w:pPr>
              <w:spacing w:after="0"/>
            </w:pPr>
            <w:r>
              <w:t xml:space="preserve">  Retirement pension</w:t>
            </w:r>
          </w:p>
        </w:tc>
        <w:tc>
          <w:tcPr>
            <w:tcW w:w="3048" w:type="dxa"/>
          </w:tcPr>
          <w:p w:rsidR="00000000" w:rsidRDefault="00000000">
            <w:pPr>
              <w:spacing w:after="0"/>
              <w:ind w:right="1134"/>
              <w:jc w:val="right"/>
            </w:pPr>
            <w:r>
              <w:t>6 446</w:t>
            </w:r>
          </w:p>
        </w:tc>
      </w:tr>
      <w:tr w:rsidR="00000000">
        <w:tblPrEx>
          <w:tblCellMar>
            <w:top w:w="0" w:type="dxa"/>
            <w:bottom w:w="0" w:type="dxa"/>
          </w:tblCellMar>
        </w:tblPrEx>
        <w:trPr>
          <w:jc w:val="center"/>
        </w:trPr>
        <w:tc>
          <w:tcPr>
            <w:tcW w:w="3047" w:type="dxa"/>
          </w:tcPr>
          <w:p w:rsidR="00000000" w:rsidRDefault="00000000">
            <w:pPr>
              <w:spacing w:after="0"/>
            </w:pPr>
            <w:r>
              <w:t xml:space="preserve">  Invalidity pension</w:t>
            </w:r>
          </w:p>
        </w:tc>
        <w:tc>
          <w:tcPr>
            <w:tcW w:w="3048" w:type="dxa"/>
          </w:tcPr>
          <w:p w:rsidR="00000000" w:rsidRDefault="00000000">
            <w:pPr>
              <w:spacing w:after="0"/>
              <w:ind w:right="1134"/>
              <w:jc w:val="right"/>
            </w:pPr>
            <w:r>
              <w:t>4 842</w:t>
            </w:r>
          </w:p>
        </w:tc>
      </w:tr>
      <w:tr w:rsidR="00000000">
        <w:tblPrEx>
          <w:tblCellMar>
            <w:top w:w="0" w:type="dxa"/>
            <w:bottom w:w="0" w:type="dxa"/>
          </w:tblCellMar>
        </w:tblPrEx>
        <w:trPr>
          <w:jc w:val="center"/>
        </w:trPr>
        <w:tc>
          <w:tcPr>
            <w:tcW w:w="3047" w:type="dxa"/>
          </w:tcPr>
          <w:p w:rsidR="00000000" w:rsidRDefault="00000000">
            <w:pPr>
              <w:spacing w:after="0"/>
            </w:pPr>
            <w:r>
              <w:t xml:space="preserve">  Survivor pension</w:t>
            </w:r>
          </w:p>
        </w:tc>
        <w:tc>
          <w:tcPr>
            <w:tcW w:w="3048" w:type="dxa"/>
          </w:tcPr>
          <w:p w:rsidR="00000000" w:rsidRDefault="00000000">
            <w:pPr>
              <w:spacing w:after="0"/>
              <w:ind w:right="1134"/>
              <w:jc w:val="right"/>
            </w:pPr>
            <w:r>
              <w:t>3 176</w:t>
            </w:r>
          </w:p>
        </w:tc>
      </w:tr>
      <w:tr w:rsidR="00000000">
        <w:tblPrEx>
          <w:tblCellMar>
            <w:top w:w="0" w:type="dxa"/>
            <w:bottom w:w="0" w:type="dxa"/>
          </w:tblCellMar>
        </w:tblPrEx>
        <w:trPr>
          <w:jc w:val="center"/>
        </w:trPr>
        <w:tc>
          <w:tcPr>
            <w:tcW w:w="3047" w:type="dxa"/>
          </w:tcPr>
          <w:p w:rsidR="00000000" w:rsidRDefault="00000000">
            <w:pPr>
              <w:spacing w:after="0"/>
            </w:pPr>
            <w:r>
              <w:t>Rural pensions:</w:t>
            </w:r>
          </w:p>
        </w:tc>
        <w:tc>
          <w:tcPr>
            <w:tcW w:w="3048" w:type="dxa"/>
          </w:tcPr>
          <w:p w:rsidR="00000000" w:rsidRDefault="00000000">
            <w:pPr>
              <w:spacing w:after="0"/>
              <w:ind w:right="1134"/>
              <w:jc w:val="right"/>
            </w:pPr>
          </w:p>
        </w:tc>
      </w:tr>
      <w:tr w:rsidR="00000000">
        <w:tblPrEx>
          <w:tblCellMar>
            <w:top w:w="0" w:type="dxa"/>
            <w:bottom w:w="0" w:type="dxa"/>
          </w:tblCellMar>
        </w:tblPrEx>
        <w:trPr>
          <w:jc w:val="center"/>
        </w:trPr>
        <w:tc>
          <w:tcPr>
            <w:tcW w:w="3047" w:type="dxa"/>
          </w:tcPr>
          <w:p w:rsidR="00000000" w:rsidRDefault="00000000">
            <w:pPr>
              <w:spacing w:after="0"/>
            </w:pPr>
            <w:r>
              <w:t xml:space="preserve">  Retirement pension</w:t>
            </w:r>
          </w:p>
        </w:tc>
        <w:tc>
          <w:tcPr>
            <w:tcW w:w="3048" w:type="dxa"/>
          </w:tcPr>
          <w:p w:rsidR="00000000" w:rsidRDefault="00000000">
            <w:pPr>
              <w:spacing w:after="0"/>
              <w:ind w:right="1134"/>
              <w:jc w:val="right"/>
            </w:pPr>
            <w:r>
              <w:t>1 575</w:t>
            </w:r>
          </w:p>
        </w:tc>
      </w:tr>
      <w:tr w:rsidR="00000000">
        <w:tblPrEx>
          <w:tblCellMar>
            <w:top w:w="0" w:type="dxa"/>
            <w:bottom w:w="0" w:type="dxa"/>
          </w:tblCellMar>
        </w:tblPrEx>
        <w:trPr>
          <w:jc w:val="center"/>
        </w:trPr>
        <w:tc>
          <w:tcPr>
            <w:tcW w:w="3047" w:type="dxa"/>
          </w:tcPr>
          <w:p w:rsidR="00000000" w:rsidRDefault="00000000">
            <w:pPr>
              <w:spacing w:after="0"/>
            </w:pPr>
            <w:r>
              <w:t xml:space="preserve">  Invalidity pension</w:t>
            </w:r>
          </w:p>
        </w:tc>
        <w:tc>
          <w:tcPr>
            <w:tcW w:w="3048" w:type="dxa"/>
          </w:tcPr>
          <w:p w:rsidR="00000000" w:rsidRDefault="00000000">
            <w:pPr>
              <w:spacing w:after="0"/>
              <w:ind w:right="1134"/>
              <w:jc w:val="right"/>
            </w:pPr>
            <w:r>
              <w:t>1 617</w:t>
            </w:r>
          </w:p>
        </w:tc>
      </w:tr>
      <w:tr w:rsidR="00000000">
        <w:tblPrEx>
          <w:tblCellMar>
            <w:top w:w="0" w:type="dxa"/>
            <w:bottom w:w="0" w:type="dxa"/>
          </w:tblCellMar>
        </w:tblPrEx>
        <w:trPr>
          <w:jc w:val="center"/>
        </w:trPr>
        <w:tc>
          <w:tcPr>
            <w:tcW w:w="3047" w:type="dxa"/>
          </w:tcPr>
          <w:p w:rsidR="00000000" w:rsidRDefault="00000000">
            <w:pPr>
              <w:spacing w:after="0"/>
            </w:pPr>
            <w:r>
              <w:t xml:space="preserve">  Survivor pension</w:t>
            </w:r>
          </w:p>
        </w:tc>
        <w:tc>
          <w:tcPr>
            <w:tcW w:w="3048" w:type="dxa"/>
          </w:tcPr>
          <w:p w:rsidR="00000000" w:rsidRDefault="00000000">
            <w:pPr>
              <w:spacing w:after="0"/>
              <w:ind w:right="1134"/>
              <w:jc w:val="right"/>
            </w:pPr>
            <w:r>
              <w:t>731</w:t>
            </w:r>
          </w:p>
        </w:tc>
      </w:tr>
    </w:tbl>
    <w:p w:rsidR="00000000" w:rsidRDefault="00000000">
      <w:pPr>
        <w:spacing w:before="240" w:after="360"/>
        <w:ind w:left="2160"/>
      </w:pPr>
      <w:r>
        <w:rPr>
          <w:i/>
          <w:iCs/>
        </w:rPr>
        <w:t>Source</w:t>
      </w:r>
      <w:r>
        <w:t>:  Social Insurance Institute.</w:t>
      </w:r>
    </w:p>
    <w:p w:rsidR="00000000" w:rsidRDefault="00000000">
      <w:pPr>
        <w:pStyle w:val="Heading2"/>
      </w:pPr>
      <w:r>
        <w:t>Table 17</w:t>
      </w:r>
    </w:p>
    <w:p w:rsidR="00000000" w:rsidRDefault="00000000">
      <w:pPr>
        <w:pStyle w:val="Heading2"/>
      </w:pPr>
      <w:r>
        <w:t>Minimum and maximum monthly retirement pension, 2002</w:t>
      </w:r>
    </w:p>
    <w:tbl>
      <w:tblPr>
        <w:tblW w:w="0" w:type="auto"/>
        <w:jc w:val="center"/>
        <w:tblInd w:w="152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47"/>
        <w:gridCol w:w="3048"/>
      </w:tblGrid>
      <w:tr w:rsidR="00000000">
        <w:tblPrEx>
          <w:tblCellMar>
            <w:top w:w="0" w:type="dxa"/>
            <w:bottom w:w="0" w:type="dxa"/>
          </w:tblCellMar>
        </w:tblPrEx>
        <w:trPr>
          <w:jc w:val="center"/>
        </w:trPr>
        <w:tc>
          <w:tcPr>
            <w:tcW w:w="3047" w:type="dxa"/>
          </w:tcPr>
          <w:p w:rsidR="00000000" w:rsidRDefault="00000000">
            <w:pPr>
              <w:spacing w:before="20" w:after="20"/>
            </w:pPr>
            <w:r>
              <w:t>Urban</w:t>
            </w:r>
          </w:p>
        </w:tc>
        <w:tc>
          <w:tcPr>
            <w:tcW w:w="3048" w:type="dxa"/>
          </w:tcPr>
          <w:p w:rsidR="00000000" w:rsidRDefault="00000000">
            <w:pPr>
              <w:spacing w:before="20" w:after="20"/>
              <w:ind w:right="1134"/>
              <w:jc w:val="right"/>
            </w:pPr>
          </w:p>
        </w:tc>
      </w:tr>
      <w:tr w:rsidR="00000000">
        <w:tblPrEx>
          <w:tblCellMar>
            <w:top w:w="0" w:type="dxa"/>
            <w:bottom w:w="0" w:type="dxa"/>
          </w:tblCellMar>
        </w:tblPrEx>
        <w:trPr>
          <w:jc w:val="center"/>
        </w:trPr>
        <w:tc>
          <w:tcPr>
            <w:tcW w:w="3047" w:type="dxa"/>
          </w:tcPr>
          <w:p w:rsidR="00000000" w:rsidRDefault="00000000">
            <w:pPr>
              <w:spacing w:before="20" w:after="20"/>
            </w:pPr>
            <w:r>
              <w:t xml:space="preserve">  Minimum pension</w:t>
            </w:r>
          </w:p>
        </w:tc>
        <w:tc>
          <w:tcPr>
            <w:tcW w:w="3048" w:type="dxa"/>
          </w:tcPr>
          <w:p w:rsidR="00000000" w:rsidRDefault="00000000">
            <w:pPr>
              <w:spacing w:before="20" w:after="20"/>
              <w:ind w:right="1134"/>
              <w:jc w:val="right"/>
            </w:pPr>
            <w:r>
              <w:t>6 116</w:t>
            </w:r>
          </w:p>
        </w:tc>
      </w:tr>
      <w:tr w:rsidR="00000000">
        <w:tblPrEx>
          <w:tblCellMar>
            <w:top w:w="0" w:type="dxa"/>
            <w:bottom w:w="0" w:type="dxa"/>
          </w:tblCellMar>
        </w:tblPrEx>
        <w:trPr>
          <w:jc w:val="center"/>
        </w:trPr>
        <w:tc>
          <w:tcPr>
            <w:tcW w:w="3047" w:type="dxa"/>
          </w:tcPr>
          <w:p w:rsidR="00000000" w:rsidRDefault="00000000">
            <w:pPr>
              <w:spacing w:before="20" w:after="20"/>
            </w:pPr>
            <w:r>
              <w:t xml:space="preserve">  Maximum pension</w:t>
            </w:r>
          </w:p>
        </w:tc>
        <w:tc>
          <w:tcPr>
            <w:tcW w:w="3048" w:type="dxa"/>
          </w:tcPr>
          <w:p w:rsidR="00000000" w:rsidRDefault="00000000">
            <w:pPr>
              <w:spacing w:before="20" w:after="20"/>
              <w:ind w:right="1134"/>
              <w:jc w:val="right"/>
            </w:pPr>
            <w:r>
              <w:t>12 232</w:t>
            </w:r>
          </w:p>
        </w:tc>
      </w:tr>
      <w:tr w:rsidR="00000000">
        <w:tblPrEx>
          <w:tblCellMar>
            <w:top w:w="0" w:type="dxa"/>
            <w:bottom w:w="0" w:type="dxa"/>
          </w:tblCellMar>
        </w:tblPrEx>
        <w:trPr>
          <w:jc w:val="center"/>
        </w:trPr>
        <w:tc>
          <w:tcPr>
            <w:tcW w:w="3047" w:type="dxa"/>
          </w:tcPr>
          <w:p w:rsidR="00000000" w:rsidRDefault="00000000">
            <w:pPr>
              <w:spacing w:before="20" w:after="20"/>
            </w:pPr>
            <w:r>
              <w:t>Rural</w:t>
            </w:r>
          </w:p>
        </w:tc>
        <w:tc>
          <w:tcPr>
            <w:tcW w:w="3048" w:type="dxa"/>
          </w:tcPr>
          <w:p w:rsidR="00000000" w:rsidRDefault="00000000">
            <w:pPr>
              <w:spacing w:before="20" w:after="20"/>
              <w:ind w:right="1134"/>
              <w:jc w:val="right"/>
            </w:pPr>
            <w:r>
              <w:t>2 158</w:t>
            </w:r>
          </w:p>
        </w:tc>
      </w:tr>
    </w:tbl>
    <w:p w:rsidR="00000000" w:rsidRDefault="00000000">
      <w:pPr>
        <w:pStyle w:val="FootnoteText"/>
        <w:spacing w:before="240" w:after="360"/>
        <w:ind w:left="2160"/>
      </w:pPr>
      <w:r>
        <w:rPr>
          <w:i/>
          <w:iCs/>
        </w:rPr>
        <w:t>Source</w:t>
      </w:r>
      <w:r>
        <w:t>:  Social Insurance Institute.</w:t>
      </w:r>
    </w:p>
    <w:p w:rsidR="00000000" w:rsidRDefault="00000000">
      <w:pPr>
        <w:pStyle w:val="Heading2"/>
      </w:pPr>
      <w:r>
        <w:t>Table 18</w:t>
      </w:r>
    </w:p>
    <w:p w:rsidR="00000000" w:rsidRDefault="00000000">
      <w:pPr>
        <w:pStyle w:val="Heading2"/>
      </w:pPr>
      <w:r>
        <w:t>Invalidity and survivor State pensions due to accidents at work</w:t>
      </w:r>
      <w:r>
        <w:br/>
        <w:t>and occupational diseases (year 2002-end of period)</w:t>
      </w:r>
    </w:p>
    <w:tbl>
      <w:tblPr>
        <w:tblW w:w="0" w:type="auto"/>
        <w:jc w:val="center"/>
        <w:tblInd w:w="-71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793"/>
        <w:gridCol w:w="1655"/>
        <w:gridCol w:w="1656"/>
      </w:tblGrid>
      <w:tr w:rsidR="00000000">
        <w:tblPrEx>
          <w:tblCellMar>
            <w:top w:w="0" w:type="dxa"/>
            <w:bottom w:w="0" w:type="dxa"/>
          </w:tblCellMar>
        </w:tblPrEx>
        <w:trPr>
          <w:jc w:val="center"/>
        </w:trPr>
        <w:tc>
          <w:tcPr>
            <w:tcW w:w="4793" w:type="dxa"/>
            <w:tcBorders>
              <w:bottom w:val="single" w:sz="4" w:space="0" w:color="auto"/>
            </w:tcBorders>
          </w:tcPr>
          <w:p w:rsidR="00000000" w:rsidRDefault="00000000">
            <w:pPr>
              <w:spacing w:after="0"/>
              <w:jc w:val="center"/>
            </w:pPr>
          </w:p>
        </w:tc>
        <w:tc>
          <w:tcPr>
            <w:tcW w:w="1655" w:type="dxa"/>
            <w:tcBorders>
              <w:bottom w:val="single" w:sz="4" w:space="0" w:color="auto"/>
            </w:tcBorders>
          </w:tcPr>
          <w:p w:rsidR="00000000" w:rsidRDefault="00000000">
            <w:pPr>
              <w:spacing w:after="0"/>
              <w:jc w:val="center"/>
            </w:pPr>
            <w:r>
              <w:t>Total</w:t>
            </w:r>
          </w:p>
        </w:tc>
        <w:tc>
          <w:tcPr>
            <w:tcW w:w="1656"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jc w:val="center"/>
        </w:trPr>
        <w:tc>
          <w:tcPr>
            <w:tcW w:w="4793" w:type="dxa"/>
            <w:tcBorders>
              <w:top w:val="single" w:sz="4" w:space="0" w:color="auto"/>
              <w:bottom w:val="nil"/>
            </w:tcBorders>
          </w:tcPr>
          <w:p w:rsidR="00000000" w:rsidRDefault="00000000">
            <w:pPr>
              <w:spacing w:after="0"/>
            </w:pPr>
            <w:r>
              <w:t>Total number of State invalidity pensions</w:t>
            </w:r>
          </w:p>
        </w:tc>
        <w:tc>
          <w:tcPr>
            <w:tcW w:w="1655" w:type="dxa"/>
            <w:tcBorders>
              <w:top w:val="single" w:sz="4" w:space="0" w:color="auto"/>
              <w:bottom w:val="nil"/>
            </w:tcBorders>
          </w:tcPr>
          <w:p w:rsidR="00000000" w:rsidRDefault="00000000">
            <w:pPr>
              <w:spacing w:after="0"/>
              <w:ind w:right="397"/>
              <w:jc w:val="right"/>
            </w:pPr>
            <w:r>
              <w:t>27 290</w:t>
            </w:r>
          </w:p>
        </w:tc>
        <w:tc>
          <w:tcPr>
            <w:tcW w:w="1656" w:type="dxa"/>
            <w:tcBorders>
              <w:top w:val="single" w:sz="4" w:space="0" w:color="auto"/>
              <w:bottom w:val="nil"/>
            </w:tcBorders>
          </w:tcPr>
          <w:p w:rsidR="00000000" w:rsidRDefault="00000000">
            <w:pPr>
              <w:spacing w:after="0"/>
              <w:ind w:right="510"/>
              <w:jc w:val="right"/>
            </w:pPr>
            <w:r>
              <w:t>6 848</w:t>
            </w:r>
          </w:p>
        </w:tc>
      </w:tr>
      <w:tr w:rsidR="00000000">
        <w:tblPrEx>
          <w:tblCellMar>
            <w:top w:w="0" w:type="dxa"/>
            <w:bottom w:w="0" w:type="dxa"/>
          </w:tblCellMar>
        </w:tblPrEx>
        <w:trPr>
          <w:jc w:val="center"/>
        </w:trPr>
        <w:tc>
          <w:tcPr>
            <w:tcW w:w="4793" w:type="dxa"/>
            <w:tcBorders>
              <w:top w:val="nil"/>
            </w:tcBorders>
          </w:tcPr>
          <w:p w:rsidR="00000000" w:rsidRDefault="00000000">
            <w:pPr>
              <w:spacing w:after="0"/>
            </w:pPr>
            <w:r>
              <w:t>of which:</w:t>
            </w:r>
          </w:p>
        </w:tc>
        <w:tc>
          <w:tcPr>
            <w:tcW w:w="1655" w:type="dxa"/>
            <w:tcBorders>
              <w:top w:val="nil"/>
            </w:tcBorders>
          </w:tcPr>
          <w:p w:rsidR="00000000" w:rsidRDefault="00000000">
            <w:pPr>
              <w:spacing w:after="0"/>
              <w:ind w:right="397"/>
              <w:jc w:val="right"/>
            </w:pPr>
          </w:p>
        </w:tc>
        <w:tc>
          <w:tcPr>
            <w:tcW w:w="1656" w:type="dxa"/>
            <w:tcBorders>
              <w:top w:val="nil"/>
            </w:tcBorders>
          </w:tcPr>
          <w:p w:rsidR="00000000" w:rsidRDefault="00000000">
            <w:pPr>
              <w:spacing w:after="0"/>
              <w:ind w:right="510"/>
              <w:jc w:val="right"/>
            </w:pPr>
          </w:p>
        </w:tc>
      </w:tr>
      <w:tr w:rsidR="00000000">
        <w:tblPrEx>
          <w:tblCellMar>
            <w:top w:w="0" w:type="dxa"/>
            <w:bottom w:w="0" w:type="dxa"/>
          </w:tblCellMar>
        </w:tblPrEx>
        <w:trPr>
          <w:jc w:val="center"/>
        </w:trPr>
        <w:tc>
          <w:tcPr>
            <w:tcW w:w="4793" w:type="dxa"/>
          </w:tcPr>
          <w:p w:rsidR="00000000" w:rsidRDefault="00000000">
            <w:pPr>
              <w:spacing w:after="0"/>
            </w:pPr>
            <w:r>
              <w:t>Number of invalidity pensions due to accidents at work and occupational diseases</w:t>
            </w:r>
          </w:p>
        </w:tc>
        <w:tc>
          <w:tcPr>
            <w:tcW w:w="1655" w:type="dxa"/>
          </w:tcPr>
          <w:p w:rsidR="00000000" w:rsidRDefault="00000000">
            <w:pPr>
              <w:spacing w:after="0"/>
              <w:ind w:right="397"/>
              <w:jc w:val="right"/>
            </w:pPr>
            <w:r>
              <w:t>2 892</w:t>
            </w:r>
          </w:p>
        </w:tc>
        <w:tc>
          <w:tcPr>
            <w:tcW w:w="1656" w:type="dxa"/>
          </w:tcPr>
          <w:p w:rsidR="00000000" w:rsidRDefault="00000000">
            <w:pPr>
              <w:spacing w:after="0"/>
              <w:ind w:right="510"/>
              <w:jc w:val="right"/>
            </w:pPr>
            <w:r>
              <w:t>287</w:t>
            </w:r>
          </w:p>
        </w:tc>
      </w:tr>
      <w:tr w:rsidR="00000000">
        <w:tblPrEx>
          <w:tblCellMar>
            <w:top w:w="0" w:type="dxa"/>
            <w:bottom w:w="0" w:type="dxa"/>
          </w:tblCellMar>
        </w:tblPrEx>
        <w:trPr>
          <w:jc w:val="center"/>
        </w:trPr>
        <w:tc>
          <w:tcPr>
            <w:tcW w:w="4793" w:type="dxa"/>
          </w:tcPr>
          <w:p w:rsidR="00000000" w:rsidRDefault="00000000">
            <w:pPr>
              <w:spacing w:after="0"/>
            </w:pPr>
            <w:r>
              <w:t xml:space="preserve">  Permanent</w:t>
            </w:r>
          </w:p>
        </w:tc>
        <w:tc>
          <w:tcPr>
            <w:tcW w:w="1655" w:type="dxa"/>
          </w:tcPr>
          <w:p w:rsidR="00000000" w:rsidRDefault="00000000">
            <w:pPr>
              <w:spacing w:after="0"/>
              <w:ind w:right="397"/>
              <w:jc w:val="right"/>
            </w:pPr>
            <w:r>
              <w:t>488</w:t>
            </w:r>
          </w:p>
        </w:tc>
        <w:tc>
          <w:tcPr>
            <w:tcW w:w="1656" w:type="dxa"/>
          </w:tcPr>
          <w:p w:rsidR="00000000" w:rsidRDefault="00000000">
            <w:pPr>
              <w:spacing w:after="0"/>
              <w:ind w:right="510"/>
              <w:jc w:val="right"/>
            </w:pPr>
            <w:r>
              <w:t>77</w:t>
            </w:r>
          </w:p>
        </w:tc>
      </w:tr>
      <w:tr w:rsidR="00000000">
        <w:tblPrEx>
          <w:tblCellMar>
            <w:top w:w="0" w:type="dxa"/>
            <w:bottom w:w="0" w:type="dxa"/>
          </w:tblCellMar>
        </w:tblPrEx>
        <w:trPr>
          <w:jc w:val="center"/>
        </w:trPr>
        <w:tc>
          <w:tcPr>
            <w:tcW w:w="4793" w:type="dxa"/>
          </w:tcPr>
          <w:p w:rsidR="00000000" w:rsidRDefault="00000000">
            <w:pPr>
              <w:spacing w:after="0"/>
            </w:pPr>
            <w:r>
              <w:t xml:space="preserve">  10-32 per cent invalidity</w:t>
            </w:r>
          </w:p>
        </w:tc>
        <w:tc>
          <w:tcPr>
            <w:tcW w:w="1655" w:type="dxa"/>
          </w:tcPr>
          <w:p w:rsidR="00000000" w:rsidRDefault="00000000">
            <w:pPr>
              <w:spacing w:after="0"/>
              <w:ind w:right="397"/>
              <w:jc w:val="right"/>
            </w:pPr>
            <w:r>
              <w:t>84</w:t>
            </w:r>
          </w:p>
        </w:tc>
        <w:tc>
          <w:tcPr>
            <w:tcW w:w="1656" w:type="dxa"/>
          </w:tcPr>
          <w:p w:rsidR="00000000" w:rsidRDefault="00000000">
            <w:pPr>
              <w:spacing w:after="0"/>
              <w:ind w:right="510"/>
              <w:jc w:val="right"/>
            </w:pPr>
            <w:r>
              <w:t>7</w:t>
            </w:r>
          </w:p>
        </w:tc>
      </w:tr>
      <w:tr w:rsidR="00000000">
        <w:tblPrEx>
          <w:tblCellMar>
            <w:top w:w="0" w:type="dxa"/>
            <w:bottom w:w="0" w:type="dxa"/>
          </w:tblCellMar>
        </w:tblPrEx>
        <w:trPr>
          <w:jc w:val="center"/>
        </w:trPr>
        <w:tc>
          <w:tcPr>
            <w:tcW w:w="4793" w:type="dxa"/>
          </w:tcPr>
          <w:p w:rsidR="00000000" w:rsidRDefault="00000000">
            <w:pPr>
              <w:spacing w:after="0"/>
            </w:pPr>
            <w:r>
              <w:t xml:space="preserve">  33-66 per cent invalidity</w:t>
            </w:r>
          </w:p>
        </w:tc>
        <w:tc>
          <w:tcPr>
            <w:tcW w:w="1655" w:type="dxa"/>
          </w:tcPr>
          <w:p w:rsidR="00000000" w:rsidRDefault="00000000">
            <w:pPr>
              <w:spacing w:after="0"/>
              <w:ind w:right="397"/>
              <w:jc w:val="right"/>
            </w:pPr>
            <w:r>
              <w:t>1 818</w:t>
            </w:r>
          </w:p>
        </w:tc>
        <w:tc>
          <w:tcPr>
            <w:tcW w:w="1656" w:type="dxa"/>
          </w:tcPr>
          <w:p w:rsidR="00000000" w:rsidRDefault="00000000">
            <w:pPr>
              <w:spacing w:after="0"/>
              <w:ind w:right="510"/>
              <w:jc w:val="right"/>
            </w:pPr>
            <w:r>
              <w:t>166</w:t>
            </w:r>
          </w:p>
        </w:tc>
      </w:tr>
      <w:tr w:rsidR="00000000">
        <w:tblPrEx>
          <w:tblCellMar>
            <w:top w:w="0" w:type="dxa"/>
            <w:bottom w:w="0" w:type="dxa"/>
          </w:tblCellMar>
        </w:tblPrEx>
        <w:trPr>
          <w:jc w:val="center"/>
        </w:trPr>
        <w:tc>
          <w:tcPr>
            <w:tcW w:w="4793" w:type="dxa"/>
          </w:tcPr>
          <w:p w:rsidR="00000000" w:rsidRDefault="00000000">
            <w:pPr>
              <w:spacing w:after="0"/>
            </w:pPr>
            <w:r>
              <w:t xml:space="preserve">  67 per cent invalidity</w:t>
            </w:r>
          </w:p>
        </w:tc>
        <w:tc>
          <w:tcPr>
            <w:tcW w:w="1655" w:type="dxa"/>
          </w:tcPr>
          <w:p w:rsidR="00000000" w:rsidRDefault="00000000">
            <w:pPr>
              <w:spacing w:after="0"/>
              <w:ind w:right="397"/>
              <w:jc w:val="right"/>
            </w:pPr>
            <w:r>
              <w:t>502</w:t>
            </w:r>
          </w:p>
        </w:tc>
        <w:tc>
          <w:tcPr>
            <w:tcW w:w="1656" w:type="dxa"/>
          </w:tcPr>
          <w:p w:rsidR="00000000" w:rsidRDefault="00000000">
            <w:pPr>
              <w:spacing w:after="0"/>
              <w:ind w:right="510"/>
              <w:jc w:val="right"/>
            </w:pPr>
            <w:r>
              <w:t>37</w:t>
            </w:r>
          </w:p>
        </w:tc>
      </w:tr>
      <w:tr w:rsidR="00000000">
        <w:tblPrEx>
          <w:tblCellMar>
            <w:top w:w="0" w:type="dxa"/>
            <w:bottom w:w="0" w:type="dxa"/>
          </w:tblCellMar>
        </w:tblPrEx>
        <w:trPr>
          <w:jc w:val="center"/>
        </w:trPr>
        <w:tc>
          <w:tcPr>
            <w:tcW w:w="4793" w:type="dxa"/>
          </w:tcPr>
          <w:p w:rsidR="00000000" w:rsidRDefault="00000000">
            <w:pPr>
              <w:spacing w:after="0"/>
            </w:pPr>
            <w:r>
              <w:t>Total number of State survivor pensions</w:t>
            </w:r>
          </w:p>
        </w:tc>
        <w:tc>
          <w:tcPr>
            <w:tcW w:w="1655" w:type="dxa"/>
          </w:tcPr>
          <w:p w:rsidR="00000000" w:rsidRDefault="00000000">
            <w:pPr>
              <w:spacing w:after="0"/>
              <w:ind w:right="397"/>
              <w:jc w:val="right"/>
            </w:pPr>
            <w:r>
              <w:t>53 050</w:t>
            </w:r>
          </w:p>
        </w:tc>
        <w:tc>
          <w:tcPr>
            <w:tcW w:w="1656" w:type="dxa"/>
          </w:tcPr>
          <w:p w:rsidR="00000000" w:rsidRDefault="00000000">
            <w:pPr>
              <w:spacing w:after="0"/>
              <w:ind w:right="510"/>
              <w:jc w:val="right"/>
            </w:pPr>
            <w:r>
              <w:t>7 991</w:t>
            </w:r>
          </w:p>
        </w:tc>
      </w:tr>
      <w:tr w:rsidR="00000000">
        <w:tblPrEx>
          <w:tblCellMar>
            <w:top w:w="0" w:type="dxa"/>
            <w:bottom w:w="0" w:type="dxa"/>
          </w:tblCellMar>
        </w:tblPrEx>
        <w:trPr>
          <w:jc w:val="center"/>
        </w:trPr>
        <w:tc>
          <w:tcPr>
            <w:tcW w:w="4793" w:type="dxa"/>
          </w:tcPr>
          <w:p w:rsidR="00000000" w:rsidRDefault="00000000">
            <w:pPr>
              <w:spacing w:after="0"/>
            </w:pPr>
            <w:r>
              <w:t>of which:</w:t>
            </w:r>
          </w:p>
        </w:tc>
        <w:tc>
          <w:tcPr>
            <w:tcW w:w="1655" w:type="dxa"/>
          </w:tcPr>
          <w:p w:rsidR="00000000" w:rsidRDefault="00000000">
            <w:pPr>
              <w:spacing w:after="0"/>
              <w:ind w:right="397"/>
              <w:jc w:val="right"/>
            </w:pPr>
          </w:p>
        </w:tc>
        <w:tc>
          <w:tcPr>
            <w:tcW w:w="1656" w:type="dxa"/>
          </w:tcPr>
          <w:p w:rsidR="00000000" w:rsidRDefault="00000000">
            <w:pPr>
              <w:spacing w:after="0"/>
              <w:ind w:right="510"/>
              <w:jc w:val="right"/>
            </w:pPr>
          </w:p>
        </w:tc>
      </w:tr>
      <w:tr w:rsidR="00000000">
        <w:tblPrEx>
          <w:tblCellMar>
            <w:top w:w="0" w:type="dxa"/>
            <w:bottom w:w="0" w:type="dxa"/>
          </w:tblCellMar>
        </w:tblPrEx>
        <w:trPr>
          <w:jc w:val="center"/>
        </w:trPr>
        <w:tc>
          <w:tcPr>
            <w:tcW w:w="4793" w:type="dxa"/>
          </w:tcPr>
          <w:p w:rsidR="00000000" w:rsidRDefault="00000000">
            <w:pPr>
              <w:spacing w:after="0"/>
            </w:pPr>
            <w:r>
              <w:t xml:space="preserve">  Due to accidents at work</w:t>
            </w:r>
          </w:p>
        </w:tc>
        <w:tc>
          <w:tcPr>
            <w:tcW w:w="1655" w:type="dxa"/>
          </w:tcPr>
          <w:p w:rsidR="00000000" w:rsidRDefault="00000000">
            <w:pPr>
              <w:spacing w:after="0"/>
              <w:ind w:right="397"/>
              <w:jc w:val="right"/>
            </w:pPr>
            <w:r>
              <w:t>480</w:t>
            </w:r>
          </w:p>
        </w:tc>
        <w:tc>
          <w:tcPr>
            <w:tcW w:w="1656" w:type="dxa"/>
          </w:tcPr>
          <w:p w:rsidR="00000000" w:rsidRDefault="00000000">
            <w:pPr>
              <w:spacing w:after="0"/>
              <w:ind w:right="510"/>
              <w:jc w:val="right"/>
            </w:pPr>
            <w:r>
              <w:t>24</w:t>
            </w:r>
          </w:p>
        </w:tc>
      </w:tr>
    </w:tbl>
    <w:p w:rsidR="00000000" w:rsidRDefault="00000000">
      <w:pPr>
        <w:spacing w:before="240"/>
      </w:pPr>
      <w:r>
        <w:rPr>
          <w:i/>
          <w:iCs/>
        </w:rPr>
        <w:tab/>
        <w:t xml:space="preserve">        Source</w:t>
      </w:r>
      <w:r>
        <w:t>:  Social Insurance Institute.</w:t>
      </w:r>
    </w:p>
    <w:p w:rsidR="00000000" w:rsidRDefault="00000000">
      <w:pPr>
        <w:pStyle w:val="Heading3"/>
      </w:pPr>
      <w:r>
        <w:t>International cooperation</w:t>
      </w:r>
    </w:p>
    <w:p w:rsidR="00000000" w:rsidRDefault="00000000">
      <w:pPr>
        <w:pStyle w:val="ParaNo"/>
        <w:rPr>
          <w:lang w:val="en-GB"/>
        </w:rPr>
      </w:pPr>
      <w:r>
        <w:rPr>
          <w:lang w:val="en-GB"/>
        </w:rPr>
        <w:t>Albanian insurance legislation is relatively recent and, as such, its structure has been subject to the most noted insurance principles, being constantly assisted during its compilation and implementation by international organizations in the area.  Bringing Albanian insurance legislation closer to the European standards represents a constant obligation of the Government of Albania.  The frequent amendments and improvements of the law on social insurance aim at including more persons in the scheme, to increase the level and variety of benefits and bring legal conditions within present standards.</w:t>
      </w:r>
    </w:p>
    <w:p w:rsidR="00000000" w:rsidRDefault="00000000">
      <w:pPr>
        <w:pStyle w:val="ParaNo"/>
        <w:rPr>
          <w:lang w:val="en-GB"/>
        </w:rPr>
      </w:pPr>
      <w:r>
        <w:rPr>
          <w:lang w:val="en-GB"/>
        </w:rPr>
        <w:t>Assistance from foreign donors has been always present in the area of social insurance.  Some of these projects are shown below:</w:t>
      </w:r>
    </w:p>
    <w:p w:rsidR="00000000" w:rsidRDefault="00000000">
      <w:pPr>
        <w:numPr>
          <w:ilvl w:val="0"/>
          <w:numId w:val="189"/>
        </w:numPr>
      </w:pPr>
      <w:r>
        <w:t>The “Social Insurance Component” project was implemented during 1993-1998, under the mega</w:t>
      </w:r>
      <w:r>
        <w:noBreakHyphen/>
        <w:t>project “Development of the Social Protection Network” of the World Bank, with funding of US$ 4.1 million;</w:t>
      </w:r>
    </w:p>
    <w:p w:rsidR="00000000" w:rsidRDefault="00000000">
      <w:pPr>
        <w:numPr>
          <w:ilvl w:val="0"/>
          <w:numId w:val="32"/>
        </w:numPr>
        <w:tabs>
          <w:tab w:val="num" w:pos="1083"/>
        </w:tabs>
        <w:ind w:left="1083" w:hanging="363"/>
        <w:rPr>
          <w:u w:val="single"/>
        </w:rPr>
      </w:pPr>
      <w:r>
        <w:t>A donation from the Government of Italy assisted in formulating a 30-year strategy on the development of the social insurance system in Albania.  The cooperation has been considered particularly successful, bringing visible progress in training capacities in the area of pensions and legislative reform of the social insurance system in the country.  Within the framework of the project some issues have been discussed related to the delays in paying contributions, organization and restructuring of the Social Insurance Institute and raising public awareness with regard to the pension system;</w:t>
      </w:r>
    </w:p>
    <w:p w:rsidR="00000000" w:rsidRDefault="00000000">
      <w:pPr>
        <w:numPr>
          <w:ilvl w:val="0"/>
          <w:numId w:val="32"/>
        </w:numPr>
        <w:tabs>
          <w:tab w:val="num" w:pos="1083"/>
        </w:tabs>
        <w:ind w:left="1083" w:hanging="363"/>
        <w:rPr>
          <w:u w:val="single"/>
        </w:rPr>
      </w:pPr>
      <w:r>
        <w:t>The Council of Europe funded in recent years a regional project on the approximation of the social insurance legislation with that of the European Union.</w:t>
      </w:r>
    </w:p>
    <w:p w:rsidR="00000000" w:rsidRDefault="00000000">
      <w:pPr>
        <w:pStyle w:val="Heading2"/>
      </w:pPr>
      <w:r>
        <w:t>Article 10</w:t>
      </w:r>
    </w:p>
    <w:p w:rsidR="00000000" w:rsidRDefault="00000000">
      <w:pPr>
        <w:pStyle w:val="Heading2"/>
      </w:pPr>
      <w:r>
        <w:t>Right to marriage and family</w:t>
      </w:r>
    </w:p>
    <w:p w:rsidR="00000000" w:rsidRDefault="00000000">
      <w:pPr>
        <w:pStyle w:val="ParaNo"/>
        <w:rPr>
          <w:lang w:val="en-GB"/>
        </w:rPr>
      </w:pPr>
      <w:r>
        <w:rPr>
          <w:lang w:val="en-GB"/>
        </w:rPr>
        <w:t>The Republic of Albania is a party to:</w:t>
      </w:r>
    </w:p>
    <w:p w:rsidR="00000000" w:rsidRDefault="00000000">
      <w:pPr>
        <w:numPr>
          <w:ilvl w:val="0"/>
          <w:numId w:val="32"/>
        </w:numPr>
        <w:tabs>
          <w:tab w:val="num" w:pos="1083"/>
        </w:tabs>
        <w:ind w:left="1083" w:hanging="363"/>
      </w:pPr>
      <w:r>
        <w:t>The International Covenant on Civil and Political Rights;</w:t>
      </w:r>
    </w:p>
    <w:p w:rsidR="00000000" w:rsidRDefault="00000000">
      <w:pPr>
        <w:numPr>
          <w:ilvl w:val="0"/>
          <w:numId w:val="32"/>
        </w:numPr>
        <w:tabs>
          <w:tab w:val="num" w:pos="1083"/>
        </w:tabs>
        <w:ind w:left="1083" w:hanging="363"/>
      </w:pPr>
      <w:r>
        <w:t>The Convention on the Rights of the Child;</w:t>
      </w:r>
    </w:p>
    <w:p w:rsidR="00000000" w:rsidRDefault="00000000">
      <w:pPr>
        <w:numPr>
          <w:ilvl w:val="0"/>
          <w:numId w:val="32"/>
        </w:numPr>
        <w:tabs>
          <w:tab w:val="num" w:pos="1083"/>
        </w:tabs>
        <w:ind w:left="1083" w:hanging="363"/>
      </w:pPr>
      <w:r>
        <w:t>The Convention on the Elimination of All Forms of Discrimination against Women;</w:t>
      </w:r>
    </w:p>
    <w:p w:rsidR="00000000" w:rsidRDefault="00000000">
      <w:pPr>
        <w:numPr>
          <w:ilvl w:val="0"/>
          <w:numId w:val="32"/>
        </w:numPr>
        <w:tabs>
          <w:tab w:val="num" w:pos="1083"/>
        </w:tabs>
        <w:ind w:left="1083" w:hanging="363"/>
      </w:pPr>
      <w:r>
        <w:t>The ILO Minimum Age Convention No. 138 (1973), ratified in 1998.</w:t>
      </w:r>
    </w:p>
    <w:p w:rsidR="00000000" w:rsidRDefault="00000000">
      <w:r>
        <w:t>The Republic of Albania has submitted reports on the implementation of the above international instruments, with exception of the ILO Minimum Age Convention.</w:t>
      </w:r>
    </w:p>
    <w:p w:rsidR="00000000" w:rsidRDefault="00000000">
      <w:pPr>
        <w:pStyle w:val="ParaNo"/>
        <w:ind w:left="0" w:firstLine="0"/>
        <w:rPr>
          <w:lang w:val="en-GB"/>
        </w:rPr>
      </w:pPr>
      <w:r>
        <w:rPr>
          <w:lang w:val="en-GB"/>
        </w:rPr>
        <w:t>According to the Constitution, article 53, everyone has the right to get married and have a family, and marriage and the family enjoy special protection from the State.  The entering into and dissolution of marriage are regulated by the provisions of the Family Code (Law No. 9062, 8 May 2003) and by the provisions of the Civil Code.</w:t>
      </w:r>
    </w:p>
    <w:p w:rsidR="00000000" w:rsidRDefault="00000000">
      <w:pPr>
        <w:pStyle w:val="ParaNo"/>
        <w:ind w:left="0" w:firstLine="0"/>
        <w:rPr>
          <w:lang w:val="en-GB"/>
        </w:rPr>
      </w:pPr>
      <w:r>
        <w:rPr>
          <w:lang w:val="en-GB"/>
        </w:rPr>
        <w:t>According to article 1 of the Family Code, marriage as legal cohabitation is founded on the moral and juridical equality of spouses, love, reciprocal respect and understanding, as grounds of family unity.  Marriage and the family enjoy special protection from the State.</w:t>
      </w:r>
    </w:p>
    <w:p w:rsidR="00000000" w:rsidRDefault="00000000">
      <w:pPr>
        <w:rPr>
          <w:b/>
          <w:bCs/>
        </w:rPr>
      </w:pPr>
      <w:r>
        <w:rPr>
          <w:b/>
          <w:bCs/>
        </w:rPr>
        <w:t>Rights of the child</w:t>
      </w:r>
    </w:p>
    <w:p w:rsidR="00000000" w:rsidRDefault="00000000">
      <w:pPr>
        <w:pStyle w:val="ParaNo"/>
        <w:ind w:left="0" w:firstLine="0"/>
        <w:rPr>
          <w:lang w:val="en-GB"/>
        </w:rPr>
      </w:pPr>
      <w:r>
        <w:rPr>
          <w:lang w:val="en-GB"/>
        </w:rPr>
        <w:t>Under Albanian legislation, a child means any human being, born alive, who is below the age of 18, when he acquires the full juridical capacity to act.  After birth, the child automatically enjoys this legal capacity, which accompanies him for the rest of his life.  With regard to the protection of children’s rights before they are born, the Civil Code (art. 2) stipulates that legal capacity starts with the birth of the person, and ends with his death.  The child, when born alive, enjoys legal capacity from the moment of conception.</w:t>
      </w:r>
    </w:p>
    <w:p w:rsidR="00000000" w:rsidRDefault="00000000">
      <w:pPr>
        <w:pStyle w:val="ParaNo"/>
        <w:ind w:left="0" w:firstLine="0"/>
        <w:rPr>
          <w:lang w:val="en-GB"/>
        </w:rPr>
      </w:pPr>
      <w:r>
        <w:rPr>
          <w:lang w:val="en-GB"/>
        </w:rPr>
        <w:t>Article 320 of the Civil Code likewise provides for the protection of the rights of a child to inherit, with rights to inheritance being acquired as of the moment he has been conceived.  This provision states in concrete terms that a person has the capacity to inherit who, at the time of the inheritance, is alive, or who has been conceived before the death of the person leaving the inheritance, and is born alive.</w:t>
      </w:r>
    </w:p>
    <w:p w:rsidR="00000000" w:rsidRDefault="00000000">
      <w:pPr>
        <w:pStyle w:val="ParaNo"/>
        <w:ind w:left="0" w:firstLine="0"/>
        <w:rPr>
          <w:lang w:val="en-GB"/>
        </w:rPr>
      </w:pPr>
      <w:r>
        <w:rPr>
          <w:lang w:val="en-GB"/>
        </w:rPr>
        <w:t>From the moment of his birth until the age of 14, the child has only legal capacity.  From the age of 14 to the age of 18, a child has partial legal capacity to act.  The minor who has attained the age of 14 may perform legal transactions only with the prior approval of his legal representative.  Nevertheless, he may participate in social organizations, dispose of the earnings from his work, deposit his savings, and make these deposits himself.  Under the provisions of the Civil Code, the procedure for the creation of associations is not made conditional on age.  This means that children are also entitled to being organized into associations fitting their interests.</w:t>
      </w:r>
    </w:p>
    <w:p w:rsidR="00000000" w:rsidRDefault="00000000">
      <w:pPr>
        <w:pStyle w:val="ParaNo"/>
        <w:ind w:left="0" w:firstLine="0"/>
        <w:rPr>
          <w:lang w:val="en-GB"/>
        </w:rPr>
      </w:pPr>
      <w:r>
        <w:rPr>
          <w:lang w:val="en-GB"/>
        </w:rPr>
        <w:t>A minor who has not attained the age of 14 does not have the capacity to act.  He may perform legal transactions that fit his age, as well as legal transactions that bring benefits without compensation.  The legal representative performs all the other legal transactions on his behalf.  Under family law, any female and male who have attained the age of 18 are entitled to marry.  The district court may permit their marriage before 18 only for important reasons.  A child finishes obligatory education at the age of 14 or 15, depending on the age when he started school.</w:t>
      </w:r>
    </w:p>
    <w:p w:rsidR="00000000" w:rsidRDefault="00000000">
      <w:pPr>
        <w:pStyle w:val="ParaNo"/>
        <w:ind w:left="0" w:firstLine="0"/>
        <w:rPr>
          <w:lang w:val="en-GB"/>
        </w:rPr>
      </w:pPr>
      <w:r>
        <w:rPr>
          <w:lang w:val="en-GB"/>
        </w:rPr>
        <w:t>Under articles 98 and 99 of the Labour Code, children are admitted for employment at the minimum age of 16.  Children aged 14 to 18 may be employed to do light work during school vacations.  The Council of Ministers defines light work and establishes the working hours.</w:t>
      </w:r>
    </w:p>
    <w:p w:rsidR="00000000" w:rsidRDefault="00000000">
      <w:pPr>
        <w:pStyle w:val="ParaNo"/>
        <w:ind w:left="0" w:firstLine="0"/>
        <w:rPr>
          <w:lang w:val="en-GB"/>
        </w:rPr>
      </w:pPr>
      <w:r>
        <w:rPr>
          <w:lang w:val="en-GB"/>
        </w:rPr>
        <w:t>Under article 100 of the Labour Code, only adults may be employed in difficult work or work that is potentially hazardous to one’s health and personality.  The Council of Ministers defines difficult or hazardous work.</w:t>
      </w:r>
    </w:p>
    <w:p w:rsidR="00000000" w:rsidRDefault="00000000">
      <w:pPr>
        <w:pStyle w:val="ParaNo"/>
        <w:ind w:left="0" w:firstLine="0"/>
        <w:rPr>
          <w:lang w:val="en-GB"/>
        </w:rPr>
      </w:pPr>
      <w:r>
        <w:rPr>
          <w:lang w:val="en-GB"/>
        </w:rPr>
        <w:t>Under Law No. 7527, dated 2 November 1991, “On military service”, male citizens may enlist for military service as soon as they attain the age of 18.</w:t>
      </w:r>
    </w:p>
    <w:p w:rsidR="00000000" w:rsidRDefault="00000000">
      <w:pPr>
        <w:pStyle w:val="ParaNo"/>
        <w:ind w:left="0" w:firstLine="0"/>
        <w:rPr>
          <w:lang w:val="en-GB"/>
        </w:rPr>
      </w:pPr>
      <w:r>
        <w:rPr>
          <w:lang w:val="en-GB"/>
        </w:rPr>
        <w:t>Under the Civil Procedure Code (art. 356), children may give testimony to court after they attain the age of 16.  According to article 6 of the Family Code, in every proceeding with respect to children, they have the right to be heard, commensurate with their age and ability to understand things.</w:t>
      </w:r>
    </w:p>
    <w:p w:rsidR="00000000" w:rsidRDefault="00000000">
      <w:pPr>
        <w:pStyle w:val="ParaNo"/>
        <w:ind w:left="0" w:firstLine="0"/>
        <w:rPr>
          <w:lang w:val="en-GB"/>
        </w:rPr>
      </w:pPr>
      <w:r>
        <w:rPr>
          <w:lang w:val="en-GB"/>
        </w:rPr>
        <w:t>A minor’s request to be heard during various proceedings cannot be rejected, unless there are important reasons.  In every procedure with respect to minors, the presence of a psychologist is obligatory, in order to evaluate the child’s claims in accordance with his mental development and social situation.</w:t>
      </w:r>
    </w:p>
    <w:p w:rsidR="00000000" w:rsidRDefault="00000000">
      <w:pPr>
        <w:pStyle w:val="ParaNo"/>
        <w:ind w:left="0" w:firstLine="0"/>
        <w:rPr>
          <w:lang w:val="en-GB"/>
        </w:rPr>
      </w:pPr>
      <w:r>
        <w:rPr>
          <w:lang w:val="en-GB"/>
        </w:rPr>
        <w:t>A child faces criminal responsibility for criminal offences after he attains the age of 14, and for criminal transgressions after he reaches the age of 16.  For minors who, at the time they committed the criminal offence, were below the age of 18, imprisonment sentence cannot exceed half of the term of punishment that the law provides for adults (art. 51 of the Criminal Code).</w:t>
      </w:r>
    </w:p>
    <w:p w:rsidR="00000000" w:rsidRDefault="00000000">
      <w:pPr>
        <w:pStyle w:val="Heading2"/>
      </w:pPr>
      <w:r>
        <w:t>Right to enter into marriage and limitation of this right</w:t>
      </w:r>
    </w:p>
    <w:p w:rsidR="00000000" w:rsidRDefault="00000000">
      <w:pPr>
        <w:pStyle w:val="ParaNo"/>
        <w:ind w:left="0" w:firstLine="0"/>
        <w:rPr>
          <w:lang w:val="en-GB"/>
        </w:rPr>
      </w:pPr>
      <w:r>
        <w:rPr>
          <w:lang w:val="en-GB"/>
        </w:rPr>
        <w:t>According to the Constitution, article 53, everyone has the right to get married and to have a family, and marriage and family enjoy the special protection of the State.</w:t>
      </w:r>
    </w:p>
    <w:p w:rsidR="00000000" w:rsidRDefault="00000000">
      <w:pPr>
        <w:pStyle w:val="ParaNo"/>
        <w:ind w:left="0" w:firstLine="0"/>
        <w:rPr>
          <w:lang w:val="en-GB"/>
        </w:rPr>
      </w:pPr>
      <w:r>
        <w:rPr>
          <w:spacing w:val="-3"/>
          <w:lang w:val="en-GB"/>
        </w:rPr>
        <w:t xml:space="preserve">In compliance with articles 8 and 9 of the Family Code, marriages are established in front of a civil status official, with the free acceptance of both </w:t>
      </w:r>
      <w:r>
        <w:rPr>
          <w:lang w:val="en-GB"/>
        </w:rPr>
        <w:t>future</w:t>
      </w:r>
      <w:r>
        <w:rPr>
          <w:spacing w:val="-3"/>
          <w:lang w:val="en-GB"/>
        </w:rPr>
        <w:t xml:space="preserve"> spouses.  A person who is already married cannot establish another marriage, until the previous one has been declared as null and void.</w:t>
      </w:r>
    </w:p>
    <w:p w:rsidR="00000000" w:rsidRDefault="00000000">
      <w:pPr>
        <w:pStyle w:val="ParaNo"/>
        <w:ind w:left="0" w:firstLine="0"/>
        <w:rPr>
          <w:lang w:val="en-GB"/>
        </w:rPr>
      </w:pPr>
      <w:r>
        <w:rPr>
          <w:lang w:val="en-GB"/>
        </w:rPr>
        <w:t xml:space="preserve">A marriage cannot be established between parents and their children, sisters and brothers, an uncle and his niece, an aunt and her nephew, or between the children of brothers and sisters.  For important reasons the court may permit the marriage between children of brothers and </w:t>
      </w:r>
    </w:p>
    <w:p w:rsidR="00000000" w:rsidRDefault="00000000">
      <w:r>
        <w:br w:type="page"/>
        <w:t>sisters (art. 10).  In addition, pursuant to articles 11 and 12 of the Code, a marriage cannot be established between a father-in-law and his daughter-in-law, a mother-in-law and her son</w:t>
      </w:r>
      <w:r>
        <w:noBreakHyphen/>
        <w:t>in</w:t>
      </w:r>
      <w:r>
        <w:noBreakHyphen/>
        <w:t>law, a stepfather and a stepchild.</w:t>
      </w:r>
    </w:p>
    <w:p w:rsidR="00000000" w:rsidRDefault="00000000">
      <w:pPr>
        <w:pStyle w:val="ParaNo"/>
        <w:ind w:left="0" w:firstLine="0"/>
        <w:rPr>
          <w:lang w:val="en-GB"/>
        </w:rPr>
      </w:pPr>
      <w:r>
        <w:rPr>
          <w:lang w:val="en-GB"/>
        </w:rPr>
        <w:t>Persons suffering from a heavy psychological disability cannot enter into marriage, nor can those who are mentally retarded to the point they cannot understand the purpose of marriage.  The marriage between a tutor and the person under tutorship is prohibited, while marriage between foster parents and foster children is prohibited also, among foster children and between the foster child and the children of the foster parents.  Regardless of adoption, a foster child cannot enter into marriage with biological relatives, as provided by article 10 of the Code.</w:t>
      </w:r>
    </w:p>
    <w:p w:rsidR="00000000" w:rsidRDefault="00000000">
      <w:pPr>
        <w:pStyle w:val="ParaNo"/>
        <w:ind w:left="0" w:firstLine="0"/>
      </w:pPr>
      <w:r>
        <w:t>Ownership in marriage is regulated by the provisions of the Civil Code, 1994 (arts. 86 and 87).  According to article 86, “Movables, bank deposits and everything acquired by spouses during marriage, excluding personal belongings, are common property.”  Common property presumes that each spouse’s part is equal, unless the contrary is proved on the basis of appropriate criteria.  Spouses are entitled to equal rights to common property, even when one of </w:t>
      </w:r>
      <w:proofErr w:type="spellStart"/>
      <w:r>
        <w:t>them</w:t>
      </w:r>
      <w:proofErr w:type="spellEnd"/>
      <w:r>
        <w:t xml:space="preserve"> has been performing housework.  Such legal provision was not recognized before the </w:t>
      </w:r>
      <w:proofErr w:type="spellStart"/>
      <w:r>
        <w:t>entering</w:t>
      </w:r>
      <w:proofErr w:type="spellEnd"/>
      <w:r>
        <w:t xml:space="preserve"> </w:t>
      </w:r>
      <w:proofErr w:type="spellStart"/>
      <w:r>
        <w:t>into</w:t>
      </w:r>
      <w:proofErr w:type="spellEnd"/>
      <w:r>
        <w:t xml:space="preserve"> force of the 1982 Code.  However, since in most cases the wife moves upon marriage into the house of the husband (which is not, as a consequence, acquired during marriage), very often the wife has no claim to the house.</w:t>
      </w:r>
    </w:p>
    <w:p w:rsidR="00000000" w:rsidRDefault="00000000">
      <w:pPr>
        <w:pStyle w:val="Heading3"/>
      </w:pPr>
      <w:r>
        <w:t>Number of marriages and divorces</w:t>
      </w:r>
    </w:p>
    <w:p w:rsidR="00000000" w:rsidRDefault="00000000">
      <w:pPr>
        <w:pStyle w:val="ParaNo"/>
        <w:ind w:left="0" w:firstLine="0"/>
        <w:rPr>
          <w:lang w:val="en-GB"/>
        </w:rPr>
      </w:pPr>
      <w:r>
        <w:rPr>
          <w:lang w:val="en-GB"/>
        </w:rPr>
        <w:t>Details on the number of marriages and divorces can be found in the initial report (</w:t>
      </w:r>
      <w:r>
        <w:rPr>
          <w:rStyle w:val="style181"/>
          <w:sz w:val="24"/>
          <w:szCs w:val="24"/>
          <w:lang w:val="en-GB"/>
        </w:rPr>
        <w:t>CCPR/C/ALB/2004/1</w:t>
      </w:r>
      <w:r>
        <w:rPr>
          <w:lang w:val="en-GB"/>
        </w:rPr>
        <w:t>, p. 24).  In addition, during 2000 there were 2,168 divorces, or 8.4 divorces for every 100 marriages and in 2001 there were in total 2,462 divorces, or 10.4 divorces per 100 marriages.</w:t>
      </w:r>
    </w:p>
    <w:p w:rsidR="00000000" w:rsidRDefault="00000000">
      <w:pPr>
        <w:pStyle w:val="Heading2"/>
      </w:pPr>
      <w:r>
        <w:t>Table 19</w:t>
      </w:r>
    </w:p>
    <w:p w:rsidR="00000000" w:rsidRDefault="00000000">
      <w:pPr>
        <w:pStyle w:val="Heading2"/>
      </w:pPr>
      <w:r>
        <w:t>Divorces by number of children</w:t>
      </w:r>
    </w:p>
    <w:tbl>
      <w:tblPr>
        <w:tblW w:w="0" w:type="auto"/>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4"/>
        <w:gridCol w:w="1169"/>
        <w:gridCol w:w="1877"/>
        <w:gridCol w:w="1122"/>
        <w:gridCol w:w="1123"/>
        <w:gridCol w:w="1123"/>
        <w:gridCol w:w="1807"/>
      </w:tblGrid>
      <w:tr w:rsidR="00000000">
        <w:tblPrEx>
          <w:tblCellMar>
            <w:top w:w="0" w:type="dxa"/>
            <w:left w:w="0" w:type="dxa"/>
            <w:bottom w:w="0" w:type="dxa"/>
            <w:right w:w="0" w:type="dxa"/>
          </w:tblCellMar>
        </w:tblPrEx>
        <w:trPr>
          <w:cantSplit/>
          <w:trHeight w:val="201"/>
          <w:jc w:val="center"/>
        </w:trPr>
        <w:tc>
          <w:tcPr>
            <w:tcW w:w="1064" w:type="dxa"/>
            <w:vMerge w:val="restart"/>
            <w:tcBorders>
              <w:top w:val="single" w:sz="4" w:space="0" w:color="auto"/>
              <w:left w:val="single" w:sz="4" w:space="0" w:color="auto"/>
              <w:right w:val="single" w:sz="4" w:space="0" w:color="auto"/>
            </w:tcBorders>
          </w:tcPr>
          <w:p w:rsidR="00000000" w:rsidRDefault="00000000">
            <w:pPr>
              <w:spacing w:after="0"/>
              <w:jc w:val="center"/>
            </w:pPr>
            <w:r>
              <w:t>Years</w:t>
            </w:r>
          </w:p>
        </w:tc>
        <w:tc>
          <w:tcPr>
            <w:tcW w:w="1169" w:type="dxa"/>
            <w:vMerge w:val="restart"/>
            <w:tcBorders>
              <w:top w:val="single" w:sz="4" w:space="0" w:color="auto"/>
              <w:left w:val="single" w:sz="4" w:space="0" w:color="auto"/>
              <w:right w:val="single" w:sz="4" w:space="0" w:color="auto"/>
            </w:tcBorders>
          </w:tcPr>
          <w:p w:rsidR="00000000" w:rsidRDefault="00000000">
            <w:pPr>
              <w:spacing w:after="0"/>
              <w:jc w:val="center"/>
            </w:pPr>
            <w:r>
              <w:t>Divorces</w:t>
            </w:r>
            <w:r>
              <w:br/>
              <w:t>Total</w:t>
            </w:r>
          </w:p>
        </w:tc>
        <w:tc>
          <w:tcPr>
            <w:tcW w:w="7052"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By the number of children</w:t>
            </w:r>
          </w:p>
        </w:tc>
      </w:tr>
      <w:tr w:rsidR="00000000">
        <w:tblPrEx>
          <w:tblCellMar>
            <w:top w:w="0" w:type="dxa"/>
            <w:left w:w="0" w:type="dxa"/>
            <w:bottom w:w="0" w:type="dxa"/>
            <w:right w:w="0" w:type="dxa"/>
          </w:tblCellMar>
        </w:tblPrEx>
        <w:trPr>
          <w:cantSplit/>
          <w:trHeight w:val="541"/>
          <w:jc w:val="center"/>
        </w:trPr>
        <w:tc>
          <w:tcPr>
            <w:tcW w:w="1064" w:type="dxa"/>
            <w:vMerge/>
            <w:tcBorders>
              <w:left w:val="single" w:sz="4" w:space="0" w:color="auto"/>
              <w:bottom w:val="single" w:sz="4" w:space="0" w:color="auto"/>
              <w:right w:val="single" w:sz="4" w:space="0" w:color="auto"/>
            </w:tcBorders>
            <w:vAlign w:val="center"/>
          </w:tcPr>
          <w:p w:rsidR="00000000" w:rsidRDefault="00000000">
            <w:pPr>
              <w:spacing w:after="0"/>
              <w:jc w:val="center"/>
            </w:pPr>
          </w:p>
        </w:tc>
        <w:tc>
          <w:tcPr>
            <w:tcW w:w="1169" w:type="dxa"/>
            <w:vMerge/>
            <w:tcBorders>
              <w:left w:val="single" w:sz="4" w:space="0" w:color="auto"/>
              <w:bottom w:val="single" w:sz="4" w:space="0" w:color="auto"/>
              <w:right w:val="single" w:sz="4" w:space="0" w:color="auto"/>
            </w:tcBorders>
            <w:vAlign w:val="center"/>
          </w:tcPr>
          <w:p w:rsidR="00000000" w:rsidRDefault="00000000">
            <w:pPr>
              <w:spacing w:after="0"/>
              <w:jc w:val="center"/>
            </w:pPr>
          </w:p>
        </w:tc>
        <w:tc>
          <w:tcPr>
            <w:tcW w:w="1877"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32"/>
              </w:rPr>
            </w:pPr>
            <w:r>
              <w:t>Couples without children</w:t>
            </w:r>
          </w:p>
        </w:tc>
        <w:tc>
          <w:tcPr>
            <w:tcW w:w="1122" w:type="dxa"/>
            <w:tcBorders>
              <w:top w:val="nil"/>
              <w:left w:val="single" w:sz="4" w:space="0" w:color="auto"/>
              <w:bottom w:val="single" w:sz="4" w:space="0" w:color="auto"/>
              <w:right w:val="single" w:sz="4" w:space="0" w:color="auto"/>
            </w:tcBorders>
          </w:tcPr>
          <w:p w:rsidR="00000000" w:rsidRDefault="00000000">
            <w:pPr>
              <w:spacing w:after="0"/>
              <w:jc w:val="center"/>
              <w:rPr>
                <w:szCs w:val="32"/>
              </w:rPr>
            </w:pPr>
            <w:r>
              <w:t>One</w:t>
            </w:r>
          </w:p>
        </w:tc>
        <w:tc>
          <w:tcPr>
            <w:tcW w:w="1123" w:type="dxa"/>
            <w:tcBorders>
              <w:top w:val="nil"/>
              <w:left w:val="single" w:sz="4" w:space="0" w:color="auto"/>
              <w:bottom w:val="single" w:sz="4" w:space="0" w:color="auto"/>
              <w:right w:val="single" w:sz="4" w:space="0" w:color="auto"/>
            </w:tcBorders>
          </w:tcPr>
          <w:p w:rsidR="00000000" w:rsidRDefault="00000000">
            <w:pPr>
              <w:spacing w:after="0"/>
              <w:jc w:val="center"/>
              <w:rPr>
                <w:szCs w:val="32"/>
              </w:rPr>
            </w:pPr>
            <w:r>
              <w:t>Two</w:t>
            </w:r>
          </w:p>
        </w:tc>
        <w:tc>
          <w:tcPr>
            <w:tcW w:w="1123" w:type="dxa"/>
            <w:tcBorders>
              <w:top w:val="nil"/>
              <w:left w:val="single" w:sz="4" w:space="0" w:color="auto"/>
              <w:bottom w:val="single" w:sz="4" w:space="0" w:color="auto"/>
              <w:right w:val="single" w:sz="4" w:space="0" w:color="auto"/>
            </w:tcBorders>
          </w:tcPr>
          <w:p w:rsidR="00000000" w:rsidRDefault="00000000">
            <w:pPr>
              <w:spacing w:after="0"/>
              <w:jc w:val="center"/>
              <w:rPr>
                <w:szCs w:val="32"/>
              </w:rPr>
            </w:pPr>
            <w:r>
              <w:t>Three</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pPr>
            <w:r>
              <w:t>Four children</w:t>
            </w:r>
            <w:r>
              <w:br/>
              <w:t>or more</w:t>
            </w:r>
          </w:p>
        </w:tc>
      </w:tr>
      <w:tr w:rsidR="00000000">
        <w:tblPrEx>
          <w:tblCellMar>
            <w:top w:w="0" w:type="dxa"/>
            <w:left w:w="0" w:type="dxa"/>
            <w:bottom w:w="0" w:type="dxa"/>
            <w:right w:w="0" w:type="dxa"/>
          </w:tblCellMar>
        </w:tblPrEx>
        <w:trPr>
          <w:trHeight w:val="284"/>
          <w:jc w:val="center"/>
        </w:trPr>
        <w:tc>
          <w:tcPr>
            <w:tcW w:w="1064"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1990</w:t>
            </w:r>
          </w:p>
        </w:tc>
        <w:tc>
          <w:tcPr>
            <w:tcW w:w="1169"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2 675</w:t>
            </w:r>
          </w:p>
        </w:tc>
        <w:tc>
          <w:tcPr>
            <w:tcW w:w="1877"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1 281</w:t>
            </w:r>
          </w:p>
        </w:tc>
        <w:tc>
          <w:tcPr>
            <w:tcW w:w="1122"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706</w:t>
            </w:r>
          </w:p>
        </w:tc>
        <w:tc>
          <w:tcPr>
            <w:tcW w:w="1123"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450</w:t>
            </w:r>
          </w:p>
        </w:tc>
        <w:tc>
          <w:tcPr>
            <w:tcW w:w="1123"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150</w:t>
            </w:r>
          </w:p>
        </w:tc>
        <w:tc>
          <w:tcPr>
            <w:tcW w:w="1807"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88</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pPr>
            <w:r>
              <w:t>1991</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pPr>
            <w:r>
              <w:t>2 236</w:t>
            </w:r>
          </w:p>
        </w:tc>
        <w:tc>
          <w:tcPr>
            <w:tcW w:w="1877" w:type="dxa"/>
            <w:tcBorders>
              <w:top w:val="nil"/>
              <w:left w:val="single" w:sz="4" w:space="0" w:color="auto"/>
              <w:bottom w:val="nil"/>
              <w:right w:val="single" w:sz="4" w:space="0" w:color="auto"/>
            </w:tcBorders>
            <w:vAlign w:val="center"/>
          </w:tcPr>
          <w:p w:rsidR="00000000" w:rsidRDefault="00000000">
            <w:pPr>
              <w:spacing w:after="0"/>
              <w:jc w:val="center"/>
            </w:pPr>
            <w:r>
              <w:t>1 057</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pPr>
            <w:r>
              <w:t>600</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pPr>
            <w:r>
              <w:t>368</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pPr>
            <w:r>
              <w:t>145</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pPr>
            <w:r>
              <w:t>66</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pPr>
            <w:r>
              <w:t>1992</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pPr>
            <w:r>
              <w:t>2 480</w:t>
            </w:r>
          </w:p>
        </w:tc>
        <w:tc>
          <w:tcPr>
            <w:tcW w:w="1877" w:type="dxa"/>
            <w:tcBorders>
              <w:top w:val="nil"/>
              <w:left w:val="single" w:sz="4" w:space="0" w:color="auto"/>
              <w:bottom w:val="nil"/>
              <w:right w:val="single" w:sz="4" w:space="0" w:color="auto"/>
            </w:tcBorders>
            <w:vAlign w:val="center"/>
          </w:tcPr>
          <w:p w:rsidR="00000000" w:rsidRDefault="00000000">
            <w:pPr>
              <w:spacing w:after="0"/>
              <w:jc w:val="center"/>
              <w:rPr>
                <w:szCs w:val="10"/>
              </w:rPr>
            </w:pPr>
            <w:r>
              <w:rPr>
                <w:szCs w:val="10"/>
              </w:rPr>
              <w:t>-</w:t>
            </w:r>
          </w:p>
        </w:tc>
        <w:tc>
          <w:tcPr>
            <w:tcW w:w="1122" w:type="dxa"/>
            <w:tcBorders>
              <w:top w:val="nil"/>
              <w:left w:val="single" w:sz="4" w:space="0" w:color="auto"/>
              <w:bottom w:val="nil"/>
              <w:right w:val="single" w:sz="4" w:space="0" w:color="auto"/>
            </w:tcBorders>
            <w:vAlign w:val="center"/>
          </w:tcPr>
          <w:p w:rsidR="00000000" w:rsidRDefault="00000000">
            <w:pPr>
              <w:spacing w:after="0"/>
              <w:ind w:left="57"/>
              <w:jc w:val="center"/>
              <w:rPr>
                <w:szCs w:val="10"/>
              </w:rPr>
            </w:pPr>
            <w:r>
              <w:rPr>
                <w:szCs w:val="10"/>
              </w:rPr>
              <w:t>-</w:t>
            </w:r>
          </w:p>
        </w:tc>
        <w:tc>
          <w:tcPr>
            <w:tcW w:w="1123" w:type="dxa"/>
            <w:tcBorders>
              <w:top w:val="nil"/>
              <w:left w:val="single" w:sz="4" w:space="0" w:color="auto"/>
              <w:bottom w:val="nil"/>
              <w:right w:val="single" w:sz="4" w:space="0" w:color="auto"/>
            </w:tcBorders>
            <w:vAlign w:val="center"/>
          </w:tcPr>
          <w:p w:rsidR="00000000" w:rsidRDefault="00000000">
            <w:pPr>
              <w:spacing w:after="0"/>
              <w:ind w:left="57"/>
              <w:jc w:val="center"/>
              <w:rPr>
                <w:szCs w:val="10"/>
              </w:rPr>
            </w:pPr>
            <w:r>
              <w:rPr>
                <w:szCs w:val="10"/>
              </w:rPr>
              <w:t>-</w:t>
            </w:r>
          </w:p>
        </w:tc>
        <w:tc>
          <w:tcPr>
            <w:tcW w:w="1123" w:type="dxa"/>
            <w:tcBorders>
              <w:top w:val="nil"/>
              <w:left w:val="single" w:sz="4" w:space="0" w:color="auto"/>
              <w:bottom w:val="nil"/>
              <w:right w:val="single" w:sz="4" w:space="0" w:color="auto"/>
            </w:tcBorders>
            <w:vAlign w:val="center"/>
          </w:tcPr>
          <w:p w:rsidR="00000000" w:rsidRDefault="00000000">
            <w:pPr>
              <w:spacing w:after="0"/>
              <w:ind w:left="57"/>
              <w:jc w:val="center"/>
              <w:rPr>
                <w:szCs w:val="10"/>
              </w:rPr>
            </w:pPr>
            <w:r>
              <w:rPr>
                <w:szCs w:val="10"/>
              </w:rPr>
              <w:t>-</w:t>
            </w:r>
          </w:p>
        </w:tc>
        <w:tc>
          <w:tcPr>
            <w:tcW w:w="1807" w:type="dxa"/>
            <w:tcBorders>
              <w:top w:val="nil"/>
              <w:left w:val="single" w:sz="4" w:space="0" w:color="auto"/>
              <w:bottom w:val="nil"/>
              <w:right w:val="single" w:sz="4" w:space="0" w:color="auto"/>
            </w:tcBorders>
            <w:vAlign w:val="center"/>
          </w:tcPr>
          <w:p w:rsidR="00000000" w:rsidRDefault="00000000">
            <w:pPr>
              <w:spacing w:after="0"/>
              <w:ind w:left="113"/>
              <w:jc w:val="center"/>
              <w:rPr>
                <w:szCs w:val="10"/>
              </w:rPr>
            </w:pPr>
            <w:r>
              <w:rPr>
                <w:szCs w:val="10"/>
              </w:rPr>
              <w:t>-</w:t>
            </w:r>
          </w:p>
        </w:tc>
      </w:tr>
      <w:tr w:rsidR="00000000">
        <w:tblPrEx>
          <w:tblCellMar>
            <w:top w:w="0" w:type="dxa"/>
            <w:left w:w="0" w:type="dxa"/>
            <w:bottom w:w="0" w:type="dxa"/>
            <w:right w:w="0" w:type="dxa"/>
          </w:tblCellMar>
        </w:tblPrEx>
        <w:trPr>
          <w:trHeight w:val="284"/>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1993</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2 251</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921</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pPr>
            <w:r>
              <w:t>700</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392</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154</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84</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1994</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2 108</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877</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545</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436</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pPr>
            <w:r>
              <w:t>167</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83</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1995</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2 331</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978</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646</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475</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150</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82</w:t>
            </w:r>
          </w:p>
        </w:tc>
      </w:tr>
      <w:tr w:rsidR="00000000">
        <w:tblPrEx>
          <w:tblCellMar>
            <w:top w:w="0" w:type="dxa"/>
            <w:left w:w="0" w:type="dxa"/>
            <w:bottom w:w="0" w:type="dxa"/>
            <w:right w:w="0" w:type="dxa"/>
          </w:tblCellMar>
        </w:tblPrEx>
        <w:trPr>
          <w:trHeight w:val="284"/>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1996</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1 901</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740</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535</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460</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109</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57</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1997</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1 430</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545</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436</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335</w:t>
            </w:r>
          </w:p>
        </w:tc>
        <w:tc>
          <w:tcPr>
            <w:tcW w:w="1123" w:type="dxa"/>
            <w:tcBorders>
              <w:top w:val="nil"/>
              <w:left w:val="single" w:sz="4" w:space="0" w:color="auto"/>
              <w:bottom w:val="nil"/>
              <w:right w:val="single" w:sz="4" w:space="0" w:color="auto"/>
            </w:tcBorders>
            <w:vAlign w:val="center"/>
          </w:tcPr>
          <w:p w:rsidR="00000000" w:rsidRDefault="00000000">
            <w:pPr>
              <w:spacing w:after="0"/>
              <w:ind w:left="113"/>
              <w:jc w:val="center"/>
              <w:rPr>
                <w:szCs w:val="18"/>
              </w:rPr>
            </w:pPr>
            <w:r>
              <w:rPr>
                <w:szCs w:val="18"/>
              </w:rPr>
              <w:t>87</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27</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1998</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2 005</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780</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615</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433</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117</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60</w:t>
            </w:r>
          </w:p>
        </w:tc>
      </w:tr>
      <w:tr w:rsidR="00000000">
        <w:tblPrEx>
          <w:tblCellMar>
            <w:top w:w="0" w:type="dxa"/>
            <w:left w:w="0" w:type="dxa"/>
            <w:bottom w:w="0" w:type="dxa"/>
            <w:right w:w="0" w:type="dxa"/>
          </w:tblCellMar>
        </w:tblPrEx>
        <w:trPr>
          <w:trHeight w:val="284"/>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1999</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2 114</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805</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658</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444</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154</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53</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2000</w:t>
            </w:r>
          </w:p>
        </w:tc>
        <w:tc>
          <w:tcPr>
            <w:tcW w:w="116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2 168</w:t>
            </w:r>
          </w:p>
        </w:tc>
        <w:tc>
          <w:tcPr>
            <w:tcW w:w="1877" w:type="dxa"/>
            <w:tcBorders>
              <w:top w:val="nil"/>
              <w:left w:val="single" w:sz="4" w:space="0" w:color="auto"/>
              <w:bottom w:val="nil"/>
              <w:right w:val="single" w:sz="4" w:space="0" w:color="auto"/>
            </w:tcBorders>
            <w:vAlign w:val="center"/>
          </w:tcPr>
          <w:p w:rsidR="00000000" w:rsidRDefault="00000000">
            <w:pPr>
              <w:spacing w:after="0"/>
              <w:ind w:left="198"/>
              <w:jc w:val="center"/>
              <w:rPr>
                <w:szCs w:val="18"/>
              </w:rPr>
            </w:pPr>
            <w:r>
              <w:rPr>
                <w:szCs w:val="18"/>
              </w:rPr>
              <w:t>754</w:t>
            </w:r>
          </w:p>
        </w:tc>
        <w:tc>
          <w:tcPr>
            <w:tcW w:w="1122"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569</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557</w:t>
            </w:r>
          </w:p>
        </w:tc>
        <w:tc>
          <w:tcPr>
            <w:tcW w:w="1123"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186</w:t>
            </w:r>
          </w:p>
        </w:tc>
        <w:tc>
          <w:tcPr>
            <w:tcW w:w="1807"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102 </w:t>
            </w:r>
          </w:p>
        </w:tc>
      </w:tr>
      <w:tr w:rsidR="00000000">
        <w:tblPrEx>
          <w:tblCellMar>
            <w:top w:w="0" w:type="dxa"/>
            <w:left w:w="0" w:type="dxa"/>
            <w:bottom w:w="0" w:type="dxa"/>
            <w:right w:w="0" w:type="dxa"/>
          </w:tblCellMar>
        </w:tblPrEx>
        <w:trPr>
          <w:trHeight w:val="285"/>
          <w:jc w:val="center"/>
        </w:trPr>
        <w:tc>
          <w:tcPr>
            <w:tcW w:w="106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2001</w:t>
            </w:r>
          </w:p>
        </w:tc>
        <w:tc>
          <w:tcPr>
            <w:tcW w:w="1169"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2 462</w:t>
            </w:r>
          </w:p>
        </w:tc>
        <w:tc>
          <w:tcPr>
            <w:tcW w:w="1877" w:type="dxa"/>
            <w:tcBorders>
              <w:top w:val="nil"/>
              <w:left w:val="single" w:sz="4" w:space="0" w:color="auto"/>
              <w:bottom w:val="single" w:sz="4" w:space="0" w:color="auto"/>
              <w:right w:val="single" w:sz="4" w:space="0" w:color="auto"/>
            </w:tcBorders>
            <w:vAlign w:val="center"/>
          </w:tcPr>
          <w:p w:rsidR="00000000" w:rsidRDefault="00000000">
            <w:pPr>
              <w:spacing w:after="0"/>
              <w:ind w:left="198"/>
              <w:jc w:val="center"/>
              <w:rPr>
                <w:szCs w:val="18"/>
              </w:rPr>
            </w:pPr>
            <w:r>
              <w:rPr>
                <w:szCs w:val="18"/>
              </w:rPr>
              <w:t>982</w:t>
            </w:r>
          </w:p>
        </w:tc>
        <w:tc>
          <w:tcPr>
            <w:tcW w:w="1122"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692</w:t>
            </w:r>
          </w:p>
        </w:tc>
        <w:tc>
          <w:tcPr>
            <w:tcW w:w="1123"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566</w:t>
            </w:r>
          </w:p>
        </w:tc>
        <w:tc>
          <w:tcPr>
            <w:tcW w:w="1123"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148</w:t>
            </w:r>
          </w:p>
        </w:tc>
        <w:tc>
          <w:tcPr>
            <w:tcW w:w="1807"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74</w:t>
            </w:r>
          </w:p>
        </w:tc>
      </w:tr>
    </w:tbl>
    <w:p w:rsidR="00000000" w:rsidRDefault="00000000">
      <w:pPr>
        <w:pStyle w:val="Heading2"/>
      </w:pPr>
      <w:r>
        <w:t>Table 20</w:t>
      </w:r>
    </w:p>
    <w:p w:rsidR="00000000" w:rsidRDefault="00000000">
      <w:pPr>
        <w:pStyle w:val="Heading2"/>
      </w:pPr>
      <w:r>
        <w:t>Divorces by years of conjugal life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4"/>
        <w:gridCol w:w="1598"/>
        <w:gridCol w:w="1361"/>
        <w:gridCol w:w="1362"/>
        <w:gridCol w:w="1361"/>
        <w:gridCol w:w="1362"/>
        <w:gridCol w:w="1362"/>
      </w:tblGrid>
      <w:tr w:rsidR="00000000">
        <w:tblPrEx>
          <w:tblCellMar>
            <w:top w:w="0" w:type="dxa"/>
            <w:left w:w="0" w:type="dxa"/>
            <w:bottom w:w="0" w:type="dxa"/>
            <w:right w:w="0" w:type="dxa"/>
          </w:tblCellMar>
        </w:tblPrEx>
        <w:trPr>
          <w:cantSplit/>
          <w:trHeight w:val="220"/>
        </w:trPr>
        <w:tc>
          <w:tcPr>
            <w:tcW w:w="954" w:type="dxa"/>
            <w:vMerge w:val="restart"/>
            <w:tcBorders>
              <w:top w:val="single" w:sz="4" w:space="0" w:color="auto"/>
              <w:left w:val="single" w:sz="4" w:space="0" w:color="auto"/>
              <w:right w:val="single" w:sz="4" w:space="0" w:color="auto"/>
            </w:tcBorders>
          </w:tcPr>
          <w:p w:rsidR="00000000" w:rsidRDefault="00000000">
            <w:pPr>
              <w:spacing w:after="0"/>
              <w:jc w:val="center"/>
            </w:pPr>
            <w:r>
              <w:br w:type="page"/>
              <w:t>Years</w:t>
            </w:r>
          </w:p>
        </w:tc>
        <w:tc>
          <w:tcPr>
            <w:tcW w:w="1598" w:type="dxa"/>
            <w:vMerge w:val="restart"/>
            <w:tcBorders>
              <w:top w:val="single" w:sz="4" w:space="0" w:color="auto"/>
              <w:left w:val="single" w:sz="4" w:space="0" w:color="auto"/>
              <w:right w:val="single" w:sz="4" w:space="0" w:color="auto"/>
            </w:tcBorders>
          </w:tcPr>
          <w:p w:rsidR="00000000" w:rsidRDefault="00000000">
            <w:pPr>
              <w:spacing w:after="0"/>
              <w:jc w:val="center"/>
            </w:pPr>
            <w:r>
              <w:t>Total divorces</w:t>
            </w:r>
          </w:p>
        </w:tc>
        <w:tc>
          <w:tcPr>
            <w:tcW w:w="6808"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By years of conjugal life</w:t>
            </w:r>
          </w:p>
        </w:tc>
      </w:tr>
      <w:tr w:rsidR="00000000">
        <w:tblPrEx>
          <w:tblCellMar>
            <w:top w:w="0" w:type="dxa"/>
            <w:left w:w="0" w:type="dxa"/>
            <w:bottom w:w="0" w:type="dxa"/>
            <w:right w:w="0" w:type="dxa"/>
          </w:tblCellMar>
        </w:tblPrEx>
        <w:trPr>
          <w:cantSplit/>
          <w:trHeight w:val="649"/>
        </w:trPr>
        <w:tc>
          <w:tcPr>
            <w:tcW w:w="954" w:type="dxa"/>
            <w:vMerge/>
            <w:tcBorders>
              <w:left w:val="single" w:sz="4" w:space="0" w:color="auto"/>
              <w:bottom w:val="single" w:sz="4" w:space="0" w:color="auto"/>
              <w:right w:val="single" w:sz="4" w:space="0" w:color="auto"/>
            </w:tcBorders>
            <w:vAlign w:val="center"/>
          </w:tcPr>
          <w:p w:rsidR="00000000" w:rsidRDefault="00000000">
            <w:pPr>
              <w:spacing w:after="0"/>
            </w:pPr>
          </w:p>
        </w:tc>
        <w:tc>
          <w:tcPr>
            <w:tcW w:w="1598" w:type="dxa"/>
            <w:vMerge/>
            <w:tcBorders>
              <w:left w:val="single" w:sz="4" w:space="0" w:color="auto"/>
              <w:bottom w:val="single" w:sz="4" w:space="0" w:color="auto"/>
              <w:right w:val="single" w:sz="4" w:space="0" w:color="auto"/>
            </w:tcBorders>
            <w:vAlign w:val="center"/>
          </w:tcPr>
          <w:p w:rsidR="00000000" w:rsidRDefault="00000000">
            <w:pPr>
              <w:spacing w:after="0"/>
            </w:pPr>
          </w:p>
        </w:tc>
        <w:tc>
          <w:tcPr>
            <w:tcW w:w="1361"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Up to</w:t>
            </w:r>
            <w:r>
              <w:br/>
              <w:t>one year</w:t>
            </w:r>
          </w:p>
        </w:tc>
        <w:tc>
          <w:tcPr>
            <w:tcW w:w="1362"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One or two years</w:t>
            </w:r>
          </w:p>
        </w:tc>
        <w:tc>
          <w:tcPr>
            <w:tcW w:w="1361"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Three to four years</w:t>
            </w:r>
          </w:p>
        </w:tc>
        <w:tc>
          <w:tcPr>
            <w:tcW w:w="1362"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Five to nine years</w:t>
            </w:r>
          </w:p>
        </w:tc>
        <w:tc>
          <w:tcPr>
            <w:tcW w:w="1362"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10 years and above</w:t>
            </w:r>
          </w:p>
        </w:tc>
      </w:tr>
      <w:tr w:rsidR="00000000">
        <w:tblPrEx>
          <w:tblCellMar>
            <w:top w:w="0" w:type="dxa"/>
            <w:left w:w="0" w:type="dxa"/>
            <w:bottom w:w="0" w:type="dxa"/>
            <w:right w:w="0" w:type="dxa"/>
          </w:tblCellMar>
        </w:tblPrEx>
        <w:trPr>
          <w:cantSplit/>
          <w:trHeight w:val="267"/>
        </w:trPr>
        <w:tc>
          <w:tcPr>
            <w:tcW w:w="954"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1990</w:t>
            </w:r>
          </w:p>
        </w:tc>
        <w:tc>
          <w:tcPr>
            <w:tcW w:w="1598"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2 675</w:t>
            </w:r>
          </w:p>
        </w:tc>
        <w:tc>
          <w:tcPr>
            <w:tcW w:w="1361"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652</w:t>
            </w:r>
          </w:p>
        </w:tc>
        <w:tc>
          <w:tcPr>
            <w:tcW w:w="1362"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525</w:t>
            </w:r>
          </w:p>
        </w:tc>
        <w:tc>
          <w:tcPr>
            <w:tcW w:w="1361"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688</w:t>
            </w:r>
          </w:p>
        </w:tc>
        <w:tc>
          <w:tcPr>
            <w:tcW w:w="1362"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459</w:t>
            </w:r>
          </w:p>
        </w:tc>
        <w:tc>
          <w:tcPr>
            <w:tcW w:w="1362"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351</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1991</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2 236</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518</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512</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534</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366</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306</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1992</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2 480</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532</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779</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546</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378</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245</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1993</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2 251</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442</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580</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572</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385</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272</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1994</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2 108</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429</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466</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565</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399</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249</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1995</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2 331</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528</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623</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540</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342</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298</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1996</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1 901</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526</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452</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415</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259</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249</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1997</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1 430</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337</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370</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318</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182</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223</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1998</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2 005</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367</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439</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463</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372</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364</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1999</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2 114</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368</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436</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473</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443</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394</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nil"/>
              <w:right w:val="single" w:sz="4" w:space="0" w:color="auto"/>
            </w:tcBorders>
            <w:vAlign w:val="center"/>
          </w:tcPr>
          <w:p w:rsidR="00000000" w:rsidRDefault="00000000">
            <w:pPr>
              <w:spacing w:after="0"/>
              <w:jc w:val="center"/>
            </w:pPr>
            <w:r>
              <w:t>2000</w:t>
            </w:r>
          </w:p>
        </w:tc>
        <w:tc>
          <w:tcPr>
            <w:tcW w:w="1598" w:type="dxa"/>
            <w:tcBorders>
              <w:top w:val="nil"/>
              <w:left w:val="single" w:sz="4" w:space="0" w:color="auto"/>
              <w:bottom w:val="nil"/>
              <w:right w:val="single" w:sz="4" w:space="0" w:color="auto"/>
            </w:tcBorders>
            <w:vAlign w:val="center"/>
          </w:tcPr>
          <w:p w:rsidR="00000000" w:rsidRDefault="00000000">
            <w:pPr>
              <w:spacing w:after="0"/>
              <w:jc w:val="center"/>
            </w:pPr>
            <w:r>
              <w:t>2 168</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377</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429</w:t>
            </w:r>
          </w:p>
        </w:tc>
        <w:tc>
          <w:tcPr>
            <w:tcW w:w="1361" w:type="dxa"/>
            <w:tcBorders>
              <w:top w:val="nil"/>
              <w:left w:val="single" w:sz="4" w:space="0" w:color="auto"/>
              <w:bottom w:val="nil"/>
              <w:right w:val="single" w:sz="4" w:space="0" w:color="auto"/>
            </w:tcBorders>
            <w:vAlign w:val="center"/>
          </w:tcPr>
          <w:p w:rsidR="00000000" w:rsidRDefault="00000000">
            <w:pPr>
              <w:spacing w:after="0"/>
              <w:jc w:val="center"/>
            </w:pPr>
            <w:r>
              <w:t>458</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484</w:t>
            </w:r>
          </w:p>
        </w:tc>
        <w:tc>
          <w:tcPr>
            <w:tcW w:w="1362" w:type="dxa"/>
            <w:tcBorders>
              <w:top w:val="nil"/>
              <w:left w:val="single" w:sz="4" w:space="0" w:color="auto"/>
              <w:bottom w:val="nil"/>
              <w:right w:val="single" w:sz="4" w:space="0" w:color="auto"/>
            </w:tcBorders>
            <w:vAlign w:val="center"/>
          </w:tcPr>
          <w:p w:rsidR="00000000" w:rsidRDefault="00000000">
            <w:pPr>
              <w:spacing w:after="0"/>
              <w:jc w:val="center"/>
            </w:pPr>
            <w:r>
              <w:t>420</w:t>
            </w:r>
          </w:p>
        </w:tc>
      </w:tr>
      <w:tr w:rsidR="00000000">
        <w:tblPrEx>
          <w:tblCellMar>
            <w:top w:w="0" w:type="dxa"/>
            <w:left w:w="0" w:type="dxa"/>
            <w:bottom w:w="0" w:type="dxa"/>
            <w:right w:w="0" w:type="dxa"/>
          </w:tblCellMar>
        </w:tblPrEx>
        <w:trPr>
          <w:cantSplit/>
          <w:trHeight w:val="268"/>
        </w:trPr>
        <w:tc>
          <w:tcPr>
            <w:tcW w:w="954"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2001</w:t>
            </w:r>
          </w:p>
        </w:tc>
        <w:tc>
          <w:tcPr>
            <w:tcW w:w="1598"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2 462</w:t>
            </w:r>
          </w:p>
        </w:tc>
        <w:tc>
          <w:tcPr>
            <w:tcW w:w="1361"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508</w:t>
            </w:r>
          </w:p>
        </w:tc>
        <w:tc>
          <w:tcPr>
            <w:tcW w:w="1362"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504</w:t>
            </w:r>
          </w:p>
        </w:tc>
        <w:tc>
          <w:tcPr>
            <w:tcW w:w="1361"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576</w:t>
            </w:r>
          </w:p>
        </w:tc>
        <w:tc>
          <w:tcPr>
            <w:tcW w:w="1362"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469</w:t>
            </w:r>
          </w:p>
        </w:tc>
        <w:tc>
          <w:tcPr>
            <w:tcW w:w="1362"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405</w:t>
            </w:r>
          </w:p>
        </w:tc>
      </w:tr>
    </w:tbl>
    <w:p w:rsidR="00000000" w:rsidRDefault="00000000">
      <w:pPr>
        <w:pStyle w:val="Heading2"/>
        <w:spacing w:before="240"/>
      </w:pPr>
      <w:r>
        <w:t>Table 21</w:t>
      </w:r>
    </w:p>
    <w:p w:rsidR="00000000" w:rsidRDefault="00000000">
      <w:pPr>
        <w:pStyle w:val="Heading2"/>
      </w:pPr>
      <w:r>
        <w:t>Divorces by educational level</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8"/>
        <w:gridCol w:w="1574"/>
        <w:gridCol w:w="1354"/>
        <w:gridCol w:w="1355"/>
        <w:gridCol w:w="1355"/>
        <w:gridCol w:w="1355"/>
        <w:gridCol w:w="1359"/>
      </w:tblGrid>
      <w:tr w:rsidR="00000000">
        <w:tblPrEx>
          <w:tblCellMar>
            <w:top w:w="0" w:type="dxa"/>
            <w:left w:w="0" w:type="dxa"/>
            <w:bottom w:w="0" w:type="dxa"/>
            <w:right w:w="0" w:type="dxa"/>
          </w:tblCellMar>
        </w:tblPrEx>
        <w:trPr>
          <w:trHeight w:val="249"/>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18"/>
              </w:rPr>
            </w:pPr>
            <w:r>
              <w:br w:type="page"/>
            </w:r>
            <w:r>
              <w:br w:type="page"/>
            </w:r>
            <w:r>
              <w:rPr>
                <w:szCs w:val="18"/>
              </w:rPr>
              <w:t>Years</w:t>
            </w:r>
          </w:p>
        </w:tc>
        <w:tc>
          <w:tcPr>
            <w:tcW w:w="157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18"/>
              </w:rPr>
            </w:pPr>
            <w:r>
              <w:rPr>
                <w:szCs w:val="18"/>
              </w:rPr>
              <w:t>Total divorces</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18"/>
              </w:rPr>
            </w:pPr>
            <w:r>
              <w:rPr>
                <w:szCs w:val="18"/>
              </w:rPr>
              <w:t>Illiterate</w:t>
            </w:r>
          </w:p>
        </w:tc>
        <w:tc>
          <w:tcPr>
            <w:tcW w:w="13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Elementary school</w:t>
            </w:r>
          </w:p>
        </w:tc>
        <w:tc>
          <w:tcPr>
            <w:tcW w:w="13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Primary school</w:t>
            </w:r>
          </w:p>
        </w:tc>
        <w:tc>
          <w:tcPr>
            <w:tcW w:w="135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Secondary school</w:t>
            </w:r>
          </w:p>
        </w:tc>
        <w:tc>
          <w:tcPr>
            <w:tcW w:w="13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Tertiary education</w:t>
            </w:r>
          </w:p>
        </w:tc>
      </w:tr>
      <w:tr w:rsidR="00000000">
        <w:tblPrEx>
          <w:tblCellMar>
            <w:top w:w="0" w:type="dxa"/>
            <w:left w:w="0" w:type="dxa"/>
            <w:bottom w:w="0" w:type="dxa"/>
            <w:right w:w="0" w:type="dxa"/>
          </w:tblCellMar>
        </w:tblPrEx>
        <w:trPr>
          <w:trHeight w:val="235"/>
        </w:trPr>
        <w:tc>
          <w:tcPr>
            <w:tcW w:w="1008"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Cs w:val="18"/>
              </w:rPr>
            </w:pPr>
            <w:r>
              <w:rPr>
                <w:szCs w:val="18"/>
              </w:rPr>
              <w:t>1993</w:t>
            </w:r>
          </w:p>
        </w:tc>
        <w:tc>
          <w:tcPr>
            <w:tcW w:w="1574"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Cs w:val="18"/>
              </w:rPr>
            </w:pPr>
            <w:r>
              <w:rPr>
                <w:szCs w:val="18"/>
              </w:rPr>
              <w:t>2 251</w:t>
            </w:r>
          </w:p>
        </w:tc>
        <w:tc>
          <w:tcPr>
            <w:tcW w:w="1354"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Cs w:val="18"/>
              </w:rPr>
            </w:pPr>
          </w:p>
        </w:tc>
        <w:tc>
          <w:tcPr>
            <w:tcW w:w="1355"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Cs w:val="18"/>
              </w:rPr>
            </w:pPr>
            <w:r>
              <w:rPr>
                <w:szCs w:val="18"/>
              </w:rPr>
              <w:t>181</w:t>
            </w:r>
          </w:p>
        </w:tc>
        <w:tc>
          <w:tcPr>
            <w:tcW w:w="1355"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Cs w:val="18"/>
              </w:rPr>
            </w:pPr>
            <w:r>
              <w:rPr>
                <w:szCs w:val="18"/>
              </w:rPr>
              <w:t>1 148</w:t>
            </w:r>
          </w:p>
        </w:tc>
        <w:tc>
          <w:tcPr>
            <w:tcW w:w="1355" w:type="dxa"/>
            <w:tcBorders>
              <w:top w:val="single" w:sz="4" w:space="0" w:color="auto"/>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833</w:t>
            </w:r>
          </w:p>
        </w:tc>
        <w:tc>
          <w:tcPr>
            <w:tcW w:w="1359" w:type="dxa"/>
            <w:tcBorders>
              <w:top w:val="single" w:sz="4" w:space="0" w:color="auto"/>
              <w:left w:val="single" w:sz="4" w:space="0" w:color="auto"/>
              <w:bottom w:val="nil"/>
              <w:right w:val="single" w:sz="4" w:space="0" w:color="auto"/>
            </w:tcBorders>
            <w:vAlign w:val="center"/>
          </w:tcPr>
          <w:p w:rsidR="00000000" w:rsidRDefault="00000000">
            <w:pPr>
              <w:spacing w:after="0"/>
              <w:ind w:left="113"/>
              <w:jc w:val="center"/>
              <w:rPr>
                <w:szCs w:val="18"/>
              </w:rPr>
            </w:pPr>
            <w:r>
              <w:rPr>
                <w:szCs w:val="18"/>
              </w:rPr>
              <w:t>89</w:t>
            </w:r>
          </w:p>
        </w:tc>
      </w:tr>
      <w:tr w:rsidR="00000000">
        <w:tblPrEx>
          <w:tblCellMar>
            <w:top w:w="0" w:type="dxa"/>
            <w:left w:w="0" w:type="dxa"/>
            <w:bottom w:w="0" w:type="dxa"/>
            <w:right w:w="0" w:type="dxa"/>
          </w:tblCellMar>
        </w:tblPrEx>
        <w:trPr>
          <w:trHeight w:val="230"/>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1994</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2 108</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216</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989</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792</w:t>
            </w:r>
          </w:p>
        </w:tc>
        <w:tc>
          <w:tcPr>
            <w:tcW w:w="135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111</w:t>
            </w:r>
          </w:p>
        </w:tc>
      </w:tr>
      <w:tr w:rsidR="00000000">
        <w:tblPrEx>
          <w:tblCellMar>
            <w:top w:w="0" w:type="dxa"/>
            <w:left w:w="0" w:type="dxa"/>
            <w:bottom w:w="0" w:type="dxa"/>
            <w:right w:w="0" w:type="dxa"/>
          </w:tblCellMar>
        </w:tblPrEx>
        <w:trPr>
          <w:trHeight w:val="230"/>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1995</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2 331</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81</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147</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1 118</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877</w:t>
            </w:r>
          </w:p>
        </w:tc>
        <w:tc>
          <w:tcPr>
            <w:tcW w:w="135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108</w:t>
            </w:r>
          </w:p>
        </w:tc>
      </w:tr>
      <w:tr w:rsidR="00000000">
        <w:tblPrEx>
          <w:tblCellMar>
            <w:top w:w="0" w:type="dxa"/>
            <w:left w:w="0" w:type="dxa"/>
            <w:bottom w:w="0" w:type="dxa"/>
            <w:right w:w="0" w:type="dxa"/>
          </w:tblCellMar>
        </w:tblPrEx>
        <w:trPr>
          <w:trHeight w:val="230"/>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1996</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1 901</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95</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125</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863</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732</w:t>
            </w:r>
          </w:p>
        </w:tc>
        <w:tc>
          <w:tcPr>
            <w:tcW w:w="1359" w:type="dxa"/>
            <w:tcBorders>
              <w:top w:val="nil"/>
              <w:left w:val="single" w:sz="4" w:space="0" w:color="auto"/>
              <w:bottom w:val="nil"/>
              <w:right w:val="single" w:sz="4" w:space="0" w:color="auto"/>
            </w:tcBorders>
            <w:vAlign w:val="center"/>
          </w:tcPr>
          <w:p w:rsidR="00000000" w:rsidRDefault="00000000">
            <w:pPr>
              <w:spacing w:after="0"/>
              <w:ind w:left="113"/>
              <w:jc w:val="center"/>
              <w:rPr>
                <w:szCs w:val="18"/>
              </w:rPr>
            </w:pPr>
            <w:r>
              <w:rPr>
                <w:szCs w:val="18"/>
              </w:rPr>
              <w:t>86</w:t>
            </w:r>
          </w:p>
        </w:tc>
      </w:tr>
      <w:tr w:rsidR="00000000">
        <w:tblPrEx>
          <w:tblCellMar>
            <w:top w:w="0" w:type="dxa"/>
            <w:left w:w="0" w:type="dxa"/>
            <w:bottom w:w="0" w:type="dxa"/>
            <w:right w:w="0" w:type="dxa"/>
          </w:tblCellMar>
        </w:tblPrEx>
        <w:trPr>
          <w:trHeight w:val="230"/>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1997</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1 430</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46</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200</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544</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586</w:t>
            </w:r>
          </w:p>
        </w:tc>
        <w:tc>
          <w:tcPr>
            <w:tcW w:w="1359" w:type="dxa"/>
            <w:tcBorders>
              <w:top w:val="nil"/>
              <w:left w:val="single" w:sz="4" w:space="0" w:color="auto"/>
              <w:bottom w:val="nil"/>
              <w:right w:val="single" w:sz="4" w:space="0" w:color="auto"/>
            </w:tcBorders>
            <w:vAlign w:val="center"/>
          </w:tcPr>
          <w:p w:rsidR="00000000" w:rsidRDefault="00000000">
            <w:pPr>
              <w:spacing w:after="0"/>
              <w:ind w:left="113"/>
              <w:jc w:val="center"/>
              <w:rPr>
                <w:szCs w:val="18"/>
              </w:rPr>
            </w:pPr>
            <w:r>
              <w:rPr>
                <w:szCs w:val="18"/>
              </w:rPr>
              <w:t>54</w:t>
            </w:r>
          </w:p>
        </w:tc>
      </w:tr>
      <w:tr w:rsidR="00000000">
        <w:tblPrEx>
          <w:tblCellMar>
            <w:top w:w="0" w:type="dxa"/>
            <w:left w:w="0" w:type="dxa"/>
            <w:bottom w:w="0" w:type="dxa"/>
            <w:right w:w="0" w:type="dxa"/>
          </w:tblCellMar>
        </w:tblPrEx>
        <w:trPr>
          <w:trHeight w:val="225"/>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1998</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2 005</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88</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135</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821</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834</w:t>
            </w:r>
          </w:p>
        </w:tc>
        <w:tc>
          <w:tcPr>
            <w:tcW w:w="135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127</w:t>
            </w:r>
          </w:p>
        </w:tc>
      </w:tr>
      <w:tr w:rsidR="00000000">
        <w:tblPrEx>
          <w:tblCellMar>
            <w:top w:w="0" w:type="dxa"/>
            <w:left w:w="0" w:type="dxa"/>
            <w:bottom w:w="0" w:type="dxa"/>
            <w:right w:w="0" w:type="dxa"/>
          </w:tblCellMar>
        </w:tblPrEx>
        <w:trPr>
          <w:trHeight w:val="235"/>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1999</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2 114</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66</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151</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925</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831</w:t>
            </w:r>
          </w:p>
        </w:tc>
        <w:tc>
          <w:tcPr>
            <w:tcW w:w="135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141</w:t>
            </w:r>
          </w:p>
        </w:tc>
      </w:tr>
      <w:tr w:rsidR="00000000">
        <w:tblPrEx>
          <w:tblCellMar>
            <w:top w:w="0" w:type="dxa"/>
            <w:left w:w="0" w:type="dxa"/>
            <w:bottom w:w="0" w:type="dxa"/>
            <w:right w:w="0" w:type="dxa"/>
          </w:tblCellMar>
        </w:tblPrEx>
        <w:trPr>
          <w:trHeight w:val="230"/>
        </w:trPr>
        <w:tc>
          <w:tcPr>
            <w:tcW w:w="1008"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2000</w:t>
            </w:r>
          </w:p>
        </w:tc>
        <w:tc>
          <w:tcPr>
            <w:tcW w:w="157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2 168</w:t>
            </w:r>
          </w:p>
        </w:tc>
        <w:tc>
          <w:tcPr>
            <w:tcW w:w="1354"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18</w:t>
            </w:r>
          </w:p>
        </w:tc>
        <w:tc>
          <w:tcPr>
            <w:tcW w:w="1355"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210</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958</w:t>
            </w:r>
          </w:p>
        </w:tc>
        <w:tc>
          <w:tcPr>
            <w:tcW w:w="1355" w:type="dxa"/>
            <w:tcBorders>
              <w:top w:val="nil"/>
              <w:left w:val="single" w:sz="4" w:space="0" w:color="auto"/>
              <w:bottom w:val="nil"/>
              <w:right w:val="single" w:sz="4" w:space="0" w:color="auto"/>
            </w:tcBorders>
            <w:vAlign w:val="center"/>
          </w:tcPr>
          <w:p w:rsidR="00000000" w:rsidRDefault="00000000">
            <w:pPr>
              <w:spacing w:after="0"/>
              <w:ind w:left="170"/>
              <w:jc w:val="center"/>
              <w:rPr>
                <w:szCs w:val="18"/>
              </w:rPr>
            </w:pPr>
            <w:r>
              <w:rPr>
                <w:szCs w:val="18"/>
              </w:rPr>
              <w:t>793</w:t>
            </w:r>
          </w:p>
        </w:tc>
        <w:tc>
          <w:tcPr>
            <w:tcW w:w="1359" w:type="dxa"/>
            <w:tcBorders>
              <w:top w:val="nil"/>
              <w:left w:val="single" w:sz="4" w:space="0" w:color="auto"/>
              <w:bottom w:val="nil"/>
              <w:right w:val="single" w:sz="4" w:space="0" w:color="auto"/>
            </w:tcBorders>
            <w:vAlign w:val="center"/>
          </w:tcPr>
          <w:p w:rsidR="00000000" w:rsidRDefault="00000000">
            <w:pPr>
              <w:spacing w:after="0"/>
              <w:jc w:val="center"/>
              <w:rPr>
                <w:szCs w:val="18"/>
              </w:rPr>
            </w:pPr>
            <w:r>
              <w:rPr>
                <w:szCs w:val="18"/>
              </w:rPr>
              <w:t>189</w:t>
            </w:r>
          </w:p>
        </w:tc>
      </w:tr>
      <w:tr w:rsidR="00000000">
        <w:tblPrEx>
          <w:tblCellMar>
            <w:top w:w="0" w:type="dxa"/>
            <w:left w:w="0" w:type="dxa"/>
            <w:bottom w:w="0" w:type="dxa"/>
            <w:right w:w="0" w:type="dxa"/>
          </w:tblCellMar>
        </w:tblPrEx>
        <w:trPr>
          <w:trHeight w:val="206"/>
        </w:trPr>
        <w:tc>
          <w:tcPr>
            <w:tcW w:w="1008"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2001</w:t>
            </w:r>
          </w:p>
        </w:tc>
        <w:tc>
          <w:tcPr>
            <w:tcW w:w="157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2 462</w:t>
            </w:r>
          </w:p>
        </w:tc>
        <w:tc>
          <w:tcPr>
            <w:tcW w:w="135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14</w:t>
            </w:r>
          </w:p>
        </w:tc>
        <w:tc>
          <w:tcPr>
            <w:tcW w:w="1355"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131</w:t>
            </w:r>
          </w:p>
        </w:tc>
        <w:tc>
          <w:tcPr>
            <w:tcW w:w="1355"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1 153</w:t>
            </w:r>
          </w:p>
        </w:tc>
        <w:tc>
          <w:tcPr>
            <w:tcW w:w="1355"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1 013</w:t>
            </w:r>
          </w:p>
        </w:tc>
        <w:tc>
          <w:tcPr>
            <w:tcW w:w="1359"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Cs w:val="18"/>
              </w:rPr>
            </w:pPr>
            <w:r>
              <w:rPr>
                <w:szCs w:val="18"/>
              </w:rPr>
              <w:t>151</w:t>
            </w:r>
          </w:p>
        </w:tc>
      </w:tr>
    </w:tbl>
    <w:p w:rsidR="00000000" w:rsidRDefault="00000000">
      <w:pPr>
        <w:spacing w:before="240"/>
      </w:pPr>
      <w:r>
        <w:tab/>
      </w:r>
      <w:r>
        <w:rPr>
          <w:i/>
          <w:iCs/>
        </w:rPr>
        <w:t>Source</w:t>
      </w:r>
      <w:r>
        <w:t xml:space="preserve">:  INSTAT - </w:t>
      </w:r>
      <w:r>
        <w:rPr>
          <w:i/>
          <w:iCs/>
        </w:rPr>
        <w:t>Women and Men in Albania</w:t>
      </w:r>
      <w:r>
        <w:t xml:space="preserve"> (October 2002).</w:t>
      </w:r>
    </w:p>
    <w:p w:rsidR="00000000" w:rsidRDefault="00000000">
      <w:pPr>
        <w:pStyle w:val="Heading3"/>
      </w:pPr>
      <w:r>
        <w:rPr>
          <w:bCs/>
        </w:rPr>
        <w:t>A</w:t>
      </w:r>
      <w:r>
        <w:t>ssistance to families</w:t>
      </w:r>
    </w:p>
    <w:p w:rsidR="00000000" w:rsidRDefault="00000000">
      <w:pPr>
        <w:pStyle w:val="ParaNo"/>
        <w:ind w:left="0" w:firstLine="0"/>
      </w:pPr>
      <w:r>
        <w:t xml:space="preserve">All poor families or individuals are entitled to this assistance, provided they fulfil the legal requirements.  The benefits under this scheme are provided without any distinction based on ethnicity, belief, gender, etc.  In any case, it has to be mentioned that some poor families are not entitled to this benefit, because they do not meet the legal requirements.  The highest percentage within this group consists of families who migrated by choice.  These families, </w:t>
      </w:r>
      <w:proofErr w:type="spellStart"/>
      <w:r>
        <w:t>however</w:t>
      </w:r>
      <w:proofErr w:type="spellEnd"/>
      <w:r>
        <w:t xml:space="preserve">, have </w:t>
      </w:r>
      <w:proofErr w:type="spellStart"/>
      <w:r>
        <w:t>received</w:t>
      </w:r>
      <w:proofErr w:type="spellEnd"/>
      <w:r>
        <w:t xml:space="preserve"> short-term and partial benefits after being identified by social service </w:t>
      </w:r>
    </w:p>
    <w:p w:rsidR="00000000" w:rsidRDefault="00000000">
      <w:r>
        <w:br w:type="page"/>
        <w:t>regional offices.  They have also given priority during the assistance provided by various NGO programmes and international organizations, such as the World Food Programme, Catholic Relief Services, Mercy International, and Care International.</w:t>
      </w:r>
    </w:p>
    <w:p w:rsidR="00000000" w:rsidRDefault="00000000">
      <w:pPr>
        <w:pStyle w:val="ParaNo"/>
        <w:ind w:left="0" w:firstLine="0"/>
        <w:rPr>
          <w:lang w:val="en-GB"/>
        </w:rPr>
      </w:pPr>
      <w:r>
        <w:rPr>
          <w:lang w:val="en-GB"/>
        </w:rPr>
        <w:t>One of the most challenging problems faced with regard to insurance is the incompatibility of the current law (Law No. 7710, of 18 May 1993) with the new challenges that emerged during its implementation.  For that reason, the Social Insurance Institute is currently working on a new draft law, whose adoption would respond to the actual developments in the country, the decentralization reform of social services and other social problems.</w:t>
      </w:r>
    </w:p>
    <w:p w:rsidR="00000000" w:rsidRDefault="00000000">
      <w:pPr>
        <w:pStyle w:val="Heading3"/>
      </w:pPr>
      <w:r>
        <w:t xml:space="preserve">Protection of mothers before and after childbirth </w:t>
      </w:r>
    </w:p>
    <w:p w:rsidR="00000000" w:rsidRDefault="00000000">
      <w:pPr>
        <w:pStyle w:val="ParaNo"/>
        <w:ind w:left="0" w:firstLine="0"/>
        <w:rPr>
          <w:lang w:val="en-GB"/>
        </w:rPr>
      </w:pPr>
      <w:r>
        <w:rPr>
          <w:lang w:val="en-GB"/>
        </w:rPr>
        <w:t>Law No. 7703, of 11 May 1993, “On social insurance in the Republic of Albania” (amended), provides that mandatory insurance is a non-profit scheme, protecting employed persons and other economically active persons (employers and self-employed people) in respect of maternity (art. 2).</w:t>
      </w:r>
    </w:p>
    <w:p w:rsidR="00000000" w:rsidRDefault="00000000">
      <w:pPr>
        <w:pStyle w:val="ParaNo"/>
        <w:ind w:left="0" w:firstLine="0"/>
        <w:rPr>
          <w:bCs/>
          <w:szCs w:val="22"/>
          <w:lang w:val="en-GB"/>
        </w:rPr>
      </w:pPr>
      <w:r>
        <w:rPr>
          <w:bCs/>
          <w:szCs w:val="22"/>
          <w:lang w:val="en-GB"/>
        </w:rPr>
        <w:t xml:space="preserve">The maternity benefit shall be payable to a woman with regard to pregnancy and childbirth, provided she has acquired 12 months of social insurance.  The benefit period shall be 365 calendar days, including a minimum of 35 days before and 42 days after childbirth.  For pregnant women who have </w:t>
      </w:r>
      <w:r>
        <w:rPr>
          <w:lang w:val="en-GB"/>
        </w:rPr>
        <w:t>more</w:t>
      </w:r>
      <w:r>
        <w:rPr>
          <w:bCs/>
          <w:szCs w:val="22"/>
          <w:lang w:val="en-GB"/>
        </w:rPr>
        <w:t xml:space="preserve"> than one child, the benefit period shall be 390 calendar days, including a minimum of 60 days before and 42 days after childbirth.</w:t>
      </w:r>
    </w:p>
    <w:p w:rsidR="00000000" w:rsidRDefault="00000000">
      <w:pPr>
        <w:pStyle w:val="ParaNo"/>
        <w:ind w:left="0" w:firstLine="0"/>
        <w:rPr>
          <w:szCs w:val="22"/>
          <w:lang w:val="en-GB"/>
        </w:rPr>
      </w:pPr>
      <w:r>
        <w:rPr>
          <w:szCs w:val="22"/>
          <w:lang w:val="en-GB"/>
        </w:rPr>
        <w:t>The rate of maternity benefits for an insured woman shall be:</w:t>
      </w:r>
    </w:p>
    <w:p w:rsidR="00000000" w:rsidRDefault="00000000">
      <w:pPr>
        <w:numPr>
          <w:ilvl w:val="0"/>
          <w:numId w:val="189"/>
        </w:numPr>
      </w:pPr>
      <w:r>
        <w:t>80 per cent of the daily average of the assessment basis of the last calendar year for the period prior to birth, and for 150 calendar days after the birth;</w:t>
      </w:r>
    </w:p>
    <w:p w:rsidR="00000000" w:rsidRDefault="00000000">
      <w:pPr>
        <w:numPr>
          <w:ilvl w:val="0"/>
          <w:numId w:val="189"/>
        </w:numPr>
        <w:rPr>
          <w:szCs w:val="22"/>
        </w:rPr>
      </w:pPr>
      <w:r>
        <w:rPr>
          <w:szCs w:val="22"/>
        </w:rPr>
        <w:t>50 per cent of the daily average of the assessment basis of the last calendar year for the rest of period.</w:t>
      </w:r>
    </w:p>
    <w:p w:rsidR="00000000" w:rsidRDefault="00000000">
      <w:pPr>
        <w:pStyle w:val="ParaNo"/>
        <w:ind w:left="0" w:firstLine="0"/>
        <w:rPr>
          <w:szCs w:val="22"/>
          <w:lang w:val="en-GB"/>
        </w:rPr>
      </w:pPr>
      <w:r>
        <w:rPr>
          <w:szCs w:val="22"/>
          <w:lang w:val="en-GB"/>
        </w:rPr>
        <w:t>Maternity benefits are paid at the workplace by the employer, with the social insurance funds designated for this purpose in conformity with the respective documentation.  For the purpose of social protection, the maternity period is considered as the insurance period.</w:t>
      </w:r>
    </w:p>
    <w:p w:rsidR="00000000" w:rsidRDefault="00000000">
      <w:pPr>
        <w:pStyle w:val="ParaNo"/>
        <w:ind w:left="0" w:firstLine="0"/>
        <w:rPr>
          <w:szCs w:val="22"/>
          <w:lang w:val="en-GB"/>
        </w:rPr>
      </w:pPr>
      <w:r>
        <w:rPr>
          <w:szCs w:val="22"/>
          <w:lang w:val="en-GB"/>
        </w:rPr>
        <w:t xml:space="preserve">The amount of maternity benefit for an economically active woman shall be equal to the base flat-rate old-age pension.  When a child of up to 1 year of age is adopted, the adoptive mother, having not less than 12 months of insurance, shall have a maternity benefit beginning from the day the adoption occurred.  This shall not begin before the 42nd day of </w:t>
      </w:r>
      <w:r>
        <w:rPr>
          <w:lang w:val="en-GB"/>
        </w:rPr>
        <w:t>childbirth</w:t>
      </w:r>
      <w:r>
        <w:rPr>
          <w:szCs w:val="22"/>
          <w:lang w:val="en-GB"/>
        </w:rPr>
        <w:t>, subject to a maximum of 330 days from delivery of the baby.  The minimum period of benefits for the adoptive mother shall be 28 days.  When a child is adopted during the maternity leave, the real mother shall have a benefit period until the day the adoption occurred, but not less than 42 days after childbirth (art. 27).</w:t>
      </w:r>
    </w:p>
    <w:p w:rsidR="00000000" w:rsidRDefault="00000000">
      <w:pPr>
        <w:pStyle w:val="ParaNo"/>
        <w:ind w:left="0" w:firstLine="0"/>
        <w:rPr>
          <w:szCs w:val="22"/>
          <w:lang w:val="en-GB"/>
        </w:rPr>
      </w:pPr>
      <w:r>
        <w:rPr>
          <w:szCs w:val="22"/>
          <w:lang w:val="en-GB"/>
        </w:rPr>
        <w:t xml:space="preserve">The maternity allowance benefit shall be awarded to reimburse the loss of wages of an insured person who has to change employment for reasons of pregnancy, in conformity with a decision of a medical experts’ committee, provided one year’s contributions has been paid, </w:t>
      </w:r>
    </w:p>
    <w:p w:rsidR="00000000" w:rsidRDefault="00000000">
      <w:r>
        <w:br w:type="page"/>
        <w:t>prior to being eligible to benefits.  The amount of such a benefit shall be equal to the difference between the previous and present wages, subject to a maximum of 50 per cent of the daily average of annual assessment basis for the last calendar year</w:t>
      </w:r>
      <w:r>
        <w:rPr>
          <w:b/>
          <w:bCs/>
        </w:rPr>
        <w:t xml:space="preserve"> </w:t>
      </w:r>
      <w:r>
        <w:t>(art. 28).</w:t>
      </w:r>
    </w:p>
    <w:p w:rsidR="00000000" w:rsidRDefault="00000000">
      <w:pPr>
        <w:pStyle w:val="ParaNo"/>
        <w:ind w:left="0" w:firstLine="0"/>
        <w:rPr>
          <w:szCs w:val="22"/>
          <w:lang w:val="en-GB"/>
        </w:rPr>
      </w:pPr>
      <w:r>
        <w:rPr>
          <w:szCs w:val="22"/>
          <w:lang w:val="en-GB"/>
        </w:rPr>
        <w:t>A birth grant shall be awarded to an insured person who is the mother or father of a newborn child, provided that one of them has contributed for one year prior to the childbirth.  The grant shall be payable only once and the mother shall have priority in eligibility, if insured.  The birth grant shall be a lump sum equal to 50 per cent of the minimum monthly wage</w:t>
      </w:r>
      <w:r>
        <w:rPr>
          <w:b/>
          <w:bCs/>
          <w:szCs w:val="22"/>
          <w:lang w:val="en-GB"/>
        </w:rPr>
        <w:t xml:space="preserve"> (</w:t>
      </w:r>
      <w:r>
        <w:rPr>
          <w:szCs w:val="22"/>
          <w:lang w:val="en-GB"/>
        </w:rPr>
        <w:t>art. 29).</w:t>
      </w:r>
    </w:p>
    <w:p w:rsidR="00000000" w:rsidRDefault="00000000">
      <w:pPr>
        <w:rPr>
          <w:b/>
          <w:bCs/>
          <w:szCs w:val="26"/>
        </w:rPr>
      </w:pPr>
      <w:r>
        <w:rPr>
          <w:b/>
          <w:bCs/>
          <w:szCs w:val="26"/>
        </w:rPr>
        <w:t>Equal right of children to protection</w:t>
      </w:r>
    </w:p>
    <w:p w:rsidR="00000000" w:rsidRDefault="00000000">
      <w:pPr>
        <w:pStyle w:val="ParaNo"/>
        <w:ind w:left="0" w:firstLine="0"/>
        <w:rPr>
          <w:color w:val="000000"/>
          <w:szCs w:val="26"/>
          <w:lang w:val="en-GB"/>
        </w:rPr>
      </w:pPr>
      <w:r>
        <w:rPr>
          <w:szCs w:val="26"/>
          <w:lang w:val="en-GB"/>
        </w:rPr>
        <w:t xml:space="preserve">The work of the Labour Inspectorate in general and above-mentioned cooperation with the ILO-OPEC programme in particular, aims to maximize the prevention of children’s </w:t>
      </w:r>
      <w:r>
        <w:rPr>
          <w:color w:val="000000"/>
          <w:szCs w:val="26"/>
          <w:lang w:val="en-GB"/>
        </w:rPr>
        <w:t>labour</w:t>
      </w:r>
      <w:r>
        <w:rPr>
          <w:szCs w:val="26"/>
          <w:lang w:val="en-GB"/>
        </w:rPr>
        <w:t xml:space="preserve"> and especially the prevention of their employment in </w:t>
      </w:r>
      <w:r>
        <w:rPr>
          <w:lang w:val="en-GB"/>
        </w:rPr>
        <w:t>jobs</w:t>
      </w:r>
      <w:r>
        <w:rPr>
          <w:szCs w:val="26"/>
          <w:lang w:val="en-GB"/>
        </w:rPr>
        <w:t xml:space="preserve"> that are harmful for their health and dangerous for their life.  Awareness </w:t>
      </w:r>
      <w:r>
        <w:rPr>
          <w:color w:val="000000"/>
          <w:szCs w:val="26"/>
          <w:lang w:val="en-GB"/>
        </w:rPr>
        <w:t>of all social structures, either governmental or non</w:t>
      </w:r>
      <w:r>
        <w:rPr>
          <w:color w:val="000000"/>
          <w:szCs w:val="26"/>
          <w:lang w:val="en-GB"/>
        </w:rPr>
        <w:noBreakHyphen/>
        <w:t>governmental, and associations would reduce this negative phenomenon of our society.</w:t>
      </w:r>
    </w:p>
    <w:p w:rsidR="00000000" w:rsidRDefault="00000000">
      <w:pPr>
        <w:pStyle w:val="ParaNo"/>
        <w:ind w:left="0" w:firstLine="0"/>
        <w:rPr>
          <w:color w:val="000000"/>
          <w:szCs w:val="26"/>
          <w:lang w:val="en-GB"/>
        </w:rPr>
      </w:pPr>
      <w:r>
        <w:rPr>
          <w:color w:val="000000"/>
          <w:szCs w:val="26"/>
          <w:lang w:val="en-GB"/>
        </w:rPr>
        <w:t>Chapter X of the Labour Code defines the minimum age under which a child should not be employed, that is, 16 years old.  There are exceptional cases of school-age children from 14 to 16 years old, who are allowed to do easy jobs during summer school vacations.</w:t>
      </w:r>
    </w:p>
    <w:p w:rsidR="00000000" w:rsidRDefault="00000000">
      <w:pPr>
        <w:pStyle w:val="ParaNo"/>
        <w:ind w:left="0" w:firstLine="0"/>
        <w:rPr>
          <w:color w:val="000000"/>
          <w:szCs w:val="26"/>
          <w:lang w:val="en-GB"/>
        </w:rPr>
      </w:pPr>
      <w:r>
        <w:rPr>
          <w:color w:val="000000"/>
          <w:szCs w:val="26"/>
          <w:lang w:val="en-GB"/>
        </w:rPr>
        <w:t xml:space="preserve">According to statistical data drawn from the Labour Inspectorate, there are approximately 600 children mostly between 16 and </w:t>
      </w:r>
      <w:r>
        <w:rPr>
          <w:lang w:val="en-GB"/>
        </w:rPr>
        <w:t>18 years of age</w:t>
      </w:r>
      <w:r>
        <w:rPr>
          <w:color w:val="000000"/>
          <w:szCs w:val="26"/>
          <w:lang w:val="en-GB"/>
        </w:rPr>
        <w:t>, who are employed mostly in social catering, tailoring, at shoe factories, etc.</w:t>
      </w:r>
    </w:p>
    <w:p w:rsidR="00000000" w:rsidRDefault="00000000">
      <w:pPr>
        <w:pStyle w:val="ParaNo"/>
        <w:ind w:left="0" w:firstLine="0"/>
        <w:rPr>
          <w:color w:val="000000"/>
          <w:szCs w:val="26"/>
          <w:lang w:val="en-GB"/>
        </w:rPr>
      </w:pPr>
      <w:r>
        <w:rPr>
          <w:color w:val="000000"/>
          <w:szCs w:val="26"/>
          <w:lang w:val="en-GB"/>
        </w:rPr>
        <w:t>Children are employed in different branches or economic sectors.  It is understandable that such social groups or individuals do not, or only partially, enjoy their rights to education or leisure.</w:t>
      </w:r>
    </w:p>
    <w:p w:rsidR="00000000" w:rsidRDefault="00000000">
      <w:pPr>
        <w:pStyle w:val="ParaNo"/>
        <w:ind w:left="0" w:firstLine="0"/>
        <w:rPr>
          <w:szCs w:val="26"/>
          <w:lang w:val="en-GB"/>
        </w:rPr>
      </w:pPr>
      <w:r>
        <w:rPr>
          <w:szCs w:val="26"/>
          <w:lang w:val="en-GB"/>
        </w:rPr>
        <w:t xml:space="preserve">According to the Albanian </w:t>
      </w:r>
      <w:r>
        <w:rPr>
          <w:lang w:val="en-GB"/>
        </w:rPr>
        <w:t>legislation</w:t>
      </w:r>
      <w:r>
        <w:rPr>
          <w:szCs w:val="26"/>
          <w:lang w:val="en-GB"/>
        </w:rPr>
        <w:t>, social services do not differentiate by age, gender or race.  Consequently there are not any categories of children to whom the protection measures are not provided.  Social services offered to orphans, abandoned children, or to children deprived of family, aim firstly at providing them with good upbringing and education, and secondly at finding a permanent family for them (by adoptions).  The problem of accommodating mentally handicapped children in development centres, whether residential or diurnal, remains unsolved because of the insufficient capacities of such centres.</w:t>
      </w:r>
    </w:p>
    <w:p w:rsidR="00000000" w:rsidRDefault="00000000">
      <w:pPr>
        <w:pStyle w:val="ParaNo"/>
        <w:ind w:left="0" w:firstLine="0"/>
        <w:rPr>
          <w:szCs w:val="26"/>
          <w:lang w:val="en-GB"/>
        </w:rPr>
      </w:pPr>
      <w:r>
        <w:rPr>
          <w:szCs w:val="26"/>
          <w:lang w:val="en-GB"/>
        </w:rPr>
        <w:t xml:space="preserve">Elements for informing children about their rights are included in syllabuses or curricula of the second level of </w:t>
      </w:r>
      <w:r>
        <w:rPr>
          <w:lang w:val="en-GB"/>
        </w:rPr>
        <w:t>elementary</w:t>
      </w:r>
      <w:r>
        <w:rPr>
          <w:szCs w:val="26"/>
          <w:lang w:val="en-GB"/>
        </w:rPr>
        <w:t>-school (middle) school.  In addition, various associations like the above-mentioned, yield useful contributions in this regard.</w:t>
      </w:r>
    </w:p>
    <w:p w:rsidR="00000000" w:rsidRDefault="00000000">
      <w:pPr>
        <w:pStyle w:val="ParaNo"/>
        <w:ind w:left="0" w:firstLine="0"/>
        <w:rPr>
          <w:szCs w:val="26"/>
          <w:lang w:val="en-GB"/>
        </w:rPr>
      </w:pPr>
      <w:r>
        <w:rPr>
          <w:szCs w:val="26"/>
          <w:lang w:val="en-GB"/>
        </w:rPr>
        <w:t>Although Albanian legislation pertaining to the social area has been published and disseminated, State social services organize frequent trainings and workshops aimed at making this generation aware of their rights.  A lot of work in this regard is done by social inspectors of the Aid and Social Care Service, regional offices placed in all of 12 prefectures.  Thus, in cooperation with various NGOs, a folder for State social services was drawn up as well as a number of posters.</w:t>
      </w:r>
    </w:p>
    <w:p w:rsidR="00000000" w:rsidRDefault="00000000">
      <w:pPr>
        <w:pStyle w:val="ParaNo"/>
        <w:ind w:left="0" w:firstLine="0"/>
        <w:rPr>
          <w:szCs w:val="26"/>
          <w:lang w:val="en-GB"/>
        </w:rPr>
      </w:pPr>
      <w:r>
        <w:rPr>
          <w:szCs w:val="26"/>
          <w:lang w:val="en-GB"/>
        </w:rPr>
        <w:t xml:space="preserve">Difficulties faced in the promotion of children’s </w:t>
      </w:r>
      <w:r>
        <w:rPr>
          <w:lang w:val="en-GB"/>
        </w:rPr>
        <w:t>rights</w:t>
      </w:r>
      <w:r>
        <w:rPr>
          <w:szCs w:val="26"/>
          <w:lang w:val="en-GB"/>
        </w:rPr>
        <w:t xml:space="preserve"> have been caused by uncontrolled movements of people, low economic standards, particularly in rural zones, and insufficient work of social partners in making children conscious of their rights.</w:t>
      </w:r>
    </w:p>
    <w:p w:rsidR="00000000" w:rsidRDefault="00000000">
      <w:pPr>
        <w:pStyle w:val="ParaNo"/>
        <w:ind w:left="0" w:firstLine="0"/>
        <w:rPr>
          <w:lang w:val="en-GB"/>
        </w:rPr>
      </w:pPr>
      <w:r>
        <w:rPr>
          <w:lang w:val="en-GB"/>
        </w:rPr>
        <w:t>More detailed information on children and their rights in the context of article 10 can be found in the initial periodic report of the Republic of Albania on implementation of CRC (CRC/C/11/Add.27), and in the initial report on the implementation of the International Covenant on Civil and Political Rights (</w:t>
      </w:r>
      <w:proofErr w:type="spellStart"/>
      <w:r>
        <w:rPr>
          <w:rStyle w:val="style181"/>
          <w:sz w:val="24"/>
          <w:szCs w:val="24"/>
          <w:lang w:val="en-GB"/>
        </w:rPr>
        <w:t>CCPR</w:t>
      </w:r>
      <w:proofErr w:type="spellEnd"/>
      <w:r>
        <w:rPr>
          <w:rStyle w:val="style181"/>
          <w:sz w:val="24"/>
          <w:szCs w:val="24"/>
          <w:lang w:val="en-GB"/>
        </w:rPr>
        <w:t>/C/ALB/2004/1)</w:t>
      </w:r>
      <w:r>
        <w:rPr>
          <w:lang w:val="en-GB"/>
        </w:rPr>
        <w:t>.</w:t>
      </w:r>
    </w:p>
    <w:p w:rsidR="00000000" w:rsidRDefault="00000000">
      <w:pPr>
        <w:pStyle w:val="Heading3"/>
      </w:pPr>
      <w:r>
        <w:t>International cooperation</w:t>
      </w:r>
    </w:p>
    <w:p w:rsidR="00000000" w:rsidRDefault="00000000">
      <w:pPr>
        <w:pStyle w:val="Heading4"/>
      </w:pPr>
      <w:r>
        <w:t>Projects implemented in the Ministry of Labour and Social Affairs</w:t>
      </w:r>
    </w:p>
    <w:p w:rsidR="00000000" w:rsidRDefault="00000000">
      <w:pPr>
        <w:pStyle w:val="ParaNo"/>
        <w:ind w:left="0" w:firstLine="0"/>
        <w:rPr>
          <w:szCs w:val="26"/>
          <w:lang w:val="en-GB"/>
        </w:rPr>
      </w:pPr>
      <w:r>
        <w:rPr>
          <w:lang w:val="en-GB"/>
        </w:rPr>
        <w:t xml:space="preserve">A project of the Ministry of Labour and Social Affairs and ILO-IPEC aims at enhancing the capacity of the Ministry of Labour and Social Affairs in the framework of its fight against child </w:t>
      </w:r>
      <w:r>
        <w:rPr>
          <w:color w:val="000000"/>
          <w:lang w:val="en-GB"/>
        </w:rPr>
        <w:t>labour</w:t>
      </w:r>
      <w:r>
        <w:rPr>
          <w:lang w:val="en-GB"/>
        </w:rPr>
        <w:t xml:space="preserve"> in Albania.  This project shall contribute in the progressive elimination of child </w:t>
      </w:r>
      <w:r>
        <w:rPr>
          <w:color w:val="000000"/>
          <w:lang w:val="en-GB"/>
        </w:rPr>
        <w:t>labour</w:t>
      </w:r>
      <w:r>
        <w:rPr>
          <w:lang w:val="en-GB"/>
        </w:rPr>
        <w:t xml:space="preserve"> through enhancing the institutional capacity of the Ministry of Labour and Social Affairs and the Labour Inspectorate, establishing an institutional structure to implement a national programme on elimination of child </w:t>
      </w:r>
      <w:r>
        <w:rPr>
          <w:color w:val="000000"/>
          <w:lang w:val="en-GB"/>
        </w:rPr>
        <w:t>labour</w:t>
      </w:r>
      <w:r>
        <w:rPr>
          <w:lang w:val="en-GB"/>
        </w:rPr>
        <w:t xml:space="preserve">.  </w:t>
      </w:r>
      <w:r>
        <w:rPr>
          <w:szCs w:val="26"/>
          <w:lang w:val="en-GB"/>
        </w:rPr>
        <w:t xml:space="preserve">The project will also contribute to the elimination of child </w:t>
      </w:r>
      <w:r>
        <w:rPr>
          <w:color w:val="000000"/>
          <w:szCs w:val="26"/>
          <w:lang w:val="en-GB"/>
        </w:rPr>
        <w:t>labour</w:t>
      </w:r>
      <w:r>
        <w:rPr>
          <w:szCs w:val="26"/>
          <w:lang w:val="en-GB"/>
        </w:rPr>
        <w:t xml:space="preserve"> in Albania through prevention and protection of employed children, their retirement and rehabilitation, ensuring professional advisory services, concrete actions, gathering and dissemination of information, etc.  The project lasted 18 months (February 2002-August 2003) and a donation from IPEC of US$ 18,285, and a contribution from MPCS of US$ 14,000 (in</w:t>
      </w:r>
      <w:r>
        <w:rPr>
          <w:szCs w:val="26"/>
          <w:lang w:val="en-GB"/>
        </w:rPr>
        <w:noBreakHyphen/>
        <w:t>kind) have facilitated it.</w:t>
      </w:r>
    </w:p>
    <w:p w:rsidR="00000000" w:rsidRDefault="00000000">
      <w:pPr>
        <w:pStyle w:val="ParaNo"/>
        <w:ind w:left="0" w:firstLine="0"/>
        <w:rPr>
          <w:color w:val="000000"/>
          <w:lang w:val="en-GB"/>
        </w:rPr>
      </w:pPr>
      <w:r>
        <w:rPr>
          <w:lang w:val="en-GB"/>
        </w:rPr>
        <w:t xml:space="preserve">Through a project for enhancing the capacity of labour inspectors to combat the worst forms of child labour, training of labour inspectors and representatives of institutions concerned with child </w:t>
      </w:r>
      <w:r>
        <w:rPr>
          <w:color w:val="000000"/>
          <w:lang w:val="en-GB"/>
        </w:rPr>
        <w:t>labour</w:t>
      </w:r>
      <w:r>
        <w:rPr>
          <w:lang w:val="en-GB"/>
        </w:rPr>
        <w:t xml:space="preserve"> will be carried out so that they have</w:t>
      </w:r>
      <w:r>
        <w:rPr>
          <w:color w:val="000000"/>
          <w:lang w:val="en-GB"/>
        </w:rPr>
        <w:t xml:space="preserve"> the necessary knowledge and skills for the identification and monitoring of the child labour issue, and assistance by trained inspectors of all country districts, including a foreign expert.</w:t>
      </w:r>
    </w:p>
    <w:p w:rsidR="00000000" w:rsidRDefault="00000000">
      <w:pPr>
        <w:pStyle w:val="ParaNo"/>
        <w:ind w:left="0" w:firstLine="0"/>
        <w:rPr>
          <w:color w:val="000000"/>
          <w:szCs w:val="26"/>
          <w:lang w:val="en-GB"/>
        </w:rPr>
      </w:pPr>
      <w:r>
        <w:rPr>
          <w:lang w:val="en-GB"/>
        </w:rPr>
        <w:t xml:space="preserve">This project gives priority to the enhancement of labour inspectors’ capacities in order to challenge systematically and comprehensively the worst forms of child labour, not only within formal sectors, but also in the informal sectors.  This project addresses the needs and contributes to the enhancement of general awareness of both national and regional conditions.  The project lasted 12 months (May 2003-May 2004), with an IPEC donation of </w:t>
      </w:r>
      <w:r>
        <w:rPr>
          <w:color w:val="000000"/>
          <w:szCs w:val="26"/>
          <w:lang w:val="en-GB"/>
        </w:rPr>
        <w:t>US$ 22,700, and a donation from MPCS of US$ 17,000 (in-kind).</w:t>
      </w:r>
    </w:p>
    <w:p w:rsidR="00000000" w:rsidRDefault="00000000">
      <w:pPr>
        <w:pStyle w:val="ParaNo"/>
        <w:ind w:left="0" w:firstLine="0"/>
        <w:rPr>
          <w:color w:val="000000"/>
          <w:szCs w:val="26"/>
          <w:lang w:val="en-GB"/>
        </w:rPr>
      </w:pPr>
      <w:r>
        <w:rPr>
          <w:lang w:val="en-GB"/>
        </w:rPr>
        <w:t xml:space="preserve">A project on revising domestic legislation concerning child labour and harmonizing it with international standards will produce recommendations for the improvement of the institutional legal framework with regard to child labour, increasing their legal protection, and ensuring a comprehensive analysis of the actual situation.  </w:t>
      </w:r>
      <w:r>
        <w:rPr>
          <w:color w:val="000000"/>
          <w:szCs w:val="26"/>
          <w:lang w:val="en-GB"/>
        </w:rPr>
        <w:t>This project will be the first step towards bringing our domestic legislation concerning child labour into line with respective international regulations.  This project lasted four months (October 2003-January 2004) and was funded by a donation from IPEC of US$ 3,500, and one from UNICEF of US$ 2,000.</w:t>
      </w:r>
    </w:p>
    <w:p w:rsidR="00000000" w:rsidRDefault="00000000">
      <w:pPr>
        <w:pStyle w:val="ParaNo"/>
        <w:tabs>
          <w:tab w:val="clear" w:pos="360"/>
          <w:tab w:val="clear" w:pos="737"/>
        </w:tabs>
        <w:spacing w:after="160"/>
        <w:ind w:left="0" w:firstLine="0"/>
        <w:rPr>
          <w:lang w:val="en-GB"/>
        </w:rPr>
      </w:pPr>
      <w:r>
        <w:rPr>
          <w:lang w:val="en-GB"/>
        </w:rPr>
        <w:br w:type="page"/>
        <w:t>A project on national policies to fight against child labour and elimination of the worst forms of it aims to draw up national policies on child labour, recommendations and an action plan, which would facilitate the process of implementing the above policies through a wide range of actors and institutions active in child labour issues, both at the central and local level.  Through implementation of this project, the necessary information will be obtained, and a national report and a well-defined strategy on the fight against child labour and especially its worst forms.</w:t>
      </w:r>
    </w:p>
    <w:p w:rsidR="00000000" w:rsidRDefault="00000000">
      <w:pPr>
        <w:pStyle w:val="Heading2"/>
        <w:spacing w:after="200"/>
      </w:pPr>
      <w:r>
        <w:t>Article 11</w:t>
      </w:r>
    </w:p>
    <w:p w:rsidR="00000000" w:rsidRDefault="00000000">
      <w:pPr>
        <w:pStyle w:val="Heading2"/>
        <w:spacing w:after="200"/>
      </w:pPr>
      <w:r>
        <w:t>Living standards</w:t>
      </w:r>
    </w:p>
    <w:p w:rsidR="00000000" w:rsidRDefault="00000000">
      <w:pPr>
        <w:pStyle w:val="Heading3"/>
      </w:pPr>
      <w:r>
        <w:t>Living standards of the population, socio-economic and cultural discrepancies, and other groups of the society</w:t>
      </w:r>
    </w:p>
    <w:p w:rsidR="00000000" w:rsidRDefault="00000000">
      <w:pPr>
        <w:pStyle w:val="ParaNo"/>
        <w:tabs>
          <w:tab w:val="clear" w:pos="360"/>
          <w:tab w:val="clear" w:pos="737"/>
        </w:tabs>
        <w:ind w:left="0" w:firstLine="0"/>
        <w:rPr>
          <w:lang w:val="en-GB"/>
        </w:rPr>
      </w:pPr>
      <w:r>
        <w:rPr>
          <w:lang w:val="en-GB"/>
        </w:rPr>
        <w:t>Research on poverty was conducted in 1998 (LSC), in 2000 (MISC) and in 2001 (qualified research on poverty).  For research purposes, an absolute line of poverty was established, grounded on the cost for basic necessities (CBN).  The country was divided into four areas:  Seacoast, Central, Mountainous and Tirana.  The poverty coefficient, with respect to the areas, is as follows:</w:t>
      </w:r>
    </w:p>
    <w:p w:rsidR="00000000" w:rsidRDefault="00000000">
      <w:pPr>
        <w:numPr>
          <w:ilvl w:val="0"/>
          <w:numId w:val="191"/>
        </w:numPr>
        <w:spacing w:after="70"/>
        <w:rPr>
          <w:szCs w:val="26"/>
        </w:rPr>
      </w:pPr>
      <w:r>
        <w:rPr>
          <w:szCs w:val="26"/>
        </w:rPr>
        <w:t>Seacoast Area</w:t>
      </w:r>
      <w:r>
        <w:rPr>
          <w:szCs w:val="26"/>
        </w:rPr>
        <w:tab/>
      </w:r>
      <w:r>
        <w:rPr>
          <w:szCs w:val="26"/>
        </w:rPr>
        <w:tab/>
        <w:t>20.6</w:t>
      </w:r>
    </w:p>
    <w:p w:rsidR="00000000" w:rsidRDefault="00000000">
      <w:pPr>
        <w:numPr>
          <w:ilvl w:val="0"/>
          <w:numId w:val="191"/>
        </w:numPr>
        <w:spacing w:after="70"/>
        <w:rPr>
          <w:szCs w:val="26"/>
        </w:rPr>
      </w:pPr>
      <w:r>
        <w:rPr>
          <w:szCs w:val="26"/>
        </w:rPr>
        <w:t>Central Area</w:t>
      </w:r>
      <w:r>
        <w:rPr>
          <w:szCs w:val="26"/>
        </w:rPr>
        <w:tab/>
      </w:r>
      <w:r>
        <w:rPr>
          <w:szCs w:val="26"/>
        </w:rPr>
        <w:tab/>
        <w:t>25.6</w:t>
      </w:r>
    </w:p>
    <w:p w:rsidR="00000000" w:rsidRDefault="00000000">
      <w:pPr>
        <w:numPr>
          <w:ilvl w:val="0"/>
          <w:numId w:val="191"/>
        </w:numPr>
        <w:spacing w:after="70"/>
        <w:rPr>
          <w:szCs w:val="26"/>
        </w:rPr>
      </w:pPr>
      <w:r>
        <w:rPr>
          <w:szCs w:val="26"/>
        </w:rPr>
        <w:t>Mountainous Area</w:t>
      </w:r>
      <w:r>
        <w:rPr>
          <w:szCs w:val="26"/>
        </w:rPr>
        <w:tab/>
      </w:r>
      <w:r>
        <w:rPr>
          <w:szCs w:val="26"/>
        </w:rPr>
        <w:tab/>
        <w:t>44.5</w:t>
      </w:r>
    </w:p>
    <w:p w:rsidR="00000000" w:rsidRDefault="00000000">
      <w:pPr>
        <w:numPr>
          <w:ilvl w:val="0"/>
          <w:numId w:val="191"/>
        </w:numPr>
        <w:rPr>
          <w:szCs w:val="26"/>
        </w:rPr>
      </w:pPr>
      <w:r>
        <w:rPr>
          <w:szCs w:val="26"/>
        </w:rPr>
        <w:t>Tirana</w:t>
      </w:r>
      <w:r>
        <w:rPr>
          <w:szCs w:val="26"/>
        </w:rPr>
        <w:tab/>
      </w:r>
      <w:r>
        <w:rPr>
          <w:szCs w:val="26"/>
        </w:rPr>
        <w:tab/>
      </w:r>
      <w:r>
        <w:rPr>
          <w:szCs w:val="26"/>
        </w:rPr>
        <w:tab/>
        <w:t>17.8</w:t>
      </w:r>
    </w:p>
    <w:p w:rsidR="00000000" w:rsidRDefault="00000000">
      <w:pPr>
        <w:pStyle w:val="Heading2"/>
        <w:spacing w:after="220"/>
      </w:pPr>
      <w:r>
        <w:t>Table 22</w:t>
      </w:r>
    </w:p>
    <w:p w:rsidR="00000000" w:rsidRDefault="00000000">
      <w:pPr>
        <w:pStyle w:val="Heading2"/>
      </w:pPr>
      <w:r>
        <w:t>The indicators of unfulfilled basic necessities (UBN)</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0"/>
        <w:gridCol w:w="990"/>
        <w:gridCol w:w="990"/>
        <w:gridCol w:w="990"/>
        <w:gridCol w:w="990"/>
      </w:tblGrid>
      <w:tr w:rsidR="00000000">
        <w:tc>
          <w:tcPr>
            <w:tcW w:w="5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Basic needs unmet</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Tirana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r>
      <w:tr w:rsidR="00000000">
        <w:tc>
          <w:tcPr>
            <w:tcW w:w="5400" w:type="dxa"/>
            <w:tcBorders>
              <w:top w:val="single" w:sz="4" w:space="0" w:color="auto"/>
              <w:left w:val="single" w:sz="4" w:space="0" w:color="auto"/>
              <w:bottom w:val="nil"/>
              <w:right w:val="single" w:sz="4" w:space="0" w:color="auto"/>
            </w:tcBorders>
          </w:tcPr>
          <w:p w:rsidR="00000000" w:rsidRDefault="00000000">
            <w:pPr>
              <w:spacing w:after="0"/>
            </w:pPr>
            <w:r>
              <w:t>Water and improper hygiene</w:t>
            </w:r>
          </w:p>
        </w:tc>
        <w:tc>
          <w:tcPr>
            <w:tcW w:w="990" w:type="dxa"/>
            <w:tcBorders>
              <w:top w:val="single" w:sz="4" w:space="0" w:color="auto"/>
              <w:left w:val="single" w:sz="4" w:space="0" w:color="auto"/>
              <w:bottom w:val="nil"/>
              <w:right w:val="single" w:sz="4" w:space="0" w:color="auto"/>
            </w:tcBorders>
          </w:tcPr>
          <w:p w:rsidR="00000000" w:rsidRDefault="00000000">
            <w:pPr>
              <w:spacing w:after="0"/>
              <w:ind w:right="198"/>
              <w:jc w:val="right"/>
            </w:pPr>
            <w:r>
              <w:t>0.5</w:t>
            </w:r>
          </w:p>
        </w:tc>
        <w:tc>
          <w:tcPr>
            <w:tcW w:w="990" w:type="dxa"/>
            <w:tcBorders>
              <w:top w:val="single" w:sz="4" w:space="0" w:color="auto"/>
              <w:left w:val="single" w:sz="4" w:space="0" w:color="auto"/>
              <w:bottom w:val="nil"/>
              <w:right w:val="single" w:sz="4" w:space="0" w:color="auto"/>
            </w:tcBorders>
          </w:tcPr>
          <w:p w:rsidR="00000000" w:rsidRDefault="00000000">
            <w:pPr>
              <w:spacing w:after="0"/>
              <w:ind w:right="227"/>
              <w:jc w:val="right"/>
            </w:pPr>
            <w:r>
              <w:t>2.6</w:t>
            </w:r>
          </w:p>
        </w:tc>
        <w:tc>
          <w:tcPr>
            <w:tcW w:w="990" w:type="dxa"/>
            <w:tcBorders>
              <w:top w:val="single" w:sz="4" w:space="0" w:color="auto"/>
              <w:left w:val="single" w:sz="4" w:space="0" w:color="auto"/>
              <w:bottom w:val="nil"/>
              <w:right w:val="single" w:sz="4" w:space="0" w:color="auto"/>
            </w:tcBorders>
          </w:tcPr>
          <w:p w:rsidR="00000000" w:rsidRDefault="00000000">
            <w:pPr>
              <w:spacing w:after="0"/>
              <w:ind w:right="227"/>
              <w:jc w:val="right"/>
            </w:pPr>
            <w:r>
              <w:t>28.6</w:t>
            </w:r>
          </w:p>
        </w:tc>
        <w:tc>
          <w:tcPr>
            <w:tcW w:w="990" w:type="dxa"/>
            <w:tcBorders>
              <w:top w:val="single" w:sz="4" w:space="0" w:color="auto"/>
              <w:left w:val="single" w:sz="4" w:space="0" w:color="auto"/>
              <w:bottom w:val="nil"/>
              <w:right w:val="single" w:sz="4" w:space="0" w:color="auto"/>
            </w:tcBorders>
          </w:tcPr>
          <w:p w:rsidR="00000000" w:rsidRDefault="00000000">
            <w:pPr>
              <w:spacing w:after="0"/>
              <w:ind w:right="170"/>
              <w:jc w:val="right"/>
            </w:pPr>
            <w:r>
              <w:t>17.5</w:t>
            </w:r>
          </w:p>
        </w:tc>
      </w:tr>
      <w:tr w:rsidR="00000000">
        <w:tc>
          <w:tcPr>
            <w:tcW w:w="5400" w:type="dxa"/>
            <w:tcBorders>
              <w:top w:val="nil"/>
              <w:left w:val="single" w:sz="4" w:space="0" w:color="auto"/>
              <w:bottom w:val="nil"/>
              <w:right w:val="single" w:sz="4" w:space="0" w:color="auto"/>
            </w:tcBorders>
          </w:tcPr>
          <w:p w:rsidR="00000000" w:rsidRDefault="00000000">
            <w:pPr>
              <w:spacing w:after="0"/>
            </w:pPr>
            <w:r>
              <w:t>Improper living conditions</w:t>
            </w:r>
          </w:p>
        </w:tc>
        <w:tc>
          <w:tcPr>
            <w:tcW w:w="990" w:type="dxa"/>
            <w:tcBorders>
              <w:top w:val="nil"/>
              <w:left w:val="single" w:sz="4" w:space="0" w:color="auto"/>
              <w:bottom w:val="nil"/>
              <w:right w:val="single" w:sz="4" w:space="0" w:color="auto"/>
            </w:tcBorders>
          </w:tcPr>
          <w:p w:rsidR="00000000" w:rsidRDefault="00000000">
            <w:pPr>
              <w:spacing w:after="0"/>
              <w:ind w:right="198"/>
              <w:jc w:val="right"/>
            </w:pPr>
            <w:r>
              <w:t>8.5</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6.3</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16.5</w:t>
            </w:r>
          </w:p>
        </w:tc>
        <w:tc>
          <w:tcPr>
            <w:tcW w:w="990" w:type="dxa"/>
            <w:tcBorders>
              <w:top w:val="nil"/>
              <w:left w:val="single" w:sz="4" w:space="0" w:color="auto"/>
              <w:bottom w:val="nil"/>
              <w:right w:val="single" w:sz="4" w:space="0" w:color="auto"/>
            </w:tcBorders>
          </w:tcPr>
          <w:p w:rsidR="00000000" w:rsidRDefault="00000000">
            <w:pPr>
              <w:spacing w:after="0"/>
              <w:ind w:right="170"/>
              <w:jc w:val="right"/>
            </w:pPr>
            <w:r>
              <w:t>12.5</w:t>
            </w:r>
          </w:p>
        </w:tc>
      </w:tr>
      <w:tr w:rsidR="00000000">
        <w:tc>
          <w:tcPr>
            <w:tcW w:w="5400" w:type="dxa"/>
            <w:tcBorders>
              <w:top w:val="nil"/>
              <w:left w:val="single" w:sz="4" w:space="0" w:color="auto"/>
              <w:bottom w:val="nil"/>
              <w:right w:val="single" w:sz="4" w:space="0" w:color="auto"/>
            </w:tcBorders>
          </w:tcPr>
          <w:p w:rsidR="00000000" w:rsidRDefault="00000000">
            <w:pPr>
              <w:spacing w:after="0"/>
            </w:pPr>
            <w:r>
              <w:t xml:space="preserve">Insufficient power supply </w:t>
            </w:r>
          </w:p>
        </w:tc>
        <w:tc>
          <w:tcPr>
            <w:tcW w:w="990" w:type="dxa"/>
            <w:tcBorders>
              <w:top w:val="nil"/>
              <w:left w:val="single" w:sz="4" w:space="0" w:color="auto"/>
              <w:bottom w:val="nil"/>
              <w:right w:val="single" w:sz="4" w:space="0" w:color="auto"/>
            </w:tcBorders>
          </w:tcPr>
          <w:p w:rsidR="00000000" w:rsidRDefault="00000000">
            <w:pPr>
              <w:spacing w:after="0"/>
              <w:ind w:right="198"/>
              <w:jc w:val="right"/>
            </w:pPr>
            <w:r>
              <w:t>1.7</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9.0</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18.1</w:t>
            </w:r>
          </w:p>
        </w:tc>
        <w:tc>
          <w:tcPr>
            <w:tcW w:w="990" w:type="dxa"/>
            <w:tcBorders>
              <w:top w:val="nil"/>
              <w:left w:val="single" w:sz="4" w:space="0" w:color="auto"/>
              <w:bottom w:val="nil"/>
              <w:right w:val="single" w:sz="4" w:space="0" w:color="auto"/>
            </w:tcBorders>
          </w:tcPr>
          <w:p w:rsidR="00000000" w:rsidRDefault="00000000">
            <w:pPr>
              <w:spacing w:after="0"/>
              <w:ind w:right="170"/>
              <w:jc w:val="right"/>
            </w:pPr>
            <w:r>
              <w:t>13.5</w:t>
            </w:r>
          </w:p>
        </w:tc>
      </w:tr>
      <w:tr w:rsidR="00000000">
        <w:tc>
          <w:tcPr>
            <w:tcW w:w="540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Overpopulation (more than three persons per room)</w:t>
            </w:r>
          </w:p>
        </w:tc>
        <w:tc>
          <w:tcPr>
            <w:tcW w:w="990" w:type="dxa"/>
            <w:tcBorders>
              <w:top w:val="nil"/>
              <w:left w:val="single" w:sz="4" w:space="0" w:color="auto"/>
              <w:bottom w:val="nil"/>
              <w:right w:val="single" w:sz="4" w:space="0" w:color="auto"/>
            </w:tcBorders>
          </w:tcPr>
          <w:p w:rsidR="00000000" w:rsidRDefault="00000000">
            <w:pPr>
              <w:spacing w:after="0"/>
              <w:ind w:right="198"/>
              <w:jc w:val="right"/>
            </w:pPr>
            <w:r>
              <w:t>10.3</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15.6</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18.6</w:t>
            </w:r>
          </w:p>
        </w:tc>
        <w:tc>
          <w:tcPr>
            <w:tcW w:w="990" w:type="dxa"/>
            <w:tcBorders>
              <w:top w:val="nil"/>
              <w:left w:val="single" w:sz="4" w:space="0" w:color="auto"/>
              <w:bottom w:val="nil"/>
              <w:right w:val="single" w:sz="4" w:space="0" w:color="auto"/>
            </w:tcBorders>
          </w:tcPr>
          <w:p w:rsidR="00000000" w:rsidRDefault="00000000">
            <w:pPr>
              <w:spacing w:after="0"/>
              <w:ind w:right="170"/>
              <w:jc w:val="right"/>
            </w:pPr>
            <w:r>
              <w:t>16.7</w:t>
            </w:r>
          </w:p>
        </w:tc>
      </w:tr>
      <w:tr w:rsidR="00000000">
        <w:tc>
          <w:tcPr>
            <w:tcW w:w="5400" w:type="dxa"/>
            <w:tcBorders>
              <w:top w:val="nil"/>
              <w:left w:val="single" w:sz="4" w:space="0" w:color="auto"/>
              <w:bottom w:val="nil"/>
              <w:right w:val="single" w:sz="4" w:space="0" w:color="auto"/>
            </w:tcBorders>
          </w:tcPr>
          <w:p w:rsidR="00000000" w:rsidRDefault="00000000">
            <w:pPr>
              <w:spacing w:after="0"/>
            </w:pPr>
            <w:r>
              <w:t xml:space="preserve">Education level (householder with or less than </w:t>
            </w:r>
            <w:r>
              <w:br/>
              <w:t xml:space="preserve">  eight years’ education)</w:t>
            </w:r>
          </w:p>
        </w:tc>
        <w:tc>
          <w:tcPr>
            <w:tcW w:w="990" w:type="dxa"/>
            <w:tcBorders>
              <w:top w:val="nil"/>
              <w:left w:val="single" w:sz="4" w:space="0" w:color="auto"/>
              <w:bottom w:val="nil"/>
              <w:right w:val="single" w:sz="4" w:space="0" w:color="auto"/>
            </w:tcBorders>
          </w:tcPr>
          <w:p w:rsidR="00000000" w:rsidRDefault="00000000">
            <w:pPr>
              <w:spacing w:after="0"/>
              <w:ind w:right="198"/>
              <w:jc w:val="right"/>
            </w:pPr>
            <w:r>
              <w:t>34.7</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47.0</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74.8</w:t>
            </w:r>
          </w:p>
        </w:tc>
        <w:tc>
          <w:tcPr>
            <w:tcW w:w="990" w:type="dxa"/>
            <w:tcBorders>
              <w:top w:val="nil"/>
              <w:left w:val="single" w:sz="4" w:space="0" w:color="auto"/>
              <w:bottom w:val="nil"/>
              <w:right w:val="single" w:sz="4" w:space="0" w:color="auto"/>
            </w:tcBorders>
          </w:tcPr>
          <w:p w:rsidR="00000000" w:rsidRDefault="00000000">
            <w:pPr>
              <w:spacing w:after="0"/>
              <w:ind w:right="170"/>
              <w:jc w:val="right"/>
            </w:pPr>
            <w:r>
              <w:t>61.2</w:t>
            </w:r>
          </w:p>
        </w:tc>
      </w:tr>
      <w:tr w:rsidR="00000000">
        <w:tc>
          <w:tcPr>
            <w:tcW w:w="5400" w:type="dxa"/>
            <w:tcBorders>
              <w:top w:val="nil"/>
              <w:left w:val="single" w:sz="4" w:space="0" w:color="auto"/>
              <w:bottom w:val="nil"/>
              <w:right w:val="single" w:sz="4" w:space="0" w:color="auto"/>
            </w:tcBorders>
          </w:tcPr>
          <w:p w:rsidR="00000000" w:rsidRDefault="00000000">
            <w:pPr>
              <w:spacing w:after="0"/>
            </w:pPr>
            <w:r>
              <w:t>Poor (two or more UBNs)</w:t>
            </w:r>
          </w:p>
        </w:tc>
        <w:tc>
          <w:tcPr>
            <w:tcW w:w="990" w:type="dxa"/>
            <w:tcBorders>
              <w:top w:val="nil"/>
              <w:left w:val="single" w:sz="4" w:space="0" w:color="auto"/>
              <w:bottom w:val="nil"/>
              <w:right w:val="single" w:sz="4" w:space="0" w:color="auto"/>
            </w:tcBorders>
          </w:tcPr>
          <w:p w:rsidR="00000000" w:rsidRDefault="00000000">
            <w:pPr>
              <w:spacing w:after="0"/>
              <w:ind w:right="198"/>
              <w:jc w:val="right"/>
            </w:pPr>
            <w:r>
              <w:t>11.5</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16.6</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47.2</w:t>
            </w:r>
          </w:p>
        </w:tc>
        <w:tc>
          <w:tcPr>
            <w:tcW w:w="990" w:type="dxa"/>
            <w:tcBorders>
              <w:top w:val="nil"/>
              <w:left w:val="single" w:sz="4" w:space="0" w:color="auto"/>
              <w:bottom w:val="nil"/>
              <w:right w:val="single" w:sz="4" w:space="0" w:color="auto"/>
            </w:tcBorders>
          </w:tcPr>
          <w:p w:rsidR="00000000" w:rsidRDefault="00000000">
            <w:pPr>
              <w:spacing w:after="0"/>
              <w:ind w:right="170"/>
              <w:jc w:val="right"/>
            </w:pPr>
            <w:r>
              <w:t>33.8</w:t>
            </w:r>
          </w:p>
        </w:tc>
      </w:tr>
      <w:tr w:rsidR="00000000">
        <w:tc>
          <w:tcPr>
            <w:tcW w:w="5400" w:type="dxa"/>
            <w:tcBorders>
              <w:top w:val="nil"/>
              <w:left w:val="single" w:sz="4" w:space="0" w:color="auto"/>
              <w:bottom w:val="nil"/>
              <w:right w:val="single" w:sz="4" w:space="0" w:color="auto"/>
            </w:tcBorders>
          </w:tcPr>
          <w:p w:rsidR="00000000" w:rsidRDefault="00000000">
            <w:pPr>
              <w:spacing w:after="0"/>
            </w:pPr>
            <w:r>
              <w:t>Very poor (three or more UBNs)</w:t>
            </w:r>
          </w:p>
        </w:tc>
        <w:tc>
          <w:tcPr>
            <w:tcW w:w="990" w:type="dxa"/>
            <w:tcBorders>
              <w:top w:val="nil"/>
              <w:left w:val="single" w:sz="4" w:space="0" w:color="auto"/>
              <w:bottom w:val="nil"/>
              <w:right w:val="single" w:sz="4" w:space="0" w:color="auto"/>
            </w:tcBorders>
          </w:tcPr>
          <w:p w:rsidR="00000000" w:rsidRDefault="00000000">
            <w:pPr>
              <w:spacing w:after="0"/>
              <w:ind w:right="198"/>
              <w:jc w:val="right"/>
            </w:pPr>
            <w:r>
              <w:t>2.3</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3.2</w:t>
            </w:r>
          </w:p>
        </w:tc>
        <w:tc>
          <w:tcPr>
            <w:tcW w:w="990" w:type="dxa"/>
            <w:tcBorders>
              <w:top w:val="nil"/>
              <w:left w:val="single" w:sz="4" w:space="0" w:color="auto"/>
              <w:bottom w:val="nil"/>
              <w:right w:val="single" w:sz="4" w:space="0" w:color="auto"/>
            </w:tcBorders>
          </w:tcPr>
          <w:p w:rsidR="00000000" w:rsidRDefault="00000000">
            <w:pPr>
              <w:spacing w:after="0"/>
              <w:ind w:right="227"/>
              <w:jc w:val="right"/>
            </w:pPr>
            <w:r>
              <w:t>18.3</w:t>
            </w:r>
          </w:p>
        </w:tc>
        <w:tc>
          <w:tcPr>
            <w:tcW w:w="990" w:type="dxa"/>
            <w:tcBorders>
              <w:top w:val="nil"/>
              <w:left w:val="single" w:sz="4" w:space="0" w:color="auto"/>
              <w:bottom w:val="nil"/>
              <w:right w:val="single" w:sz="4" w:space="0" w:color="auto"/>
            </w:tcBorders>
          </w:tcPr>
          <w:p w:rsidR="00000000" w:rsidRDefault="00000000">
            <w:pPr>
              <w:spacing w:after="0"/>
              <w:ind w:right="170"/>
              <w:jc w:val="right"/>
            </w:pPr>
            <w:r>
              <w:t>11.9</w:t>
            </w:r>
          </w:p>
        </w:tc>
      </w:tr>
      <w:tr w:rsidR="00000000">
        <w:tc>
          <w:tcPr>
            <w:tcW w:w="5400" w:type="dxa"/>
            <w:tcBorders>
              <w:top w:val="nil"/>
              <w:left w:val="single" w:sz="4" w:space="0" w:color="auto"/>
              <w:bottom w:val="single" w:sz="4" w:space="0" w:color="auto"/>
              <w:right w:val="single" w:sz="4" w:space="0" w:color="auto"/>
            </w:tcBorders>
          </w:tcPr>
          <w:p w:rsidR="00000000" w:rsidRDefault="00000000">
            <w:pPr>
              <w:spacing w:after="0"/>
            </w:pPr>
            <w:r>
              <w:t>Not poor (one or no UBNs)</w:t>
            </w:r>
          </w:p>
        </w:tc>
        <w:tc>
          <w:tcPr>
            <w:tcW w:w="990" w:type="dxa"/>
            <w:tcBorders>
              <w:top w:val="nil"/>
              <w:left w:val="single" w:sz="4" w:space="0" w:color="auto"/>
              <w:bottom w:val="single" w:sz="4" w:space="0" w:color="auto"/>
              <w:right w:val="single" w:sz="4" w:space="0" w:color="auto"/>
            </w:tcBorders>
          </w:tcPr>
          <w:p w:rsidR="00000000" w:rsidRDefault="00000000">
            <w:pPr>
              <w:spacing w:after="0"/>
              <w:ind w:right="198"/>
              <w:jc w:val="right"/>
            </w:pPr>
            <w:r>
              <w:t>88.5</w:t>
            </w:r>
          </w:p>
        </w:tc>
        <w:tc>
          <w:tcPr>
            <w:tcW w:w="990" w:type="dxa"/>
            <w:tcBorders>
              <w:top w:val="nil"/>
              <w:left w:val="single" w:sz="4" w:space="0" w:color="auto"/>
              <w:bottom w:val="single" w:sz="4" w:space="0" w:color="auto"/>
              <w:right w:val="single" w:sz="4" w:space="0" w:color="auto"/>
            </w:tcBorders>
          </w:tcPr>
          <w:p w:rsidR="00000000" w:rsidRDefault="00000000">
            <w:pPr>
              <w:spacing w:after="0"/>
              <w:ind w:right="227"/>
              <w:jc w:val="right"/>
            </w:pPr>
            <w:r>
              <w:t>83.4</w:t>
            </w:r>
          </w:p>
        </w:tc>
        <w:tc>
          <w:tcPr>
            <w:tcW w:w="990" w:type="dxa"/>
            <w:tcBorders>
              <w:top w:val="nil"/>
              <w:left w:val="single" w:sz="4" w:space="0" w:color="auto"/>
              <w:bottom w:val="single" w:sz="4" w:space="0" w:color="auto"/>
              <w:right w:val="single" w:sz="4" w:space="0" w:color="auto"/>
            </w:tcBorders>
          </w:tcPr>
          <w:p w:rsidR="00000000" w:rsidRDefault="00000000">
            <w:pPr>
              <w:spacing w:after="0"/>
              <w:ind w:right="227"/>
              <w:jc w:val="right"/>
            </w:pPr>
            <w:r>
              <w:t>52.9</w:t>
            </w:r>
          </w:p>
        </w:tc>
        <w:tc>
          <w:tcPr>
            <w:tcW w:w="990" w:type="dxa"/>
            <w:tcBorders>
              <w:top w:val="nil"/>
              <w:left w:val="single" w:sz="4" w:space="0" w:color="auto"/>
              <w:bottom w:val="single" w:sz="4" w:space="0" w:color="auto"/>
              <w:right w:val="single" w:sz="4" w:space="0" w:color="auto"/>
            </w:tcBorders>
          </w:tcPr>
          <w:p w:rsidR="00000000" w:rsidRDefault="00000000">
            <w:pPr>
              <w:spacing w:after="0"/>
              <w:ind w:right="170"/>
              <w:jc w:val="right"/>
            </w:pPr>
            <w:r>
              <w:t>66.2</w:t>
            </w:r>
          </w:p>
        </w:tc>
      </w:tr>
    </w:tbl>
    <w:p w:rsidR="00000000" w:rsidRDefault="00000000">
      <w:pPr>
        <w:pStyle w:val="ParaNo"/>
        <w:tabs>
          <w:tab w:val="clear" w:pos="360"/>
          <w:tab w:val="clear" w:pos="737"/>
        </w:tabs>
        <w:spacing w:before="240"/>
        <w:ind w:left="0" w:firstLine="0"/>
        <w:rPr>
          <w:bCs/>
          <w:szCs w:val="26"/>
          <w:lang w:val="en-GB"/>
        </w:rPr>
      </w:pPr>
      <w:r>
        <w:rPr>
          <w:bCs/>
          <w:szCs w:val="26"/>
          <w:lang w:val="en-GB"/>
        </w:rPr>
        <w:t xml:space="preserve">The Living Standards Measurement Survey of INSTAT (LSMS 2002), succeeded in profiling </w:t>
      </w:r>
      <w:r>
        <w:rPr>
          <w:lang w:val="en-GB"/>
        </w:rPr>
        <w:t>poverty</w:t>
      </w:r>
      <w:r>
        <w:rPr>
          <w:bCs/>
          <w:szCs w:val="26"/>
          <w:lang w:val="en-GB"/>
        </w:rPr>
        <w:t xml:space="preserve"> by pointing out the main characteristics as follows:</w:t>
      </w:r>
    </w:p>
    <w:p w:rsidR="00000000" w:rsidRDefault="00000000">
      <w:pPr>
        <w:numPr>
          <w:ilvl w:val="0"/>
          <w:numId w:val="192"/>
        </w:numPr>
        <w:rPr>
          <w:bCs/>
          <w:szCs w:val="26"/>
        </w:rPr>
      </w:pPr>
      <w:r>
        <w:rPr>
          <w:bCs/>
          <w:szCs w:val="26"/>
        </w:rPr>
        <w:t>Poor persons living in big and new families.  Approximately 40 per cent of poor people belong to families with seven or more members.  About 50 per cent of the poor people in Albania are under the age of 21.  Old people living in Tirana have a lower level of poverty, 12 per cent;</w:t>
      </w:r>
    </w:p>
    <w:p w:rsidR="00000000" w:rsidRDefault="00000000">
      <w:pPr>
        <w:numPr>
          <w:ilvl w:val="0"/>
          <w:numId w:val="192"/>
        </w:numPr>
        <w:rPr>
          <w:bCs/>
          <w:szCs w:val="26"/>
        </w:rPr>
      </w:pPr>
      <w:r>
        <w:rPr>
          <w:bCs/>
          <w:szCs w:val="26"/>
        </w:rPr>
        <w:t>The poorest areas are those in the north and north-east of the country.  Approximately 50 per cent of the inhabitants in these areas live in poverty and more then one fifth of those live in extreme poverty;</w:t>
      </w:r>
    </w:p>
    <w:p w:rsidR="00000000" w:rsidRDefault="00000000">
      <w:pPr>
        <w:numPr>
          <w:ilvl w:val="0"/>
          <w:numId w:val="192"/>
        </w:numPr>
        <w:rPr>
          <w:bCs/>
          <w:szCs w:val="26"/>
        </w:rPr>
      </w:pPr>
      <w:r>
        <w:rPr>
          <w:bCs/>
          <w:szCs w:val="26"/>
        </w:rPr>
        <w:t>The poorest people do not benefit much from health services.  The poor children under the age of 5 are poorly fed;</w:t>
      </w:r>
    </w:p>
    <w:p w:rsidR="00000000" w:rsidRDefault="00000000">
      <w:pPr>
        <w:numPr>
          <w:ilvl w:val="0"/>
          <w:numId w:val="192"/>
        </w:numPr>
        <w:rPr>
          <w:bCs/>
          <w:szCs w:val="26"/>
        </w:rPr>
      </w:pPr>
      <w:r>
        <w:rPr>
          <w:bCs/>
          <w:szCs w:val="26"/>
        </w:rPr>
        <w:t>The main incomes are generated by agricultural activity and wage-based employment;</w:t>
      </w:r>
    </w:p>
    <w:p w:rsidR="00000000" w:rsidRDefault="00000000">
      <w:pPr>
        <w:numPr>
          <w:ilvl w:val="0"/>
          <w:numId w:val="192"/>
        </w:numPr>
        <w:rPr>
          <w:bCs/>
          <w:spacing w:val="-3"/>
          <w:szCs w:val="26"/>
        </w:rPr>
      </w:pPr>
      <w:r>
        <w:rPr>
          <w:bCs/>
          <w:szCs w:val="26"/>
        </w:rPr>
        <w:t>Poor people spend more then half of their incomes on food (67 per cent) and less for non</w:t>
      </w:r>
      <w:r>
        <w:rPr>
          <w:bCs/>
          <w:szCs w:val="26"/>
        </w:rPr>
        <w:noBreakHyphen/>
        <w:t>food products (17 per cent).</w:t>
      </w:r>
    </w:p>
    <w:p w:rsidR="00000000" w:rsidRDefault="00000000">
      <w:pPr>
        <w:pStyle w:val="ParaNo"/>
        <w:ind w:left="0" w:firstLine="0"/>
        <w:rPr>
          <w:lang w:val="en-GB"/>
        </w:rPr>
      </w:pPr>
      <w:r>
        <w:rPr>
          <w:lang w:val="en-GB"/>
        </w:rPr>
        <w:t>State social services, in the framework of the improvement of social protection programmes and the achievement of the middle-term goals of National Strategy on Social and Economic Development and the Poverty Reduction Strategy, have carried out a survey which presents an analysis of the criteria and social economic indicators on which the current allocation of economic aid is based.  According to this survey, it is noticed that the extent of poverty is generally affected by marked distinctions North zone-South zone, village-city, mountainous and coastal areas.  The level of poverty is higher in the northern and north-eastern area of the country.  Factors which have influenced the accumulation of poverty in those areas have been complex, either historical or geographical, and either social or economic.</w:t>
      </w:r>
    </w:p>
    <w:p w:rsidR="00000000" w:rsidRDefault="00000000">
      <w:pPr>
        <w:pStyle w:val="ParaNo"/>
        <w:ind w:left="0" w:firstLine="0"/>
        <w:rPr>
          <w:color w:val="000000"/>
          <w:szCs w:val="26"/>
          <w:lang w:val="en-GB"/>
        </w:rPr>
      </w:pPr>
      <w:r>
        <w:rPr>
          <w:color w:val="000000"/>
          <w:szCs w:val="26"/>
          <w:lang w:val="en-GB"/>
        </w:rPr>
        <w:t>In cooperation with non-governmental agencies and organizations, partial studies have been conducted and the first steps have been taken in the determination of the relationship between economic poverty and social exclusion.  On the basis of some integrated indicators (dropping out of school, economic poverty and infant mortality) a map of social indicators has been made up.</w:t>
      </w:r>
    </w:p>
    <w:p w:rsidR="00000000" w:rsidRDefault="00000000">
      <w:pPr>
        <w:pStyle w:val="ParaNo"/>
        <w:ind w:left="0" w:firstLine="0"/>
        <w:rPr>
          <w:color w:val="000000"/>
          <w:szCs w:val="26"/>
          <w:lang w:val="en-GB"/>
        </w:rPr>
      </w:pPr>
      <w:r>
        <w:rPr>
          <w:color w:val="000000"/>
          <w:szCs w:val="26"/>
          <w:lang w:val="en-GB"/>
        </w:rPr>
        <w:t xml:space="preserve">On the basis of a </w:t>
      </w:r>
      <w:r>
        <w:rPr>
          <w:szCs w:val="26"/>
          <w:lang w:val="en-GB"/>
        </w:rPr>
        <w:t>point system</w:t>
      </w:r>
      <w:r>
        <w:rPr>
          <w:color w:val="000000"/>
          <w:szCs w:val="26"/>
          <w:lang w:val="en-GB"/>
        </w:rPr>
        <w:t xml:space="preserve">, the selected indicators are listed by values resulting from their indexation, indicating the rate of social exclusion at the </w:t>
      </w:r>
      <w:r>
        <w:rPr>
          <w:lang w:val="en-GB"/>
        </w:rPr>
        <w:t>district</w:t>
      </w:r>
      <w:r>
        <w:rPr>
          <w:color w:val="000000"/>
          <w:szCs w:val="26"/>
          <w:lang w:val="en-GB"/>
        </w:rPr>
        <w:t xml:space="preserve"> level (36 districts of our country).  Based on the integrated indicators, the 36 districts are classified into 4 groups:</w:t>
      </w:r>
    </w:p>
    <w:p w:rsidR="00000000" w:rsidRDefault="00000000">
      <w:pPr>
        <w:numPr>
          <w:ilvl w:val="0"/>
          <w:numId w:val="193"/>
        </w:numPr>
      </w:pPr>
      <w:r>
        <w:rPr>
          <w:color w:val="000000"/>
          <w:szCs w:val="26"/>
        </w:rPr>
        <w:t xml:space="preserve">First group:  </w:t>
      </w:r>
      <w:r>
        <w:rPr>
          <w:szCs w:val="26"/>
        </w:rPr>
        <w:t>included</w:t>
      </w:r>
      <w:r>
        <w:rPr>
          <w:color w:val="000000"/>
          <w:szCs w:val="26"/>
        </w:rPr>
        <w:t xml:space="preserve"> the districts of the north-eastern area with higher indicators of social exclusion (such as Kukesi, Dibra, Bulqiza);</w:t>
      </w:r>
    </w:p>
    <w:p w:rsidR="00000000" w:rsidRDefault="00000000">
      <w:pPr>
        <w:numPr>
          <w:ilvl w:val="0"/>
          <w:numId w:val="193"/>
        </w:numPr>
        <w:rPr>
          <w:color w:val="000000"/>
          <w:szCs w:val="26"/>
        </w:rPr>
      </w:pPr>
      <w:r>
        <w:rPr>
          <w:color w:val="000000"/>
          <w:szCs w:val="26"/>
        </w:rPr>
        <w:t xml:space="preserve">Second group:  19 districts are </w:t>
      </w:r>
      <w:r>
        <w:rPr>
          <w:szCs w:val="26"/>
        </w:rPr>
        <w:t>included</w:t>
      </w:r>
      <w:r>
        <w:rPr>
          <w:color w:val="000000"/>
          <w:szCs w:val="26"/>
        </w:rPr>
        <w:t>;</w:t>
      </w:r>
    </w:p>
    <w:p w:rsidR="00000000" w:rsidRDefault="00000000">
      <w:pPr>
        <w:numPr>
          <w:ilvl w:val="0"/>
          <w:numId w:val="193"/>
        </w:numPr>
        <w:rPr>
          <w:color w:val="000000"/>
          <w:szCs w:val="26"/>
        </w:rPr>
      </w:pPr>
      <w:r>
        <w:rPr>
          <w:color w:val="000000"/>
          <w:szCs w:val="26"/>
        </w:rPr>
        <w:t xml:space="preserve">Third group:  7 districts are </w:t>
      </w:r>
      <w:r>
        <w:rPr>
          <w:szCs w:val="26"/>
        </w:rPr>
        <w:t>included</w:t>
      </w:r>
      <w:r>
        <w:rPr>
          <w:color w:val="000000"/>
          <w:szCs w:val="26"/>
        </w:rPr>
        <w:t>;</w:t>
      </w:r>
    </w:p>
    <w:p w:rsidR="00000000" w:rsidRDefault="00000000">
      <w:pPr>
        <w:numPr>
          <w:ilvl w:val="0"/>
          <w:numId w:val="193"/>
        </w:numPr>
        <w:rPr>
          <w:color w:val="000000"/>
          <w:szCs w:val="26"/>
        </w:rPr>
      </w:pPr>
      <w:r>
        <w:rPr>
          <w:color w:val="000000"/>
          <w:szCs w:val="26"/>
        </w:rPr>
        <w:t xml:space="preserve">Fourth group:  4 districts are </w:t>
      </w:r>
      <w:r>
        <w:rPr>
          <w:szCs w:val="26"/>
        </w:rPr>
        <w:t xml:space="preserve">included </w:t>
      </w:r>
      <w:r>
        <w:rPr>
          <w:color w:val="000000"/>
          <w:szCs w:val="26"/>
        </w:rPr>
        <w:t>with the lowest of social exclusion (such as</w:t>
      </w:r>
      <w:r>
        <w:rPr>
          <w:color w:val="0000FF"/>
          <w:szCs w:val="26"/>
        </w:rPr>
        <w:t xml:space="preserve"> </w:t>
      </w:r>
      <w:r>
        <w:rPr>
          <w:color w:val="000000"/>
          <w:szCs w:val="26"/>
        </w:rPr>
        <w:t>Devolli, Delvina, Gjirokastra, Saranda).</w:t>
      </w:r>
    </w:p>
    <w:p w:rsidR="00000000" w:rsidRDefault="00000000">
      <w:pPr>
        <w:pStyle w:val="ParaNo"/>
        <w:ind w:left="0" w:firstLine="0"/>
        <w:rPr>
          <w:lang w:val="en-GB"/>
        </w:rPr>
      </w:pPr>
      <w:r>
        <w:rPr>
          <w:lang w:val="en-GB"/>
        </w:rPr>
        <w:t xml:space="preserve">By analysing the indicators used in the above classification, it results that in some cases there is a discrepancy between the economic and social situation, but in general by taking into account the indicators, they show the close relationship between poverty levels and social </w:t>
      </w:r>
    </w:p>
    <w:p w:rsidR="00000000" w:rsidRDefault="00000000">
      <w:r>
        <w:br w:type="page"/>
        <w:t>exclusion.  One of the findings of observation was that where the highest indicators of poverty exist, the indicators of basic social services are generally low, so the poorest districts have the highest indicators of social exclusion</w:t>
      </w:r>
      <w:r>
        <w:rPr>
          <w:color w:val="0000FF"/>
        </w:rPr>
        <w:t>.</w:t>
      </w:r>
    </w:p>
    <w:p w:rsidR="00000000" w:rsidRDefault="00000000">
      <w:pPr>
        <w:pStyle w:val="Heading2"/>
      </w:pPr>
      <w:r>
        <w:t>Table 23</w:t>
      </w:r>
    </w:p>
    <w:p w:rsidR="00000000" w:rsidRDefault="00000000">
      <w:pPr>
        <w:pStyle w:val="Heading2"/>
      </w:pPr>
      <w:r>
        <w:t>Gross domestic product (GDP) per capita (in US$)</w:t>
      </w:r>
    </w:p>
    <w:tbl>
      <w:tblPr>
        <w:tblW w:w="0" w:type="auto"/>
        <w:jc w:val="center"/>
        <w:tblInd w:w="-209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30"/>
        <w:gridCol w:w="2730"/>
      </w:tblGrid>
      <w:tr w:rsidR="00000000">
        <w:trPr>
          <w:trHeight w:val="267"/>
          <w:jc w:val="center"/>
        </w:trPr>
        <w:tc>
          <w:tcPr>
            <w:tcW w:w="273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6"/>
              </w:rPr>
            </w:pPr>
            <w:r>
              <w:rPr>
                <w:bCs/>
                <w:szCs w:val="26"/>
              </w:rPr>
              <w:t>Year</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6"/>
              </w:rPr>
            </w:pPr>
            <w:r>
              <w:rPr>
                <w:bCs/>
                <w:szCs w:val="26"/>
              </w:rPr>
              <w:t>Total</w:t>
            </w:r>
          </w:p>
        </w:tc>
      </w:tr>
      <w:tr w:rsidR="00000000">
        <w:trPr>
          <w:trHeight w:val="268"/>
          <w:jc w:val="center"/>
        </w:trPr>
        <w:tc>
          <w:tcPr>
            <w:tcW w:w="2730" w:type="dxa"/>
            <w:tcBorders>
              <w:top w:val="single" w:sz="4" w:space="0" w:color="auto"/>
              <w:left w:val="single" w:sz="4" w:space="0" w:color="auto"/>
              <w:bottom w:val="nil"/>
              <w:right w:val="single" w:sz="4" w:space="0" w:color="auto"/>
            </w:tcBorders>
          </w:tcPr>
          <w:p w:rsidR="00000000" w:rsidRDefault="00000000">
            <w:pPr>
              <w:spacing w:after="0"/>
              <w:jc w:val="center"/>
              <w:rPr>
                <w:bCs/>
                <w:szCs w:val="26"/>
              </w:rPr>
            </w:pPr>
            <w:r>
              <w:rPr>
                <w:bCs/>
                <w:szCs w:val="26"/>
              </w:rPr>
              <w:t>1996</w:t>
            </w:r>
          </w:p>
        </w:tc>
        <w:tc>
          <w:tcPr>
            <w:tcW w:w="2730" w:type="dxa"/>
            <w:tcBorders>
              <w:top w:val="single" w:sz="4" w:space="0" w:color="auto"/>
              <w:left w:val="single" w:sz="4" w:space="0" w:color="auto"/>
              <w:bottom w:val="nil"/>
              <w:right w:val="single" w:sz="4" w:space="0" w:color="auto"/>
            </w:tcBorders>
          </w:tcPr>
          <w:p w:rsidR="00000000" w:rsidRDefault="00000000">
            <w:pPr>
              <w:spacing w:after="0"/>
              <w:ind w:left="142"/>
              <w:jc w:val="center"/>
              <w:rPr>
                <w:bCs/>
                <w:szCs w:val="26"/>
              </w:rPr>
            </w:pPr>
            <w:r>
              <w:rPr>
                <w:bCs/>
                <w:szCs w:val="26"/>
              </w:rPr>
              <w:t>921</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1997</w:t>
            </w:r>
          </w:p>
        </w:tc>
        <w:tc>
          <w:tcPr>
            <w:tcW w:w="2730" w:type="dxa"/>
            <w:tcBorders>
              <w:top w:val="nil"/>
              <w:left w:val="single" w:sz="4" w:space="0" w:color="auto"/>
              <w:bottom w:val="nil"/>
              <w:right w:val="single" w:sz="4" w:space="0" w:color="auto"/>
            </w:tcBorders>
          </w:tcPr>
          <w:p w:rsidR="00000000" w:rsidRDefault="00000000">
            <w:pPr>
              <w:spacing w:after="0"/>
              <w:ind w:left="142"/>
              <w:jc w:val="center"/>
              <w:rPr>
                <w:bCs/>
                <w:szCs w:val="26"/>
              </w:rPr>
            </w:pPr>
            <w:r>
              <w:rPr>
                <w:bCs/>
                <w:szCs w:val="26"/>
              </w:rPr>
              <w:t>673</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1998</w:t>
            </w:r>
          </w:p>
        </w:tc>
        <w:tc>
          <w:tcPr>
            <w:tcW w:w="2730" w:type="dxa"/>
            <w:tcBorders>
              <w:top w:val="nil"/>
              <w:left w:val="single" w:sz="4" w:space="0" w:color="auto"/>
              <w:bottom w:val="nil"/>
              <w:right w:val="single" w:sz="4" w:space="0" w:color="auto"/>
            </w:tcBorders>
          </w:tcPr>
          <w:p w:rsidR="00000000" w:rsidRDefault="00000000">
            <w:pPr>
              <w:spacing w:after="0"/>
              <w:ind w:left="142"/>
              <w:jc w:val="center"/>
              <w:rPr>
                <w:bCs/>
                <w:szCs w:val="26"/>
              </w:rPr>
            </w:pPr>
            <w:r>
              <w:rPr>
                <w:bCs/>
                <w:szCs w:val="26"/>
              </w:rPr>
              <w:t>842</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1999</w:t>
            </w:r>
          </w:p>
        </w:tc>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1 053</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2000</w:t>
            </w:r>
          </w:p>
        </w:tc>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1 128</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2001</w:t>
            </w:r>
          </w:p>
        </w:tc>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1 366</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2002</w:t>
            </w:r>
          </w:p>
        </w:tc>
        <w:tc>
          <w:tcPr>
            <w:tcW w:w="2730" w:type="dxa"/>
            <w:tcBorders>
              <w:top w:val="nil"/>
              <w:left w:val="single" w:sz="4" w:space="0" w:color="auto"/>
              <w:bottom w:val="nil"/>
              <w:right w:val="single" w:sz="4" w:space="0" w:color="auto"/>
            </w:tcBorders>
          </w:tcPr>
          <w:p w:rsidR="00000000" w:rsidRDefault="00000000">
            <w:pPr>
              <w:spacing w:after="0"/>
              <w:jc w:val="center"/>
              <w:rPr>
                <w:bCs/>
                <w:szCs w:val="26"/>
              </w:rPr>
            </w:pPr>
            <w:r>
              <w:rPr>
                <w:bCs/>
                <w:szCs w:val="26"/>
              </w:rPr>
              <w:t>1 552</w:t>
            </w:r>
          </w:p>
        </w:tc>
      </w:tr>
      <w:tr w:rsidR="00000000">
        <w:trPr>
          <w:trHeight w:val="268"/>
          <w:jc w:val="center"/>
        </w:trPr>
        <w:tc>
          <w:tcPr>
            <w:tcW w:w="2730" w:type="dxa"/>
            <w:tcBorders>
              <w:top w:val="nil"/>
              <w:left w:val="single" w:sz="4" w:space="0" w:color="auto"/>
              <w:bottom w:val="single" w:sz="4" w:space="0" w:color="auto"/>
              <w:right w:val="single" w:sz="4" w:space="0" w:color="auto"/>
            </w:tcBorders>
          </w:tcPr>
          <w:p w:rsidR="00000000" w:rsidRDefault="00000000">
            <w:pPr>
              <w:spacing w:after="0"/>
              <w:jc w:val="center"/>
              <w:rPr>
                <w:bCs/>
                <w:szCs w:val="26"/>
              </w:rPr>
            </w:pPr>
            <w:r>
              <w:rPr>
                <w:bCs/>
                <w:szCs w:val="26"/>
              </w:rPr>
              <w:t>2003</w:t>
            </w:r>
          </w:p>
        </w:tc>
        <w:tc>
          <w:tcPr>
            <w:tcW w:w="2730" w:type="dxa"/>
            <w:tcBorders>
              <w:top w:val="nil"/>
              <w:left w:val="single" w:sz="4" w:space="0" w:color="auto"/>
              <w:bottom w:val="single" w:sz="4" w:space="0" w:color="auto"/>
              <w:right w:val="single" w:sz="4" w:space="0" w:color="auto"/>
            </w:tcBorders>
          </w:tcPr>
          <w:p w:rsidR="00000000" w:rsidRDefault="00000000">
            <w:pPr>
              <w:spacing w:after="0"/>
              <w:jc w:val="center"/>
              <w:rPr>
                <w:bCs/>
                <w:szCs w:val="26"/>
              </w:rPr>
            </w:pPr>
            <w:r>
              <w:rPr>
                <w:bCs/>
                <w:szCs w:val="26"/>
              </w:rPr>
              <w:t>1 640</w:t>
            </w:r>
          </w:p>
        </w:tc>
      </w:tr>
    </w:tbl>
    <w:p w:rsidR="00000000" w:rsidRDefault="00000000">
      <w:pPr>
        <w:pStyle w:val="ParaNo"/>
        <w:tabs>
          <w:tab w:val="clear" w:pos="360"/>
          <w:tab w:val="clear" w:pos="737"/>
        </w:tabs>
        <w:spacing w:before="240"/>
        <w:ind w:left="0" w:firstLine="0"/>
        <w:rPr>
          <w:bCs/>
          <w:szCs w:val="26"/>
          <w:lang w:val="en-GB"/>
        </w:rPr>
      </w:pPr>
      <w:r>
        <w:rPr>
          <w:bCs/>
          <w:szCs w:val="26"/>
          <w:lang w:val="en-GB"/>
        </w:rPr>
        <w:t xml:space="preserve">GDP per capita is an average indicator that is calculated by taking into account the entire population and it cannot be distinguished with </w:t>
      </w:r>
      <w:r>
        <w:rPr>
          <w:lang w:val="en-GB"/>
        </w:rPr>
        <w:t>regard</w:t>
      </w:r>
      <w:r>
        <w:rPr>
          <w:bCs/>
          <w:szCs w:val="26"/>
          <w:lang w:val="en-GB"/>
        </w:rPr>
        <w:t xml:space="preserve"> to differentiated strata of the population.</w:t>
      </w:r>
    </w:p>
    <w:p w:rsidR="00000000" w:rsidRDefault="00000000">
      <w:pPr>
        <w:pStyle w:val="Heading3"/>
      </w:pPr>
      <w:r>
        <w:t>Level of poverty in Albania</w:t>
      </w:r>
    </w:p>
    <w:p w:rsidR="00000000" w:rsidRDefault="00000000">
      <w:pPr>
        <w:pStyle w:val="ParaNo"/>
        <w:tabs>
          <w:tab w:val="clear" w:pos="737"/>
        </w:tabs>
        <w:ind w:left="0" w:firstLine="0"/>
        <w:rPr>
          <w:lang w:val="en-GB"/>
        </w:rPr>
      </w:pPr>
      <w:r>
        <w:rPr>
          <w:lang w:val="en-GB"/>
        </w:rPr>
        <w:t>According to all the indicators of poverty, one quarter of the Albanian population is poor.  Extreme poverty (below US$ 1 per capita per day) is present at less than 5 per cent of the population.  Non-monetary dimensions of poverty are sharp.  Rural access to infrastructure and services is very low, but also in urban areas the quality of these services decreases significantly the access level.</w:t>
      </w:r>
    </w:p>
    <w:p w:rsidR="00000000" w:rsidRDefault="00000000">
      <w:pPr>
        <w:pStyle w:val="ParaNo"/>
        <w:tabs>
          <w:tab w:val="clear" w:pos="737"/>
        </w:tabs>
        <w:ind w:left="0" w:firstLine="0"/>
        <w:rPr>
          <w:lang w:val="en-GB"/>
        </w:rPr>
      </w:pPr>
      <w:r>
        <w:rPr>
          <w:lang w:val="en-GB"/>
        </w:rPr>
        <w:t xml:space="preserve">Poverty is higher in rural areas, with 66 per cent more poor people than in Tirana and 50 per cent more than in other urban areas.  Poverty is more prevalent in new households.  It relates to unemployment, where gender differences appear in the labour market, disfavouring women.  A low education level also represents a significant factor of being poor.  </w:t>
      </w:r>
    </w:p>
    <w:p w:rsidR="00000000" w:rsidRDefault="00000000">
      <w:pPr>
        <w:pStyle w:val="ParaNo"/>
        <w:tabs>
          <w:tab w:val="clear" w:pos="737"/>
        </w:tabs>
        <w:ind w:left="0" w:firstLine="0"/>
        <w:rPr>
          <w:lang w:val="en-GB"/>
        </w:rPr>
      </w:pPr>
      <w:r>
        <w:rPr>
          <w:lang w:val="en-GB"/>
        </w:rPr>
        <w:t>According to the State social services the vital minimum is not established, even though a study on this subject has been completed, and this study is being used as a reference in the process of gradual growth of economic aid.</w:t>
      </w:r>
    </w:p>
    <w:p w:rsidR="00000000" w:rsidRDefault="00000000">
      <w:pPr>
        <w:pStyle w:val="ParaNo"/>
        <w:tabs>
          <w:tab w:val="clear" w:pos="737"/>
        </w:tabs>
        <w:ind w:left="0" w:firstLine="0"/>
        <w:rPr>
          <w:lang w:val="en-GB"/>
        </w:rPr>
      </w:pPr>
      <w:r>
        <w:rPr>
          <w:lang w:val="en-GB"/>
        </w:rPr>
        <w:t>Assessment of the official level of poverty is done in an administrative way by maintaining the ratio between the minimum wage, minimum pension and economic aid.</w:t>
      </w:r>
    </w:p>
    <w:p w:rsidR="00000000" w:rsidRDefault="00000000">
      <w:pPr>
        <w:pStyle w:val="ParaNo"/>
        <w:tabs>
          <w:tab w:val="clear" w:pos="737"/>
        </w:tabs>
        <w:ind w:left="0" w:firstLine="0"/>
        <w:rPr>
          <w:lang w:val="en-GB"/>
        </w:rPr>
      </w:pPr>
      <w:r>
        <w:rPr>
          <w:lang w:val="en-GB"/>
        </w:rPr>
        <w:t>Through findings of the</w:t>
      </w:r>
      <w:r>
        <w:rPr>
          <w:color w:val="000000"/>
          <w:szCs w:val="26"/>
          <w:lang w:val="en-GB"/>
        </w:rPr>
        <w:t xml:space="preserve"> study “</w:t>
      </w:r>
      <w:r>
        <w:rPr>
          <w:lang w:val="en-GB"/>
        </w:rPr>
        <w:t>Living Standards Measurement Survey</w:t>
      </w:r>
      <w:r>
        <w:rPr>
          <w:szCs w:val="26"/>
          <w:lang w:val="en-GB"/>
        </w:rPr>
        <w:t xml:space="preserve"> 2002 - INSTAT”,</w:t>
      </w:r>
      <w:r>
        <w:rPr>
          <w:color w:val="000000"/>
          <w:szCs w:val="26"/>
          <w:lang w:val="en-GB"/>
        </w:rPr>
        <w:t xml:space="preserve"> a more accurate and substantial evaluation of poverty has become possible.  There emerged the finding that a quarter of the Albanian population is poor.  Destitution, determined by nourishment criteria, is low, less than 5 per cent of the population.  The legal basis for providing economic aid is Law 7710, dated 18 May 1993, and Council of Ministers decision No. 113, dated 31 March 2002, “On </w:t>
      </w:r>
      <w:r>
        <w:rPr>
          <w:szCs w:val="26"/>
          <w:lang w:val="en-GB"/>
        </w:rPr>
        <w:t>economic aid”,</w:t>
      </w:r>
      <w:r>
        <w:rPr>
          <w:color w:val="000000"/>
          <w:szCs w:val="26"/>
          <w:lang w:val="en-GB"/>
        </w:rPr>
        <w:t xml:space="preserve"> by which 129,958 families are eligible to it.</w:t>
      </w:r>
    </w:p>
    <w:p w:rsidR="00000000" w:rsidRDefault="00000000">
      <w:pPr>
        <w:pStyle w:val="Heading3"/>
        <w:spacing w:after="200"/>
      </w:pPr>
      <w:r>
        <w:br w:type="page"/>
        <w:t>Socio-economic indicators</w:t>
      </w:r>
    </w:p>
    <w:p w:rsidR="00000000" w:rsidRDefault="00000000">
      <w:pPr>
        <w:pStyle w:val="Heading2"/>
        <w:spacing w:after="200"/>
      </w:pPr>
      <w:r>
        <w:t>Table 24</w:t>
      </w:r>
    </w:p>
    <w:p w:rsidR="00000000" w:rsidRDefault="00000000">
      <w:pPr>
        <w:pStyle w:val="Heading2"/>
        <w:spacing w:after="200"/>
      </w:pPr>
      <w:r>
        <w:t>Annual household consumption expenditures by groups for 1993, 1994, 2000</w:t>
      </w:r>
    </w:p>
    <w:p w:rsidR="00000000" w:rsidRDefault="00000000">
      <w:pPr>
        <w:pStyle w:val="Heading2"/>
        <w:rPr>
          <w:b w:val="0"/>
          <w:bCs/>
        </w:rPr>
      </w:pPr>
      <w:r>
        <w:t>Budgetary coefficients</w:t>
      </w:r>
    </w:p>
    <w:tbl>
      <w:tblPr>
        <w:tblW w:w="9345" w:type="dxa"/>
        <w:tblInd w:w="10" w:type="dxa"/>
        <w:tblLayout w:type="fixed"/>
        <w:tblCellMar>
          <w:left w:w="0" w:type="dxa"/>
          <w:right w:w="0" w:type="dxa"/>
        </w:tblCellMar>
        <w:tblLook w:val="0000" w:firstRow="0" w:lastRow="0" w:firstColumn="0" w:lastColumn="0" w:noHBand="0" w:noVBand="0"/>
      </w:tblPr>
      <w:tblGrid>
        <w:gridCol w:w="5390"/>
        <w:gridCol w:w="1318"/>
        <w:gridCol w:w="1318"/>
        <w:gridCol w:w="1319"/>
      </w:tblGrid>
      <w:tr w:rsidR="00000000">
        <w:trPr>
          <w:trHeight w:val="255"/>
        </w:trPr>
        <w:tc>
          <w:tcPr>
            <w:tcW w:w="5390" w:type="dxa"/>
            <w:tcBorders>
              <w:top w:val="single" w:sz="4" w:space="0" w:color="auto"/>
              <w:left w:val="single" w:sz="4" w:space="0" w:color="auto"/>
              <w:bottom w:val="single" w:sz="4" w:space="0" w:color="auto"/>
              <w:right w:val="nil"/>
            </w:tcBorders>
            <w:vAlign w:val="center"/>
          </w:tcPr>
          <w:p w:rsidR="00000000" w:rsidRDefault="00000000">
            <w:pPr>
              <w:spacing w:before="20" w:after="20"/>
              <w:ind w:firstLine="75"/>
              <w:jc w:val="center"/>
            </w:pPr>
            <w:r>
              <w:t>Patterns of expenditure</w:t>
            </w:r>
          </w:p>
        </w:tc>
        <w:tc>
          <w:tcPr>
            <w:tcW w:w="1318" w:type="dxa"/>
            <w:tcBorders>
              <w:top w:val="single" w:sz="4" w:space="0" w:color="auto"/>
              <w:left w:val="single" w:sz="4" w:space="0" w:color="auto"/>
              <w:bottom w:val="single" w:sz="4" w:space="0" w:color="auto"/>
              <w:right w:val="nil"/>
            </w:tcBorders>
            <w:noWrap/>
            <w:tcMar>
              <w:top w:w="17" w:type="dxa"/>
              <w:left w:w="17" w:type="dxa"/>
              <w:bottom w:w="0" w:type="dxa"/>
              <w:right w:w="17" w:type="dxa"/>
            </w:tcMar>
            <w:vAlign w:val="center"/>
          </w:tcPr>
          <w:p w:rsidR="00000000" w:rsidRDefault="00000000">
            <w:pPr>
              <w:spacing w:before="20" w:after="20"/>
              <w:jc w:val="center"/>
            </w:pPr>
            <w:r>
              <w:t>1993</w:t>
            </w:r>
          </w:p>
        </w:tc>
        <w:tc>
          <w:tcPr>
            <w:tcW w:w="1318"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spacing w:before="20" w:after="20"/>
              <w:jc w:val="center"/>
            </w:pPr>
            <w:r>
              <w:t>1994</w:t>
            </w:r>
          </w:p>
        </w:tc>
        <w:tc>
          <w:tcPr>
            <w:tcW w:w="1319"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pStyle w:val="Header"/>
              <w:tabs>
                <w:tab w:val="clear" w:pos="4320"/>
                <w:tab w:val="clear" w:pos="8640"/>
                <w:tab w:val="decimal" w:pos="941"/>
              </w:tabs>
              <w:spacing w:before="20" w:after="20"/>
            </w:pPr>
            <w:r>
              <w:t>2000</w:t>
            </w:r>
          </w:p>
        </w:tc>
      </w:tr>
      <w:tr w:rsidR="00000000">
        <w:trPr>
          <w:trHeight w:val="255"/>
        </w:trPr>
        <w:tc>
          <w:tcPr>
            <w:tcW w:w="5390" w:type="dxa"/>
            <w:tcBorders>
              <w:top w:val="nil"/>
              <w:left w:val="single" w:sz="4" w:space="0" w:color="auto"/>
              <w:right w:val="single" w:sz="4" w:space="0" w:color="auto"/>
            </w:tcBorders>
            <w:vAlign w:val="center"/>
          </w:tcPr>
          <w:p w:rsidR="00000000" w:rsidRDefault="00000000">
            <w:pPr>
              <w:spacing w:after="0"/>
              <w:ind w:firstLine="74"/>
            </w:pPr>
            <w:r>
              <w:t xml:space="preserve">Cereal products </w:t>
            </w:r>
          </w:p>
        </w:tc>
        <w:tc>
          <w:tcPr>
            <w:tcW w:w="1318" w:type="dxa"/>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000000">
            <w:pPr>
              <w:pStyle w:val="Header"/>
              <w:tabs>
                <w:tab w:val="clear" w:pos="4320"/>
                <w:tab w:val="clear" w:pos="8640"/>
                <w:tab w:val="decimal" w:pos="691"/>
              </w:tabs>
              <w:spacing w:after="0"/>
            </w:pPr>
            <w:r>
              <w:t>17.0</w:t>
            </w:r>
          </w:p>
        </w:tc>
        <w:tc>
          <w:tcPr>
            <w:tcW w:w="1318" w:type="dxa"/>
            <w:tcBorders>
              <w:top w:val="nil"/>
              <w:left w:val="nil"/>
              <w:right w:val="single" w:sz="4" w:space="0" w:color="auto"/>
            </w:tcBorders>
            <w:noWrap/>
            <w:tcMar>
              <w:top w:w="17" w:type="dxa"/>
              <w:left w:w="17" w:type="dxa"/>
              <w:bottom w:w="0" w:type="dxa"/>
              <w:right w:w="17" w:type="dxa"/>
            </w:tcMar>
            <w:vAlign w:val="center"/>
          </w:tcPr>
          <w:p w:rsidR="00000000" w:rsidRDefault="00000000">
            <w:pPr>
              <w:pStyle w:val="Header"/>
              <w:tabs>
                <w:tab w:val="clear" w:pos="4320"/>
                <w:tab w:val="clear" w:pos="8640"/>
                <w:tab w:val="decimal" w:pos="696"/>
              </w:tabs>
              <w:spacing w:after="0"/>
            </w:pPr>
            <w:r>
              <w:t>12.9</w:t>
            </w:r>
          </w:p>
        </w:tc>
        <w:tc>
          <w:tcPr>
            <w:tcW w:w="1319" w:type="dxa"/>
            <w:tcBorders>
              <w:top w:val="nil"/>
              <w:left w:val="nil"/>
              <w:right w:val="single" w:sz="4" w:space="0" w:color="auto"/>
            </w:tcBorders>
            <w:noWrap/>
            <w:tcMar>
              <w:top w:w="17" w:type="dxa"/>
              <w:left w:w="17" w:type="dxa"/>
              <w:bottom w:w="0" w:type="dxa"/>
              <w:right w:w="17" w:type="dxa"/>
            </w:tcMar>
            <w:vAlign w:val="center"/>
          </w:tcPr>
          <w:p w:rsidR="00000000" w:rsidRDefault="00000000">
            <w:pPr>
              <w:pStyle w:val="Header"/>
              <w:tabs>
                <w:tab w:val="clear" w:pos="4320"/>
                <w:tab w:val="clear" w:pos="8640"/>
                <w:tab w:val="decimal" w:pos="730"/>
              </w:tabs>
              <w:spacing w:after="0"/>
            </w:pPr>
            <w:r>
              <w:t>8.9</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Vegetables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pStyle w:val="Header"/>
              <w:tabs>
                <w:tab w:val="clear" w:pos="4320"/>
                <w:tab w:val="clear" w:pos="8640"/>
                <w:tab w:val="decimal" w:pos="691"/>
              </w:tabs>
              <w:spacing w:after="0"/>
            </w:pPr>
            <w:r>
              <w:t>9.1</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10.2</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6.2</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Fruits</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5.7</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3.4</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4.6</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Meat and products</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11.1</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11.7</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11.3</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Chicken and eggs</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5.1</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3.8</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2.5</w:t>
            </w:r>
          </w:p>
        </w:tc>
      </w:tr>
      <w:tr w:rsidR="00000000">
        <w:trPr>
          <w:trHeight w:val="255"/>
        </w:trPr>
        <w:tc>
          <w:tcPr>
            <w:tcW w:w="5390" w:type="dxa"/>
            <w:tcBorders>
              <w:top w:val="nil"/>
              <w:left w:val="single" w:sz="4" w:space="0" w:color="auto"/>
              <w:right w:val="single" w:sz="4" w:space="0" w:color="auto"/>
            </w:tcBorders>
            <w:vAlign w:val="center"/>
          </w:tcPr>
          <w:p w:rsidR="00000000" w:rsidRDefault="00000000">
            <w:pPr>
              <w:spacing w:after="0"/>
              <w:ind w:firstLine="75"/>
            </w:pPr>
            <w:r>
              <w:t>Fish</w:t>
            </w:r>
          </w:p>
        </w:tc>
        <w:tc>
          <w:tcPr>
            <w:tcW w:w="1318" w:type="dxa"/>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0.2</w:t>
            </w:r>
          </w:p>
        </w:tc>
        <w:tc>
          <w:tcPr>
            <w:tcW w:w="1318"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0.3</w:t>
            </w:r>
          </w:p>
        </w:tc>
        <w:tc>
          <w:tcPr>
            <w:tcW w:w="1319"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0.8</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Milk and dairy products</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11.7</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12.3</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7.8</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Other products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6.8</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7.7</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4.8</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Beverages</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3.4</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3.8</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3.3</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Consumption outside the home</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0.2</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0.5</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4.7</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Food products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70.3</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66.3</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54.9</w:t>
            </w:r>
          </w:p>
        </w:tc>
      </w:tr>
      <w:tr w:rsidR="00000000">
        <w:trPr>
          <w:trHeight w:val="255"/>
        </w:trPr>
        <w:tc>
          <w:tcPr>
            <w:tcW w:w="5390" w:type="dxa"/>
            <w:tcBorders>
              <w:top w:val="nil"/>
              <w:left w:val="single" w:sz="4" w:space="0" w:color="auto"/>
              <w:right w:val="single" w:sz="4" w:space="0" w:color="auto"/>
            </w:tcBorders>
            <w:vAlign w:val="center"/>
          </w:tcPr>
          <w:p w:rsidR="00000000" w:rsidRDefault="00000000">
            <w:pPr>
              <w:spacing w:after="0"/>
              <w:ind w:firstLine="75"/>
            </w:pPr>
            <w:r>
              <w:t>Beverages</w:t>
            </w:r>
          </w:p>
        </w:tc>
        <w:tc>
          <w:tcPr>
            <w:tcW w:w="1318" w:type="dxa"/>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3.4</w:t>
            </w:r>
          </w:p>
        </w:tc>
        <w:tc>
          <w:tcPr>
            <w:tcW w:w="1318"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3.8</w:t>
            </w:r>
          </w:p>
        </w:tc>
        <w:tc>
          <w:tcPr>
            <w:tcW w:w="1319"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3.3</w:t>
            </w:r>
          </w:p>
        </w:tc>
      </w:tr>
      <w:tr w:rsidR="00000000">
        <w:trPr>
          <w:trHeight w:val="255"/>
        </w:trPr>
        <w:tc>
          <w:tcPr>
            <w:tcW w:w="5390" w:type="dxa"/>
            <w:tcBorders>
              <w:top w:val="nil"/>
              <w:left w:val="single" w:sz="4" w:space="0" w:color="auto"/>
              <w:bottom w:val="nil"/>
              <w:right w:val="single" w:sz="4" w:space="0" w:color="auto"/>
            </w:tcBorders>
            <w:vAlign w:val="center"/>
          </w:tcPr>
          <w:p w:rsidR="00000000" w:rsidRDefault="00000000">
            <w:pPr>
              <w:spacing w:after="0"/>
              <w:ind w:left="75"/>
            </w:pPr>
            <w:r>
              <w:t>Food products and beverages without tobacco</w:t>
            </w:r>
          </w:p>
        </w:tc>
        <w:tc>
          <w:tcPr>
            <w:tcW w:w="1318" w:type="dxa"/>
            <w:tcBorders>
              <w:top w:val="nil"/>
              <w:left w:val="single" w:sz="4" w:space="0" w:color="auto"/>
              <w:bottom w:val="nil"/>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73.7</w:t>
            </w:r>
          </w:p>
        </w:tc>
        <w:tc>
          <w:tcPr>
            <w:tcW w:w="1318" w:type="dxa"/>
            <w:tcBorders>
              <w:top w:val="nil"/>
              <w:left w:val="nil"/>
              <w:bottom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70.1</w:t>
            </w:r>
          </w:p>
        </w:tc>
        <w:tc>
          <w:tcPr>
            <w:tcW w:w="1319" w:type="dxa"/>
            <w:tcBorders>
              <w:top w:val="nil"/>
              <w:left w:val="nil"/>
              <w:bottom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54.9</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Tobacco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1.8</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2.0</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2.9</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Clothes and footwear</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2.8</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2.4</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5.3</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Rent, electricity, water supply</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2.7</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3.2</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6</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Work on the house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2.9</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1.9</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1.2</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Furniture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2.5</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3.3</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1.1</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Equipment</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4.4</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4.2</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0.8</w:t>
            </w:r>
          </w:p>
        </w:tc>
      </w:tr>
      <w:tr w:rsidR="00000000">
        <w:trPr>
          <w:trHeight w:val="255"/>
        </w:trPr>
        <w:tc>
          <w:tcPr>
            <w:tcW w:w="5390" w:type="dxa"/>
            <w:tcBorders>
              <w:top w:val="nil"/>
              <w:left w:val="single" w:sz="4" w:space="0" w:color="auto"/>
              <w:right w:val="single" w:sz="4" w:space="0" w:color="auto"/>
            </w:tcBorders>
            <w:vAlign w:val="center"/>
          </w:tcPr>
          <w:p w:rsidR="00000000" w:rsidRDefault="00000000">
            <w:pPr>
              <w:spacing w:after="0"/>
              <w:ind w:firstLine="75"/>
            </w:pPr>
            <w:r>
              <w:t xml:space="preserve">Furnishing </w:t>
            </w:r>
          </w:p>
        </w:tc>
        <w:tc>
          <w:tcPr>
            <w:tcW w:w="1318" w:type="dxa"/>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0.2</w:t>
            </w:r>
          </w:p>
        </w:tc>
        <w:tc>
          <w:tcPr>
            <w:tcW w:w="1318"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0.4</w:t>
            </w:r>
          </w:p>
        </w:tc>
        <w:tc>
          <w:tcPr>
            <w:tcW w:w="1319"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3.7</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Maintenance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0.9</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2.3</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0.4</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Equipment, furnishing</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10.9</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12.1</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7.2</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Health</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0.9</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0.9</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2.6</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Automobile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2.0</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5.3</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4.5</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Transportation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1.6</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1.3</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1.7</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Telephone, mail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1.2</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0.6</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1.7</w:t>
            </w:r>
          </w:p>
        </w:tc>
      </w:tr>
      <w:tr w:rsidR="00000000">
        <w:trPr>
          <w:trHeight w:val="255"/>
        </w:trPr>
        <w:tc>
          <w:tcPr>
            <w:tcW w:w="5390" w:type="dxa"/>
            <w:tcBorders>
              <w:top w:val="nil"/>
              <w:left w:val="single" w:sz="4" w:space="0" w:color="auto"/>
              <w:bottom w:val="nil"/>
              <w:right w:val="single" w:sz="4" w:space="0" w:color="auto"/>
            </w:tcBorders>
            <w:vAlign w:val="center"/>
          </w:tcPr>
          <w:p w:rsidR="00000000" w:rsidRDefault="00000000">
            <w:pPr>
              <w:spacing w:after="0"/>
              <w:ind w:firstLine="75"/>
            </w:pPr>
            <w:r>
              <w:t>Transportation, communication</w:t>
            </w:r>
          </w:p>
        </w:tc>
        <w:tc>
          <w:tcPr>
            <w:tcW w:w="1318" w:type="dxa"/>
            <w:tcBorders>
              <w:top w:val="nil"/>
              <w:left w:val="single" w:sz="4" w:space="0" w:color="auto"/>
              <w:bottom w:val="nil"/>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2.8</w:t>
            </w:r>
          </w:p>
        </w:tc>
        <w:tc>
          <w:tcPr>
            <w:tcW w:w="1318" w:type="dxa"/>
            <w:tcBorders>
              <w:top w:val="nil"/>
              <w:left w:val="nil"/>
              <w:bottom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1.9</w:t>
            </w:r>
          </w:p>
        </w:tc>
        <w:tc>
          <w:tcPr>
            <w:tcW w:w="1319" w:type="dxa"/>
            <w:tcBorders>
              <w:top w:val="nil"/>
              <w:left w:val="nil"/>
              <w:bottom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3.4</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Audio-visual equipment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2.7</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3.5</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0.5</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Leisure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0.5</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0.0</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2.4</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Education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0.5</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0.4</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2.5</w:t>
            </w:r>
          </w:p>
        </w:tc>
      </w:tr>
      <w:tr w:rsidR="00000000">
        <w:trPr>
          <w:trHeight w:val="255"/>
        </w:trPr>
        <w:tc>
          <w:tcPr>
            <w:tcW w:w="5390" w:type="dxa"/>
            <w:tcBorders>
              <w:top w:val="nil"/>
              <w:left w:val="single" w:sz="4" w:space="0" w:color="auto"/>
              <w:right w:val="single" w:sz="4" w:space="0" w:color="auto"/>
            </w:tcBorders>
            <w:vAlign w:val="center"/>
          </w:tcPr>
          <w:p w:rsidR="00000000" w:rsidRDefault="00000000">
            <w:pPr>
              <w:spacing w:after="0"/>
              <w:ind w:firstLine="75"/>
            </w:pPr>
            <w:r>
              <w:t>Education, culture, entertainment</w:t>
            </w:r>
          </w:p>
        </w:tc>
        <w:tc>
          <w:tcPr>
            <w:tcW w:w="1318" w:type="dxa"/>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3.7</w:t>
            </w:r>
          </w:p>
        </w:tc>
        <w:tc>
          <w:tcPr>
            <w:tcW w:w="1318"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4.0</w:t>
            </w:r>
          </w:p>
        </w:tc>
        <w:tc>
          <w:tcPr>
            <w:tcW w:w="1319" w:type="dxa"/>
            <w:tcBorders>
              <w:top w:val="nil"/>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5.4</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Personal care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0.3</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0.8</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1.9</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Jewellery</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0.1</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0.2</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0.4</w:t>
            </w:r>
          </w:p>
        </w:tc>
      </w:tr>
      <w:tr w:rsidR="00000000">
        <w:trPr>
          <w:trHeight w:val="255"/>
        </w:trPr>
        <w:tc>
          <w:tcPr>
            <w:tcW w:w="5390" w:type="dxa"/>
            <w:tcBorders>
              <w:left w:val="single" w:sz="4" w:space="0" w:color="auto"/>
              <w:right w:val="single" w:sz="4" w:space="0" w:color="auto"/>
            </w:tcBorders>
            <w:vAlign w:val="center"/>
          </w:tcPr>
          <w:p w:rsidR="00000000" w:rsidRDefault="00000000">
            <w:pPr>
              <w:spacing w:after="0"/>
              <w:ind w:firstLine="75"/>
            </w:pPr>
            <w:r>
              <w:t xml:space="preserve">Personal care </w:t>
            </w:r>
          </w:p>
        </w:tc>
        <w:tc>
          <w:tcPr>
            <w:tcW w:w="1318" w:type="dxa"/>
            <w:tcBorders>
              <w:left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0.4</w:t>
            </w:r>
          </w:p>
        </w:tc>
        <w:tc>
          <w:tcPr>
            <w:tcW w:w="1318"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1.0</w:t>
            </w:r>
          </w:p>
        </w:tc>
        <w:tc>
          <w:tcPr>
            <w:tcW w:w="1319" w:type="dxa"/>
            <w:tcBorders>
              <w:left w:val="nil"/>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2.3</w:t>
            </w:r>
          </w:p>
        </w:tc>
      </w:tr>
      <w:tr w:rsidR="00000000">
        <w:trPr>
          <w:trHeight w:val="255"/>
        </w:trPr>
        <w:tc>
          <w:tcPr>
            <w:tcW w:w="5390" w:type="dxa"/>
            <w:tcBorders>
              <w:left w:val="single" w:sz="4" w:space="0" w:color="auto"/>
              <w:bottom w:val="single" w:sz="4" w:space="0" w:color="auto"/>
              <w:right w:val="single" w:sz="4" w:space="0" w:color="auto"/>
            </w:tcBorders>
            <w:vAlign w:val="center"/>
          </w:tcPr>
          <w:p w:rsidR="00000000" w:rsidRDefault="00000000">
            <w:pPr>
              <w:spacing w:after="0"/>
              <w:ind w:firstLine="75"/>
            </w:pPr>
            <w:r>
              <w:t>Other expenditures</w:t>
            </w:r>
          </w:p>
        </w:tc>
        <w:tc>
          <w:tcPr>
            <w:tcW w:w="1318" w:type="dxa"/>
            <w:tcBorders>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1.7</w:t>
            </w:r>
          </w:p>
        </w:tc>
        <w:tc>
          <w:tcPr>
            <w:tcW w:w="1318" w:type="dxa"/>
            <w:tcBorders>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0.8</w:t>
            </w:r>
          </w:p>
        </w:tc>
        <w:tc>
          <w:tcPr>
            <w:tcW w:w="1319" w:type="dxa"/>
            <w:tcBorders>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5.5</w:t>
            </w:r>
          </w:p>
        </w:tc>
      </w:tr>
      <w:tr w:rsidR="00000000">
        <w:trPr>
          <w:trHeight w:val="255"/>
        </w:trPr>
        <w:tc>
          <w:tcPr>
            <w:tcW w:w="5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pPr>
            <w:r>
              <w:t xml:space="preserve">     Total</w:t>
            </w:r>
          </w:p>
        </w:tc>
        <w:tc>
          <w:tcPr>
            <w:tcW w:w="1318"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1"/>
              </w:tabs>
              <w:spacing w:after="0"/>
            </w:pPr>
            <w:r>
              <w:t>100.0</w:t>
            </w:r>
          </w:p>
        </w:tc>
        <w:tc>
          <w:tcPr>
            <w:tcW w:w="1318"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696"/>
              </w:tabs>
              <w:spacing w:after="0"/>
            </w:pPr>
            <w:r>
              <w:t>100.0</w:t>
            </w:r>
          </w:p>
        </w:tc>
        <w:tc>
          <w:tcPr>
            <w:tcW w:w="1319"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tabs>
                <w:tab w:val="decimal" w:pos="730"/>
              </w:tabs>
              <w:spacing w:after="0"/>
            </w:pPr>
            <w:r>
              <w:t>100.0</w:t>
            </w:r>
          </w:p>
        </w:tc>
      </w:tr>
    </w:tbl>
    <w:p w:rsidR="00000000" w:rsidRDefault="00000000">
      <w:p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pPr>
    </w:p>
    <w:p w:rsidR="00000000" w:rsidRDefault="00000000">
      <w:pPr>
        <w:pStyle w:val="Heading2"/>
      </w:pPr>
    </w:p>
    <w:p w:rsidR="00000000" w:rsidRDefault="00000000">
      <w:pPr>
        <w:pStyle w:val="Heading2"/>
      </w:pPr>
    </w:p>
    <w:p w:rsidR="00000000" w:rsidRDefault="00000000">
      <w:pPr>
        <w:pStyle w:val="Heading2"/>
      </w:pPr>
      <w:r>
        <w:t>Table 25</w:t>
      </w:r>
    </w:p>
    <w:p w:rsidR="00000000" w:rsidRDefault="00000000">
      <w:pPr>
        <w:pStyle w:val="Heading2"/>
      </w:pPr>
      <w:r>
        <w:t>Household budget by region or urban area, 2000</w:t>
      </w:r>
    </w:p>
    <w:tbl>
      <w:tblPr>
        <w:tblW w:w="1289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7"/>
        <w:gridCol w:w="1293"/>
        <w:gridCol w:w="937"/>
        <w:gridCol w:w="1344"/>
        <w:gridCol w:w="1190"/>
        <w:gridCol w:w="988"/>
        <w:gridCol w:w="1538"/>
        <w:gridCol w:w="1422"/>
        <w:gridCol w:w="981"/>
        <w:gridCol w:w="1239"/>
        <w:gridCol w:w="850"/>
      </w:tblGrid>
      <w:tr w:rsidR="00000000">
        <w:tblPrEx>
          <w:tblCellMar>
            <w:top w:w="0" w:type="dxa"/>
            <w:bottom w:w="0" w:type="dxa"/>
          </w:tblCellMar>
        </w:tblPrEx>
        <w:tc>
          <w:tcPr>
            <w:tcW w:w="1117" w:type="dxa"/>
          </w:tcPr>
          <w:p w:rsidR="00000000" w:rsidRDefault="00000000">
            <w:pPr>
              <w:spacing w:after="0"/>
              <w:jc w:val="center"/>
              <w:rPr>
                <w:sz w:val="20"/>
              </w:rPr>
            </w:pPr>
          </w:p>
        </w:tc>
        <w:tc>
          <w:tcPr>
            <w:tcW w:w="1293" w:type="dxa"/>
          </w:tcPr>
          <w:p w:rsidR="00000000" w:rsidRDefault="00000000">
            <w:pPr>
              <w:spacing w:after="0"/>
              <w:jc w:val="center"/>
              <w:rPr>
                <w:sz w:val="20"/>
              </w:rPr>
            </w:pPr>
            <w:r>
              <w:rPr>
                <w:sz w:val="20"/>
              </w:rPr>
              <w:t>Food, tobacco, beverages</w:t>
            </w:r>
          </w:p>
        </w:tc>
        <w:tc>
          <w:tcPr>
            <w:tcW w:w="937" w:type="dxa"/>
          </w:tcPr>
          <w:p w:rsidR="00000000" w:rsidRDefault="00000000">
            <w:pPr>
              <w:spacing w:after="0"/>
              <w:rPr>
                <w:sz w:val="20"/>
              </w:rPr>
            </w:pPr>
            <w:r>
              <w:rPr>
                <w:sz w:val="20"/>
              </w:rPr>
              <w:t>Clothes, footwear</w:t>
            </w:r>
          </w:p>
        </w:tc>
        <w:tc>
          <w:tcPr>
            <w:tcW w:w="1344" w:type="dxa"/>
          </w:tcPr>
          <w:p w:rsidR="00000000" w:rsidRDefault="00000000">
            <w:pPr>
              <w:spacing w:after="0"/>
              <w:rPr>
                <w:sz w:val="20"/>
              </w:rPr>
            </w:pPr>
            <w:r>
              <w:rPr>
                <w:sz w:val="20"/>
              </w:rPr>
              <w:t xml:space="preserve"> Rent, water,</w:t>
            </w:r>
            <w:r>
              <w:rPr>
                <w:sz w:val="20"/>
              </w:rPr>
              <w:br/>
              <w:t xml:space="preserve"> electricity</w:t>
            </w:r>
          </w:p>
        </w:tc>
        <w:tc>
          <w:tcPr>
            <w:tcW w:w="1190" w:type="dxa"/>
          </w:tcPr>
          <w:p w:rsidR="00000000" w:rsidRDefault="00000000">
            <w:pPr>
              <w:spacing w:after="0"/>
              <w:rPr>
                <w:sz w:val="20"/>
              </w:rPr>
            </w:pPr>
            <w:r>
              <w:rPr>
                <w:sz w:val="20"/>
              </w:rPr>
              <w:t xml:space="preserve"> Domestic </w:t>
            </w:r>
            <w:r>
              <w:rPr>
                <w:sz w:val="20"/>
              </w:rPr>
              <w:br/>
              <w:t xml:space="preserve"> equipment</w:t>
            </w:r>
          </w:p>
        </w:tc>
        <w:tc>
          <w:tcPr>
            <w:tcW w:w="988" w:type="dxa"/>
          </w:tcPr>
          <w:p w:rsidR="00000000" w:rsidRDefault="00000000">
            <w:pPr>
              <w:spacing w:after="0"/>
              <w:jc w:val="center"/>
              <w:rPr>
                <w:sz w:val="20"/>
              </w:rPr>
            </w:pPr>
            <w:r>
              <w:rPr>
                <w:sz w:val="20"/>
              </w:rPr>
              <w:t>Medical care</w:t>
            </w:r>
          </w:p>
        </w:tc>
        <w:tc>
          <w:tcPr>
            <w:tcW w:w="1538" w:type="dxa"/>
          </w:tcPr>
          <w:p w:rsidR="00000000" w:rsidRDefault="00000000">
            <w:pPr>
              <w:spacing w:after="0"/>
              <w:rPr>
                <w:sz w:val="20"/>
              </w:rPr>
            </w:pPr>
            <w:r>
              <w:rPr>
                <w:sz w:val="20"/>
              </w:rPr>
              <w:t>Transportation, communications</w:t>
            </w:r>
          </w:p>
        </w:tc>
        <w:tc>
          <w:tcPr>
            <w:tcW w:w="1422" w:type="dxa"/>
          </w:tcPr>
          <w:p w:rsidR="00000000" w:rsidRDefault="00000000">
            <w:pPr>
              <w:spacing w:after="0"/>
              <w:rPr>
                <w:sz w:val="20"/>
              </w:rPr>
            </w:pPr>
            <w:r>
              <w:rPr>
                <w:sz w:val="20"/>
              </w:rPr>
              <w:t xml:space="preserve"> Education, </w:t>
            </w:r>
            <w:r>
              <w:rPr>
                <w:sz w:val="20"/>
              </w:rPr>
              <w:br/>
              <w:t xml:space="preserve"> entertainment</w:t>
            </w:r>
          </w:p>
        </w:tc>
        <w:tc>
          <w:tcPr>
            <w:tcW w:w="981" w:type="dxa"/>
          </w:tcPr>
          <w:p w:rsidR="00000000" w:rsidRDefault="00000000">
            <w:pPr>
              <w:spacing w:after="0"/>
              <w:jc w:val="center"/>
              <w:rPr>
                <w:sz w:val="20"/>
              </w:rPr>
            </w:pPr>
            <w:r>
              <w:rPr>
                <w:sz w:val="20"/>
              </w:rPr>
              <w:t>Personal care</w:t>
            </w:r>
          </w:p>
        </w:tc>
        <w:tc>
          <w:tcPr>
            <w:tcW w:w="1239" w:type="dxa"/>
          </w:tcPr>
          <w:p w:rsidR="00000000" w:rsidRDefault="00000000">
            <w:pPr>
              <w:spacing w:after="0"/>
              <w:jc w:val="center"/>
              <w:rPr>
                <w:sz w:val="20"/>
              </w:rPr>
            </w:pPr>
            <w:r>
              <w:rPr>
                <w:sz w:val="20"/>
              </w:rPr>
              <w:t>Other expenditures</w:t>
            </w:r>
          </w:p>
        </w:tc>
        <w:tc>
          <w:tcPr>
            <w:tcW w:w="850" w:type="dxa"/>
          </w:tcPr>
          <w:p w:rsidR="00000000" w:rsidRDefault="00000000">
            <w:pPr>
              <w:spacing w:after="0"/>
              <w:jc w:val="center"/>
              <w:rPr>
                <w:sz w:val="20"/>
              </w:rPr>
            </w:pPr>
            <w:r>
              <w:rPr>
                <w:sz w:val="20"/>
              </w:rPr>
              <w:t>Total</w:t>
            </w:r>
          </w:p>
        </w:tc>
      </w:tr>
      <w:tr w:rsidR="00000000">
        <w:tblPrEx>
          <w:tblCellMar>
            <w:top w:w="0" w:type="dxa"/>
            <w:bottom w:w="0" w:type="dxa"/>
          </w:tblCellMar>
        </w:tblPrEx>
        <w:tc>
          <w:tcPr>
            <w:tcW w:w="1117" w:type="dxa"/>
            <w:tcBorders>
              <w:bottom w:val="nil"/>
            </w:tcBorders>
            <w:vAlign w:val="bottom"/>
          </w:tcPr>
          <w:p w:rsidR="00000000" w:rsidRDefault="00000000">
            <w:pPr>
              <w:spacing w:after="0"/>
              <w:rPr>
                <w:sz w:val="20"/>
              </w:rPr>
            </w:pPr>
            <w:r>
              <w:rPr>
                <w:sz w:val="20"/>
              </w:rPr>
              <w:t>Berat</w:t>
            </w:r>
          </w:p>
        </w:tc>
        <w:tc>
          <w:tcPr>
            <w:tcW w:w="1293" w:type="dxa"/>
            <w:tcBorders>
              <w:bottom w:val="nil"/>
            </w:tcBorders>
            <w:vAlign w:val="bottom"/>
          </w:tcPr>
          <w:p w:rsidR="00000000" w:rsidRDefault="00000000">
            <w:pPr>
              <w:pStyle w:val="Header"/>
              <w:tabs>
                <w:tab w:val="clear" w:pos="4320"/>
                <w:tab w:val="clear" w:pos="8640"/>
              </w:tabs>
              <w:spacing w:after="0"/>
              <w:jc w:val="center"/>
              <w:rPr>
                <w:sz w:val="20"/>
              </w:rPr>
            </w:pPr>
            <w:r>
              <w:rPr>
                <w:sz w:val="20"/>
              </w:rPr>
              <w:t>63.3</w:t>
            </w:r>
          </w:p>
        </w:tc>
        <w:tc>
          <w:tcPr>
            <w:tcW w:w="937" w:type="dxa"/>
            <w:tcBorders>
              <w:bottom w:val="nil"/>
            </w:tcBorders>
            <w:vAlign w:val="bottom"/>
          </w:tcPr>
          <w:p w:rsidR="00000000" w:rsidRDefault="00000000">
            <w:pPr>
              <w:spacing w:after="0"/>
              <w:jc w:val="center"/>
              <w:rPr>
                <w:sz w:val="20"/>
              </w:rPr>
            </w:pPr>
            <w:r>
              <w:rPr>
                <w:sz w:val="20"/>
              </w:rPr>
              <w:t>4.2</w:t>
            </w:r>
          </w:p>
        </w:tc>
        <w:tc>
          <w:tcPr>
            <w:tcW w:w="1344" w:type="dxa"/>
            <w:tcBorders>
              <w:bottom w:val="nil"/>
            </w:tcBorders>
            <w:vAlign w:val="bottom"/>
          </w:tcPr>
          <w:p w:rsidR="00000000" w:rsidRDefault="00000000">
            <w:pPr>
              <w:pStyle w:val="Header"/>
              <w:tabs>
                <w:tab w:val="clear" w:pos="4320"/>
                <w:tab w:val="clear" w:pos="8640"/>
                <w:tab w:val="right" w:pos="742"/>
              </w:tabs>
              <w:spacing w:after="0"/>
              <w:rPr>
                <w:sz w:val="20"/>
              </w:rPr>
            </w:pPr>
            <w:r>
              <w:rPr>
                <w:sz w:val="20"/>
              </w:rPr>
              <w:tab/>
              <w:t>6.2</w:t>
            </w:r>
          </w:p>
        </w:tc>
        <w:tc>
          <w:tcPr>
            <w:tcW w:w="1190" w:type="dxa"/>
            <w:tcBorders>
              <w:bottom w:val="nil"/>
            </w:tcBorders>
            <w:vAlign w:val="bottom"/>
          </w:tcPr>
          <w:p w:rsidR="00000000" w:rsidRDefault="00000000">
            <w:pPr>
              <w:pStyle w:val="Header"/>
              <w:tabs>
                <w:tab w:val="clear" w:pos="4320"/>
                <w:tab w:val="clear" w:pos="8640"/>
                <w:tab w:val="right" w:pos="662"/>
              </w:tabs>
              <w:spacing w:after="0"/>
              <w:rPr>
                <w:sz w:val="20"/>
              </w:rPr>
            </w:pPr>
            <w:r>
              <w:rPr>
                <w:sz w:val="20"/>
              </w:rPr>
              <w:tab/>
              <w:t>6.4</w:t>
            </w:r>
          </w:p>
        </w:tc>
        <w:tc>
          <w:tcPr>
            <w:tcW w:w="988" w:type="dxa"/>
            <w:tcBorders>
              <w:bottom w:val="nil"/>
            </w:tcBorders>
            <w:vAlign w:val="bottom"/>
          </w:tcPr>
          <w:p w:rsidR="00000000" w:rsidRDefault="00000000">
            <w:pPr>
              <w:spacing w:after="0"/>
              <w:jc w:val="center"/>
              <w:rPr>
                <w:sz w:val="20"/>
              </w:rPr>
            </w:pPr>
            <w:r>
              <w:rPr>
                <w:sz w:val="20"/>
              </w:rPr>
              <w:t>3.1</w:t>
            </w:r>
          </w:p>
        </w:tc>
        <w:tc>
          <w:tcPr>
            <w:tcW w:w="1538" w:type="dxa"/>
            <w:tcBorders>
              <w:bottom w:val="nil"/>
            </w:tcBorders>
            <w:vAlign w:val="bottom"/>
          </w:tcPr>
          <w:p w:rsidR="00000000" w:rsidRDefault="00000000">
            <w:pPr>
              <w:pStyle w:val="Header"/>
              <w:tabs>
                <w:tab w:val="clear" w:pos="4320"/>
                <w:tab w:val="clear" w:pos="8640"/>
                <w:tab w:val="right" w:pos="885"/>
              </w:tabs>
              <w:spacing w:after="0"/>
              <w:rPr>
                <w:sz w:val="20"/>
              </w:rPr>
            </w:pPr>
            <w:r>
              <w:rPr>
                <w:sz w:val="20"/>
              </w:rPr>
              <w:tab/>
              <w:t>7.2</w:t>
            </w:r>
          </w:p>
        </w:tc>
        <w:tc>
          <w:tcPr>
            <w:tcW w:w="1422" w:type="dxa"/>
            <w:tcBorders>
              <w:bottom w:val="nil"/>
            </w:tcBorders>
            <w:vAlign w:val="bottom"/>
          </w:tcPr>
          <w:p w:rsidR="00000000" w:rsidRDefault="00000000">
            <w:pPr>
              <w:spacing w:after="0"/>
              <w:jc w:val="center"/>
              <w:rPr>
                <w:sz w:val="20"/>
              </w:rPr>
            </w:pPr>
            <w:r>
              <w:rPr>
                <w:sz w:val="20"/>
              </w:rPr>
              <w:t>4.0</w:t>
            </w:r>
          </w:p>
        </w:tc>
        <w:tc>
          <w:tcPr>
            <w:tcW w:w="981" w:type="dxa"/>
            <w:tcBorders>
              <w:bottom w:val="nil"/>
            </w:tcBorders>
            <w:vAlign w:val="bottom"/>
          </w:tcPr>
          <w:p w:rsidR="00000000" w:rsidRDefault="00000000">
            <w:pPr>
              <w:spacing w:after="0"/>
              <w:jc w:val="center"/>
              <w:rPr>
                <w:sz w:val="20"/>
              </w:rPr>
            </w:pPr>
            <w:r>
              <w:rPr>
                <w:sz w:val="20"/>
              </w:rPr>
              <w:t>1.9</w:t>
            </w:r>
          </w:p>
        </w:tc>
        <w:tc>
          <w:tcPr>
            <w:tcW w:w="1239" w:type="dxa"/>
            <w:tcBorders>
              <w:bottom w:val="nil"/>
            </w:tcBorders>
            <w:vAlign w:val="bottom"/>
          </w:tcPr>
          <w:p w:rsidR="00000000" w:rsidRDefault="00000000">
            <w:pPr>
              <w:spacing w:after="0"/>
              <w:jc w:val="center"/>
              <w:rPr>
                <w:sz w:val="20"/>
              </w:rPr>
            </w:pPr>
            <w:r>
              <w:rPr>
                <w:sz w:val="20"/>
              </w:rPr>
              <w:t>3.7</w:t>
            </w:r>
          </w:p>
        </w:tc>
        <w:tc>
          <w:tcPr>
            <w:tcW w:w="850" w:type="dxa"/>
            <w:tcBorders>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Diber</w:t>
            </w:r>
          </w:p>
        </w:tc>
        <w:tc>
          <w:tcPr>
            <w:tcW w:w="1293" w:type="dxa"/>
            <w:tcBorders>
              <w:top w:val="nil"/>
              <w:bottom w:val="nil"/>
            </w:tcBorders>
            <w:vAlign w:val="bottom"/>
          </w:tcPr>
          <w:p w:rsidR="00000000" w:rsidRDefault="00000000">
            <w:pPr>
              <w:spacing w:after="0"/>
              <w:jc w:val="center"/>
              <w:rPr>
                <w:sz w:val="20"/>
              </w:rPr>
            </w:pPr>
            <w:r>
              <w:rPr>
                <w:sz w:val="20"/>
              </w:rPr>
              <w:t>62.2</w:t>
            </w:r>
          </w:p>
        </w:tc>
        <w:tc>
          <w:tcPr>
            <w:tcW w:w="937" w:type="dxa"/>
            <w:tcBorders>
              <w:top w:val="nil"/>
              <w:bottom w:val="nil"/>
            </w:tcBorders>
            <w:vAlign w:val="bottom"/>
          </w:tcPr>
          <w:p w:rsidR="00000000" w:rsidRDefault="00000000">
            <w:pPr>
              <w:spacing w:after="0"/>
              <w:jc w:val="center"/>
              <w:rPr>
                <w:sz w:val="20"/>
              </w:rPr>
            </w:pPr>
            <w:r>
              <w:rPr>
                <w:sz w:val="20"/>
              </w:rPr>
              <w:t>5.7</w:t>
            </w:r>
          </w:p>
        </w:tc>
        <w:tc>
          <w:tcPr>
            <w:tcW w:w="1344" w:type="dxa"/>
            <w:tcBorders>
              <w:top w:val="nil"/>
              <w:bottom w:val="nil"/>
            </w:tcBorders>
            <w:vAlign w:val="bottom"/>
          </w:tcPr>
          <w:p w:rsidR="00000000" w:rsidRDefault="00000000">
            <w:pPr>
              <w:tabs>
                <w:tab w:val="right" w:pos="742"/>
              </w:tabs>
              <w:spacing w:after="0"/>
              <w:rPr>
                <w:sz w:val="20"/>
              </w:rPr>
            </w:pPr>
            <w:r>
              <w:rPr>
                <w:sz w:val="20"/>
              </w:rPr>
              <w:tab/>
              <w:t>5.6</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5.9</w:t>
            </w:r>
          </w:p>
        </w:tc>
        <w:tc>
          <w:tcPr>
            <w:tcW w:w="988" w:type="dxa"/>
            <w:tcBorders>
              <w:top w:val="nil"/>
              <w:bottom w:val="nil"/>
            </w:tcBorders>
            <w:vAlign w:val="bottom"/>
          </w:tcPr>
          <w:p w:rsidR="00000000" w:rsidRDefault="00000000">
            <w:pPr>
              <w:spacing w:after="0"/>
              <w:jc w:val="center"/>
              <w:rPr>
                <w:sz w:val="20"/>
              </w:rPr>
            </w:pPr>
            <w:r>
              <w:rPr>
                <w:sz w:val="20"/>
              </w:rPr>
              <w:t>1.9</w:t>
            </w:r>
          </w:p>
        </w:tc>
        <w:tc>
          <w:tcPr>
            <w:tcW w:w="1538" w:type="dxa"/>
            <w:tcBorders>
              <w:top w:val="nil"/>
              <w:bottom w:val="nil"/>
            </w:tcBorders>
            <w:vAlign w:val="bottom"/>
          </w:tcPr>
          <w:p w:rsidR="00000000" w:rsidRDefault="00000000">
            <w:pPr>
              <w:tabs>
                <w:tab w:val="right" w:pos="885"/>
              </w:tabs>
              <w:spacing w:after="0"/>
              <w:rPr>
                <w:sz w:val="20"/>
              </w:rPr>
            </w:pPr>
            <w:r>
              <w:rPr>
                <w:sz w:val="20"/>
              </w:rPr>
              <w:tab/>
              <w:t>6.4</w:t>
            </w:r>
          </w:p>
        </w:tc>
        <w:tc>
          <w:tcPr>
            <w:tcW w:w="1422" w:type="dxa"/>
            <w:tcBorders>
              <w:top w:val="nil"/>
              <w:bottom w:val="nil"/>
            </w:tcBorders>
            <w:vAlign w:val="bottom"/>
          </w:tcPr>
          <w:p w:rsidR="00000000" w:rsidRDefault="00000000">
            <w:pPr>
              <w:spacing w:after="0"/>
              <w:jc w:val="center"/>
              <w:rPr>
                <w:sz w:val="20"/>
              </w:rPr>
            </w:pPr>
            <w:r>
              <w:rPr>
                <w:sz w:val="20"/>
              </w:rPr>
              <w:t>3.3</w:t>
            </w:r>
          </w:p>
        </w:tc>
        <w:tc>
          <w:tcPr>
            <w:tcW w:w="981" w:type="dxa"/>
            <w:tcBorders>
              <w:top w:val="nil"/>
              <w:bottom w:val="nil"/>
            </w:tcBorders>
            <w:vAlign w:val="bottom"/>
          </w:tcPr>
          <w:p w:rsidR="00000000" w:rsidRDefault="00000000">
            <w:pPr>
              <w:spacing w:after="0"/>
              <w:jc w:val="center"/>
              <w:rPr>
                <w:sz w:val="20"/>
              </w:rPr>
            </w:pPr>
            <w:r>
              <w:rPr>
                <w:sz w:val="20"/>
              </w:rPr>
              <w:t>1.0</w:t>
            </w:r>
          </w:p>
        </w:tc>
        <w:tc>
          <w:tcPr>
            <w:tcW w:w="1239" w:type="dxa"/>
            <w:tcBorders>
              <w:top w:val="nil"/>
              <w:bottom w:val="nil"/>
            </w:tcBorders>
            <w:vAlign w:val="bottom"/>
          </w:tcPr>
          <w:p w:rsidR="00000000" w:rsidRDefault="00000000">
            <w:pPr>
              <w:spacing w:after="0"/>
              <w:jc w:val="center"/>
              <w:rPr>
                <w:sz w:val="20"/>
              </w:rPr>
            </w:pPr>
            <w:r>
              <w:rPr>
                <w:sz w:val="20"/>
              </w:rPr>
              <w:t>7.9</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 xml:space="preserve">Durres </w:t>
            </w:r>
          </w:p>
        </w:tc>
        <w:tc>
          <w:tcPr>
            <w:tcW w:w="1293" w:type="dxa"/>
            <w:tcBorders>
              <w:top w:val="nil"/>
              <w:bottom w:val="nil"/>
            </w:tcBorders>
            <w:vAlign w:val="bottom"/>
          </w:tcPr>
          <w:p w:rsidR="00000000" w:rsidRDefault="00000000">
            <w:pPr>
              <w:spacing w:after="0"/>
              <w:jc w:val="center"/>
              <w:rPr>
                <w:sz w:val="20"/>
              </w:rPr>
            </w:pPr>
            <w:r>
              <w:rPr>
                <w:sz w:val="20"/>
              </w:rPr>
              <w:t>61.9</w:t>
            </w:r>
          </w:p>
        </w:tc>
        <w:tc>
          <w:tcPr>
            <w:tcW w:w="937" w:type="dxa"/>
            <w:tcBorders>
              <w:top w:val="nil"/>
              <w:bottom w:val="nil"/>
            </w:tcBorders>
            <w:vAlign w:val="bottom"/>
          </w:tcPr>
          <w:p w:rsidR="00000000" w:rsidRDefault="00000000">
            <w:pPr>
              <w:spacing w:after="0"/>
              <w:jc w:val="center"/>
              <w:rPr>
                <w:sz w:val="20"/>
              </w:rPr>
            </w:pPr>
            <w:r>
              <w:rPr>
                <w:sz w:val="20"/>
              </w:rPr>
              <w:t>4.3</w:t>
            </w:r>
          </w:p>
        </w:tc>
        <w:tc>
          <w:tcPr>
            <w:tcW w:w="1344" w:type="dxa"/>
            <w:tcBorders>
              <w:top w:val="nil"/>
              <w:bottom w:val="nil"/>
            </w:tcBorders>
            <w:vAlign w:val="bottom"/>
          </w:tcPr>
          <w:p w:rsidR="00000000" w:rsidRDefault="00000000">
            <w:pPr>
              <w:tabs>
                <w:tab w:val="right" w:pos="742"/>
              </w:tabs>
              <w:spacing w:after="0"/>
              <w:rPr>
                <w:sz w:val="20"/>
              </w:rPr>
            </w:pPr>
            <w:r>
              <w:rPr>
                <w:sz w:val="20"/>
              </w:rPr>
              <w:tab/>
              <w:t>6.5</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5.3</w:t>
            </w:r>
          </w:p>
        </w:tc>
        <w:tc>
          <w:tcPr>
            <w:tcW w:w="988" w:type="dxa"/>
            <w:tcBorders>
              <w:top w:val="nil"/>
              <w:bottom w:val="nil"/>
            </w:tcBorders>
            <w:vAlign w:val="bottom"/>
          </w:tcPr>
          <w:p w:rsidR="00000000" w:rsidRDefault="00000000">
            <w:pPr>
              <w:spacing w:after="0"/>
              <w:jc w:val="center"/>
              <w:rPr>
                <w:sz w:val="20"/>
              </w:rPr>
            </w:pPr>
            <w:r>
              <w:rPr>
                <w:sz w:val="20"/>
              </w:rPr>
              <w:t>2.1</w:t>
            </w:r>
          </w:p>
        </w:tc>
        <w:tc>
          <w:tcPr>
            <w:tcW w:w="1538" w:type="dxa"/>
            <w:tcBorders>
              <w:top w:val="nil"/>
              <w:bottom w:val="nil"/>
            </w:tcBorders>
            <w:vAlign w:val="bottom"/>
          </w:tcPr>
          <w:p w:rsidR="00000000" w:rsidRDefault="00000000">
            <w:pPr>
              <w:tabs>
                <w:tab w:val="right" w:pos="885"/>
              </w:tabs>
              <w:spacing w:after="0"/>
              <w:rPr>
                <w:sz w:val="20"/>
              </w:rPr>
            </w:pPr>
            <w:r>
              <w:rPr>
                <w:sz w:val="20"/>
              </w:rPr>
              <w:tab/>
              <w:t>7.4</w:t>
            </w:r>
          </w:p>
        </w:tc>
        <w:tc>
          <w:tcPr>
            <w:tcW w:w="1422" w:type="dxa"/>
            <w:tcBorders>
              <w:top w:val="nil"/>
              <w:bottom w:val="nil"/>
            </w:tcBorders>
            <w:vAlign w:val="bottom"/>
          </w:tcPr>
          <w:p w:rsidR="00000000" w:rsidRDefault="00000000">
            <w:pPr>
              <w:spacing w:after="0"/>
              <w:jc w:val="center"/>
              <w:rPr>
                <w:sz w:val="20"/>
              </w:rPr>
            </w:pPr>
            <w:r>
              <w:rPr>
                <w:sz w:val="20"/>
              </w:rPr>
              <w:t>3.6</w:t>
            </w:r>
          </w:p>
        </w:tc>
        <w:tc>
          <w:tcPr>
            <w:tcW w:w="981" w:type="dxa"/>
            <w:tcBorders>
              <w:top w:val="nil"/>
              <w:bottom w:val="nil"/>
            </w:tcBorders>
            <w:vAlign w:val="bottom"/>
          </w:tcPr>
          <w:p w:rsidR="00000000" w:rsidRDefault="00000000">
            <w:pPr>
              <w:spacing w:after="0"/>
              <w:jc w:val="center"/>
              <w:rPr>
                <w:sz w:val="20"/>
              </w:rPr>
            </w:pPr>
            <w:r>
              <w:rPr>
                <w:sz w:val="20"/>
              </w:rPr>
              <w:t>2.3</w:t>
            </w:r>
          </w:p>
        </w:tc>
        <w:tc>
          <w:tcPr>
            <w:tcW w:w="1239" w:type="dxa"/>
            <w:tcBorders>
              <w:top w:val="nil"/>
              <w:bottom w:val="nil"/>
            </w:tcBorders>
            <w:vAlign w:val="bottom"/>
          </w:tcPr>
          <w:p w:rsidR="00000000" w:rsidRDefault="00000000">
            <w:pPr>
              <w:spacing w:after="0"/>
              <w:jc w:val="center"/>
              <w:rPr>
                <w:sz w:val="20"/>
              </w:rPr>
            </w:pPr>
            <w:r>
              <w:rPr>
                <w:sz w:val="20"/>
              </w:rPr>
              <w:t>6.6</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Elbasan</w:t>
            </w:r>
          </w:p>
        </w:tc>
        <w:tc>
          <w:tcPr>
            <w:tcW w:w="1293" w:type="dxa"/>
            <w:tcBorders>
              <w:top w:val="nil"/>
              <w:bottom w:val="nil"/>
            </w:tcBorders>
            <w:vAlign w:val="bottom"/>
          </w:tcPr>
          <w:p w:rsidR="00000000" w:rsidRDefault="00000000">
            <w:pPr>
              <w:spacing w:after="0"/>
              <w:jc w:val="center"/>
              <w:rPr>
                <w:sz w:val="20"/>
              </w:rPr>
            </w:pPr>
            <w:r>
              <w:rPr>
                <w:sz w:val="20"/>
              </w:rPr>
              <w:t>60.1</w:t>
            </w:r>
          </w:p>
        </w:tc>
        <w:tc>
          <w:tcPr>
            <w:tcW w:w="937" w:type="dxa"/>
            <w:tcBorders>
              <w:top w:val="nil"/>
              <w:bottom w:val="nil"/>
            </w:tcBorders>
            <w:vAlign w:val="bottom"/>
          </w:tcPr>
          <w:p w:rsidR="00000000" w:rsidRDefault="00000000">
            <w:pPr>
              <w:spacing w:after="0"/>
              <w:jc w:val="center"/>
              <w:rPr>
                <w:sz w:val="20"/>
              </w:rPr>
            </w:pPr>
            <w:r>
              <w:rPr>
                <w:sz w:val="20"/>
              </w:rPr>
              <w:t>4.5</w:t>
            </w:r>
          </w:p>
        </w:tc>
        <w:tc>
          <w:tcPr>
            <w:tcW w:w="1344" w:type="dxa"/>
            <w:tcBorders>
              <w:top w:val="nil"/>
              <w:bottom w:val="nil"/>
            </w:tcBorders>
            <w:vAlign w:val="bottom"/>
          </w:tcPr>
          <w:p w:rsidR="00000000" w:rsidRDefault="00000000">
            <w:pPr>
              <w:tabs>
                <w:tab w:val="right" w:pos="742"/>
              </w:tabs>
              <w:spacing w:after="0"/>
              <w:rPr>
                <w:sz w:val="20"/>
              </w:rPr>
            </w:pPr>
            <w:r>
              <w:rPr>
                <w:sz w:val="20"/>
              </w:rPr>
              <w:tab/>
              <w:t>6.1</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7.1</w:t>
            </w:r>
          </w:p>
        </w:tc>
        <w:tc>
          <w:tcPr>
            <w:tcW w:w="988" w:type="dxa"/>
            <w:tcBorders>
              <w:top w:val="nil"/>
              <w:bottom w:val="nil"/>
            </w:tcBorders>
            <w:vAlign w:val="bottom"/>
          </w:tcPr>
          <w:p w:rsidR="00000000" w:rsidRDefault="00000000">
            <w:pPr>
              <w:spacing w:after="0"/>
              <w:jc w:val="center"/>
              <w:rPr>
                <w:sz w:val="20"/>
              </w:rPr>
            </w:pPr>
            <w:r>
              <w:rPr>
                <w:sz w:val="20"/>
              </w:rPr>
              <w:t>2.7</w:t>
            </w:r>
          </w:p>
        </w:tc>
        <w:tc>
          <w:tcPr>
            <w:tcW w:w="1538" w:type="dxa"/>
            <w:tcBorders>
              <w:top w:val="nil"/>
              <w:bottom w:val="nil"/>
            </w:tcBorders>
            <w:vAlign w:val="bottom"/>
          </w:tcPr>
          <w:p w:rsidR="00000000" w:rsidRDefault="00000000">
            <w:pPr>
              <w:tabs>
                <w:tab w:val="right" w:pos="885"/>
              </w:tabs>
              <w:spacing w:after="0"/>
              <w:rPr>
                <w:sz w:val="20"/>
              </w:rPr>
            </w:pPr>
            <w:r>
              <w:rPr>
                <w:sz w:val="20"/>
              </w:rPr>
              <w:tab/>
              <w:t>7.3</w:t>
            </w:r>
          </w:p>
        </w:tc>
        <w:tc>
          <w:tcPr>
            <w:tcW w:w="1422" w:type="dxa"/>
            <w:tcBorders>
              <w:top w:val="nil"/>
              <w:bottom w:val="nil"/>
            </w:tcBorders>
            <w:vAlign w:val="bottom"/>
          </w:tcPr>
          <w:p w:rsidR="00000000" w:rsidRDefault="00000000">
            <w:pPr>
              <w:spacing w:after="0"/>
              <w:jc w:val="center"/>
              <w:rPr>
                <w:sz w:val="20"/>
              </w:rPr>
            </w:pPr>
            <w:r>
              <w:rPr>
                <w:sz w:val="20"/>
              </w:rPr>
              <w:t>5.9</w:t>
            </w:r>
          </w:p>
        </w:tc>
        <w:tc>
          <w:tcPr>
            <w:tcW w:w="981" w:type="dxa"/>
            <w:tcBorders>
              <w:top w:val="nil"/>
              <w:bottom w:val="nil"/>
            </w:tcBorders>
            <w:vAlign w:val="bottom"/>
          </w:tcPr>
          <w:p w:rsidR="00000000" w:rsidRDefault="00000000">
            <w:pPr>
              <w:spacing w:after="0"/>
              <w:jc w:val="center"/>
              <w:rPr>
                <w:sz w:val="20"/>
              </w:rPr>
            </w:pPr>
            <w:r>
              <w:rPr>
                <w:sz w:val="20"/>
              </w:rPr>
              <w:t>2.2</w:t>
            </w:r>
          </w:p>
        </w:tc>
        <w:tc>
          <w:tcPr>
            <w:tcW w:w="1239" w:type="dxa"/>
            <w:tcBorders>
              <w:top w:val="nil"/>
              <w:bottom w:val="nil"/>
            </w:tcBorders>
            <w:vAlign w:val="bottom"/>
          </w:tcPr>
          <w:p w:rsidR="00000000" w:rsidRDefault="00000000">
            <w:pPr>
              <w:spacing w:after="0"/>
              <w:jc w:val="center"/>
              <w:rPr>
                <w:sz w:val="20"/>
              </w:rPr>
            </w:pPr>
            <w:r>
              <w:rPr>
                <w:sz w:val="20"/>
              </w:rPr>
              <w:t>4.1</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Gjirokaster</w:t>
            </w:r>
          </w:p>
        </w:tc>
        <w:tc>
          <w:tcPr>
            <w:tcW w:w="1293" w:type="dxa"/>
            <w:tcBorders>
              <w:top w:val="nil"/>
              <w:bottom w:val="nil"/>
            </w:tcBorders>
            <w:vAlign w:val="bottom"/>
          </w:tcPr>
          <w:p w:rsidR="00000000" w:rsidRDefault="00000000">
            <w:pPr>
              <w:spacing w:after="0"/>
              <w:jc w:val="center"/>
              <w:rPr>
                <w:sz w:val="20"/>
              </w:rPr>
            </w:pPr>
            <w:r>
              <w:rPr>
                <w:sz w:val="20"/>
              </w:rPr>
              <w:t>55.2</w:t>
            </w:r>
          </w:p>
        </w:tc>
        <w:tc>
          <w:tcPr>
            <w:tcW w:w="937" w:type="dxa"/>
            <w:tcBorders>
              <w:top w:val="nil"/>
              <w:bottom w:val="nil"/>
            </w:tcBorders>
            <w:vAlign w:val="bottom"/>
          </w:tcPr>
          <w:p w:rsidR="00000000" w:rsidRDefault="00000000">
            <w:pPr>
              <w:spacing w:after="0"/>
              <w:jc w:val="center"/>
              <w:rPr>
                <w:sz w:val="20"/>
              </w:rPr>
            </w:pPr>
            <w:r>
              <w:rPr>
                <w:sz w:val="20"/>
              </w:rPr>
              <w:t>5.6</w:t>
            </w:r>
          </w:p>
        </w:tc>
        <w:tc>
          <w:tcPr>
            <w:tcW w:w="1344" w:type="dxa"/>
            <w:tcBorders>
              <w:top w:val="nil"/>
              <w:bottom w:val="nil"/>
            </w:tcBorders>
            <w:vAlign w:val="bottom"/>
          </w:tcPr>
          <w:p w:rsidR="00000000" w:rsidRDefault="00000000">
            <w:pPr>
              <w:tabs>
                <w:tab w:val="right" w:pos="742"/>
              </w:tabs>
              <w:spacing w:after="0"/>
              <w:rPr>
                <w:sz w:val="20"/>
              </w:rPr>
            </w:pPr>
            <w:r>
              <w:rPr>
                <w:sz w:val="20"/>
              </w:rPr>
              <w:tab/>
              <w:t>5.9</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6.5</w:t>
            </w:r>
          </w:p>
        </w:tc>
        <w:tc>
          <w:tcPr>
            <w:tcW w:w="988" w:type="dxa"/>
            <w:tcBorders>
              <w:top w:val="nil"/>
              <w:bottom w:val="nil"/>
            </w:tcBorders>
            <w:vAlign w:val="bottom"/>
          </w:tcPr>
          <w:p w:rsidR="00000000" w:rsidRDefault="00000000">
            <w:pPr>
              <w:spacing w:after="0"/>
              <w:jc w:val="center"/>
              <w:rPr>
                <w:sz w:val="20"/>
              </w:rPr>
            </w:pPr>
            <w:r>
              <w:rPr>
                <w:sz w:val="20"/>
              </w:rPr>
              <w:t>3.7</w:t>
            </w:r>
          </w:p>
        </w:tc>
        <w:tc>
          <w:tcPr>
            <w:tcW w:w="1538" w:type="dxa"/>
            <w:tcBorders>
              <w:top w:val="nil"/>
              <w:bottom w:val="nil"/>
            </w:tcBorders>
            <w:vAlign w:val="bottom"/>
          </w:tcPr>
          <w:p w:rsidR="00000000" w:rsidRDefault="00000000">
            <w:pPr>
              <w:tabs>
                <w:tab w:val="right" w:pos="885"/>
              </w:tabs>
              <w:spacing w:after="0"/>
              <w:rPr>
                <w:sz w:val="20"/>
              </w:rPr>
            </w:pPr>
            <w:r>
              <w:rPr>
                <w:sz w:val="20"/>
              </w:rPr>
              <w:tab/>
              <w:t>8.9</w:t>
            </w:r>
          </w:p>
        </w:tc>
        <w:tc>
          <w:tcPr>
            <w:tcW w:w="1422" w:type="dxa"/>
            <w:tcBorders>
              <w:top w:val="nil"/>
              <w:bottom w:val="nil"/>
            </w:tcBorders>
            <w:vAlign w:val="bottom"/>
          </w:tcPr>
          <w:p w:rsidR="00000000" w:rsidRDefault="00000000">
            <w:pPr>
              <w:spacing w:after="0"/>
              <w:jc w:val="center"/>
              <w:rPr>
                <w:sz w:val="20"/>
              </w:rPr>
            </w:pPr>
            <w:r>
              <w:rPr>
                <w:sz w:val="20"/>
              </w:rPr>
              <w:t>8.4</w:t>
            </w:r>
          </w:p>
        </w:tc>
        <w:tc>
          <w:tcPr>
            <w:tcW w:w="981" w:type="dxa"/>
            <w:tcBorders>
              <w:top w:val="nil"/>
              <w:bottom w:val="nil"/>
            </w:tcBorders>
            <w:vAlign w:val="bottom"/>
          </w:tcPr>
          <w:p w:rsidR="00000000" w:rsidRDefault="00000000">
            <w:pPr>
              <w:spacing w:after="0"/>
              <w:jc w:val="center"/>
              <w:rPr>
                <w:sz w:val="20"/>
              </w:rPr>
            </w:pPr>
            <w:r>
              <w:rPr>
                <w:sz w:val="20"/>
              </w:rPr>
              <w:t>1.5</w:t>
            </w:r>
          </w:p>
        </w:tc>
        <w:tc>
          <w:tcPr>
            <w:tcW w:w="1239" w:type="dxa"/>
            <w:tcBorders>
              <w:top w:val="nil"/>
              <w:bottom w:val="nil"/>
            </w:tcBorders>
            <w:vAlign w:val="bottom"/>
          </w:tcPr>
          <w:p w:rsidR="00000000" w:rsidRDefault="00000000">
            <w:pPr>
              <w:spacing w:after="0"/>
              <w:jc w:val="center"/>
              <w:rPr>
                <w:sz w:val="20"/>
              </w:rPr>
            </w:pPr>
            <w:r>
              <w:rPr>
                <w:sz w:val="20"/>
              </w:rPr>
              <w:t>4.3</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Fier</w:t>
            </w:r>
          </w:p>
        </w:tc>
        <w:tc>
          <w:tcPr>
            <w:tcW w:w="1293" w:type="dxa"/>
            <w:tcBorders>
              <w:top w:val="nil"/>
              <w:bottom w:val="nil"/>
            </w:tcBorders>
            <w:vAlign w:val="bottom"/>
          </w:tcPr>
          <w:p w:rsidR="00000000" w:rsidRDefault="00000000">
            <w:pPr>
              <w:spacing w:after="0"/>
              <w:jc w:val="center"/>
              <w:rPr>
                <w:sz w:val="20"/>
              </w:rPr>
            </w:pPr>
            <w:r>
              <w:rPr>
                <w:sz w:val="20"/>
              </w:rPr>
              <w:t>53.7</w:t>
            </w:r>
          </w:p>
        </w:tc>
        <w:tc>
          <w:tcPr>
            <w:tcW w:w="937" w:type="dxa"/>
            <w:tcBorders>
              <w:top w:val="nil"/>
              <w:bottom w:val="nil"/>
            </w:tcBorders>
            <w:vAlign w:val="bottom"/>
          </w:tcPr>
          <w:p w:rsidR="00000000" w:rsidRDefault="00000000">
            <w:pPr>
              <w:spacing w:after="0"/>
              <w:jc w:val="center"/>
              <w:rPr>
                <w:sz w:val="20"/>
              </w:rPr>
            </w:pPr>
            <w:r>
              <w:rPr>
                <w:sz w:val="20"/>
              </w:rPr>
              <w:t>4.3</w:t>
            </w:r>
          </w:p>
        </w:tc>
        <w:tc>
          <w:tcPr>
            <w:tcW w:w="1344" w:type="dxa"/>
            <w:tcBorders>
              <w:top w:val="nil"/>
              <w:bottom w:val="nil"/>
            </w:tcBorders>
            <w:vAlign w:val="bottom"/>
          </w:tcPr>
          <w:p w:rsidR="00000000" w:rsidRDefault="00000000">
            <w:pPr>
              <w:tabs>
                <w:tab w:val="right" w:pos="742"/>
              </w:tabs>
              <w:spacing w:after="0"/>
              <w:rPr>
                <w:sz w:val="20"/>
              </w:rPr>
            </w:pPr>
            <w:r>
              <w:rPr>
                <w:sz w:val="20"/>
              </w:rPr>
              <w:tab/>
              <w:t>7.1</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6.6</w:t>
            </w:r>
          </w:p>
        </w:tc>
        <w:tc>
          <w:tcPr>
            <w:tcW w:w="988" w:type="dxa"/>
            <w:tcBorders>
              <w:top w:val="nil"/>
              <w:bottom w:val="nil"/>
            </w:tcBorders>
            <w:vAlign w:val="bottom"/>
          </w:tcPr>
          <w:p w:rsidR="00000000" w:rsidRDefault="00000000">
            <w:pPr>
              <w:spacing w:after="0"/>
              <w:jc w:val="center"/>
              <w:rPr>
                <w:sz w:val="20"/>
              </w:rPr>
            </w:pPr>
            <w:r>
              <w:rPr>
                <w:sz w:val="20"/>
              </w:rPr>
              <w:t>3.4</w:t>
            </w:r>
          </w:p>
        </w:tc>
        <w:tc>
          <w:tcPr>
            <w:tcW w:w="1538" w:type="dxa"/>
            <w:tcBorders>
              <w:top w:val="nil"/>
              <w:bottom w:val="nil"/>
            </w:tcBorders>
            <w:vAlign w:val="bottom"/>
          </w:tcPr>
          <w:p w:rsidR="00000000" w:rsidRDefault="00000000">
            <w:pPr>
              <w:tabs>
                <w:tab w:val="right" w:pos="885"/>
              </w:tabs>
              <w:spacing w:after="0"/>
              <w:rPr>
                <w:sz w:val="20"/>
              </w:rPr>
            </w:pPr>
            <w:r>
              <w:rPr>
                <w:sz w:val="20"/>
              </w:rPr>
              <w:tab/>
              <w:t>9.9</w:t>
            </w:r>
          </w:p>
        </w:tc>
        <w:tc>
          <w:tcPr>
            <w:tcW w:w="1422" w:type="dxa"/>
            <w:tcBorders>
              <w:top w:val="nil"/>
              <w:bottom w:val="nil"/>
            </w:tcBorders>
            <w:vAlign w:val="bottom"/>
          </w:tcPr>
          <w:p w:rsidR="00000000" w:rsidRDefault="00000000">
            <w:pPr>
              <w:spacing w:after="0"/>
              <w:jc w:val="center"/>
              <w:rPr>
                <w:sz w:val="20"/>
              </w:rPr>
            </w:pPr>
            <w:r>
              <w:rPr>
                <w:sz w:val="20"/>
              </w:rPr>
              <w:t>4.7</w:t>
            </w:r>
          </w:p>
        </w:tc>
        <w:tc>
          <w:tcPr>
            <w:tcW w:w="981" w:type="dxa"/>
            <w:tcBorders>
              <w:top w:val="nil"/>
              <w:bottom w:val="nil"/>
            </w:tcBorders>
            <w:vAlign w:val="bottom"/>
          </w:tcPr>
          <w:p w:rsidR="00000000" w:rsidRDefault="00000000">
            <w:pPr>
              <w:spacing w:after="0"/>
              <w:jc w:val="center"/>
              <w:rPr>
                <w:sz w:val="20"/>
              </w:rPr>
            </w:pPr>
            <w:r>
              <w:rPr>
                <w:sz w:val="20"/>
              </w:rPr>
              <w:t>1.8</w:t>
            </w:r>
          </w:p>
        </w:tc>
        <w:tc>
          <w:tcPr>
            <w:tcW w:w="1239" w:type="dxa"/>
            <w:tcBorders>
              <w:top w:val="nil"/>
              <w:bottom w:val="nil"/>
            </w:tcBorders>
            <w:vAlign w:val="bottom"/>
          </w:tcPr>
          <w:p w:rsidR="00000000" w:rsidRDefault="00000000">
            <w:pPr>
              <w:spacing w:after="0"/>
              <w:jc w:val="center"/>
              <w:rPr>
                <w:sz w:val="20"/>
              </w:rPr>
            </w:pPr>
            <w:r>
              <w:rPr>
                <w:sz w:val="20"/>
              </w:rPr>
              <w:t>8.5</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 xml:space="preserve">Korce </w:t>
            </w:r>
          </w:p>
        </w:tc>
        <w:tc>
          <w:tcPr>
            <w:tcW w:w="1293" w:type="dxa"/>
            <w:tcBorders>
              <w:top w:val="nil"/>
              <w:bottom w:val="nil"/>
            </w:tcBorders>
            <w:vAlign w:val="bottom"/>
          </w:tcPr>
          <w:p w:rsidR="00000000" w:rsidRDefault="00000000">
            <w:pPr>
              <w:spacing w:after="0"/>
              <w:jc w:val="center"/>
              <w:rPr>
                <w:sz w:val="20"/>
              </w:rPr>
            </w:pPr>
            <w:r>
              <w:rPr>
                <w:sz w:val="20"/>
              </w:rPr>
              <w:t>59.4</w:t>
            </w:r>
          </w:p>
        </w:tc>
        <w:tc>
          <w:tcPr>
            <w:tcW w:w="937" w:type="dxa"/>
            <w:tcBorders>
              <w:top w:val="nil"/>
              <w:bottom w:val="nil"/>
            </w:tcBorders>
            <w:vAlign w:val="bottom"/>
          </w:tcPr>
          <w:p w:rsidR="00000000" w:rsidRDefault="00000000">
            <w:pPr>
              <w:spacing w:after="0"/>
              <w:jc w:val="center"/>
              <w:rPr>
                <w:sz w:val="20"/>
              </w:rPr>
            </w:pPr>
            <w:r>
              <w:rPr>
                <w:sz w:val="20"/>
              </w:rPr>
              <w:t>5.2</w:t>
            </w:r>
          </w:p>
        </w:tc>
        <w:tc>
          <w:tcPr>
            <w:tcW w:w="1344" w:type="dxa"/>
            <w:tcBorders>
              <w:top w:val="nil"/>
              <w:bottom w:val="nil"/>
            </w:tcBorders>
            <w:vAlign w:val="bottom"/>
          </w:tcPr>
          <w:p w:rsidR="00000000" w:rsidRDefault="00000000">
            <w:pPr>
              <w:tabs>
                <w:tab w:val="right" w:pos="742"/>
              </w:tabs>
              <w:spacing w:after="0"/>
              <w:rPr>
                <w:sz w:val="20"/>
              </w:rPr>
            </w:pPr>
            <w:r>
              <w:rPr>
                <w:sz w:val="20"/>
              </w:rPr>
              <w:tab/>
              <w:t>11.5</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6.2</w:t>
            </w:r>
          </w:p>
        </w:tc>
        <w:tc>
          <w:tcPr>
            <w:tcW w:w="988" w:type="dxa"/>
            <w:tcBorders>
              <w:top w:val="nil"/>
              <w:bottom w:val="nil"/>
            </w:tcBorders>
            <w:vAlign w:val="bottom"/>
          </w:tcPr>
          <w:p w:rsidR="00000000" w:rsidRDefault="00000000">
            <w:pPr>
              <w:spacing w:after="0"/>
              <w:jc w:val="center"/>
              <w:rPr>
                <w:sz w:val="20"/>
              </w:rPr>
            </w:pPr>
            <w:r>
              <w:rPr>
                <w:sz w:val="20"/>
              </w:rPr>
              <w:t>1.3</w:t>
            </w:r>
          </w:p>
        </w:tc>
        <w:tc>
          <w:tcPr>
            <w:tcW w:w="1538" w:type="dxa"/>
            <w:tcBorders>
              <w:top w:val="nil"/>
              <w:bottom w:val="nil"/>
            </w:tcBorders>
            <w:vAlign w:val="bottom"/>
          </w:tcPr>
          <w:p w:rsidR="00000000" w:rsidRDefault="00000000">
            <w:pPr>
              <w:tabs>
                <w:tab w:val="right" w:pos="885"/>
              </w:tabs>
              <w:spacing w:after="0"/>
              <w:rPr>
                <w:sz w:val="20"/>
              </w:rPr>
            </w:pPr>
            <w:r>
              <w:rPr>
                <w:sz w:val="20"/>
              </w:rPr>
              <w:tab/>
              <w:t>4.9</w:t>
            </w:r>
          </w:p>
        </w:tc>
        <w:tc>
          <w:tcPr>
            <w:tcW w:w="1422" w:type="dxa"/>
            <w:tcBorders>
              <w:top w:val="nil"/>
              <w:bottom w:val="nil"/>
            </w:tcBorders>
            <w:vAlign w:val="bottom"/>
          </w:tcPr>
          <w:p w:rsidR="00000000" w:rsidRDefault="00000000">
            <w:pPr>
              <w:spacing w:after="0"/>
              <w:jc w:val="center"/>
              <w:rPr>
                <w:sz w:val="20"/>
              </w:rPr>
            </w:pPr>
            <w:r>
              <w:rPr>
                <w:sz w:val="20"/>
              </w:rPr>
              <w:t>5.3</w:t>
            </w:r>
          </w:p>
        </w:tc>
        <w:tc>
          <w:tcPr>
            <w:tcW w:w="981" w:type="dxa"/>
            <w:tcBorders>
              <w:top w:val="nil"/>
              <w:bottom w:val="nil"/>
            </w:tcBorders>
            <w:vAlign w:val="bottom"/>
          </w:tcPr>
          <w:p w:rsidR="00000000" w:rsidRDefault="00000000">
            <w:pPr>
              <w:spacing w:after="0"/>
              <w:jc w:val="center"/>
              <w:rPr>
                <w:sz w:val="20"/>
              </w:rPr>
            </w:pPr>
            <w:r>
              <w:rPr>
                <w:sz w:val="20"/>
              </w:rPr>
              <w:t>2.5</w:t>
            </w:r>
          </w:p>
        </w:tc>
        <w:tc>
          <w:tcPr>
            <w:tcW w:w="1239" w:type="dxa"/>
            <w:tcBorders>
              <w:top w:val="nil"/>
              <w:bottom w:val="nil"/>
            </w:tcBorders>
            <w:vAlign w:val="bottom"/>
          </w:tcPr>
          <w:p w:rsidR="00000000" w:rsidRDefault="00000000">
            <w:pPr>
              <w:spacing w:after="0"/>
              <w:jc w:val="center"/>
              <w:rPr>
                <w:sz w:val="20"/>
              </w:rPr>
            </w:pPr>
            <w:r>
              <w:rPr>
                <w:sz w:val="20"/>
              </w:rPr>
              <w:t>3.7</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 xml:space="preserve">Kukes </w:t>
            </w:r>
          </w:p>
        </w:tc>
        <w:tc>
          <w:tcPr>
            <w:tcW w:w="1293" w:type="dxa"/>
            <w:tcBorders>
              <w:top w:val="nil"/>
              <w:bottom w:val="nil"/>
            </w:tcBorders>
            <w:vAlign w:val="bottom"/>
          </w:tcPr>
          <w:p w:rsidR="00000000" w:rsidRDefault="00000000">
            <w:pPr>
              <w:spacing w:after="0"/>
              <w:jc w:val="center"/>
              <w:rPr>
                <w:sz w:val="20"/>
              </w:rPr>
            </w:pPr>
            <w:r>
              <w:rPr>
                <w:sz w:val="20"/>
              </w:rPr>
              <w:t>57.8</w:t>
            </w:r>
          </w:p>
        </w:tc>
        <w:tc>
          <w:tcPr>
            <w:tcW w:w="937" w:type="dxa"/>
            <w:tcBorders>
              <w:top w:val="nil"/>
              <w:bottom w:val="nil"/>
            </w:tcBorders>
            <w:vAlign w:val="bottom"/>
          </w:tcPr>
          <w:p w:rsidR="00000000" w:rsidRDefault="00000000">
            <w:pPr>
              <w:spacing w:after="0"/>
              <w:jc w:val="center"/>
              <w:rPr>
                <w:sz w:val="20"/>
              </w:rPr>
            </w:pPr>
            <w:r>
              <w:rPr>
                <w:sz w:val="20"/>
              </w:rPr>
              <w:t>8.4</w:t>
            </w:r>
          </w:p>
        </w:tc>
        <w:tc>
          <w:tcPr>
            <w:tcW w:w="1344" w:type="dxa"/>
            <w:tcBorders>
              <w:top w:val="nil"/>
              <w:bottom w:val="nil"/>
            </w:tcBorders>
            <w:vAlign w:val="bottom"/>
          </w:tcPr>
          <w:p w:rsidR="00000000" w:rsidRDefault="00000000">
            <w:pPr>
              <w:tabs>
                <w:tab w:val="right" w:pos="742"/>
              </w:tabs>
              <w:spacing w:after="0"/>
              <w:rPr>
                <w:sz w:val="20"/>
              </w:rPr>
            </w:pPr>
            <w:r>
              <w:rPr>
                <w:sz w:val="20"/>
              </w:rPr>
              <w:tab/>
              <w:t>3.6</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8.3</w:t>
            </w:r>
          </w:p>
        </w:tc>
        <w:tc>
          <w:tcPr>
            <w:tcW w:w="988" w:type="dxa"/>
            <w:tcBorders>
              <w:top w:val="nil"/>
              <w:bottom w:val="nil"/>
            </w:tcBorders>
            <w:vAlign w:val="bottom"/>
          </w:tcPr>
          <w:p w:rsidR="00000000" w:rsidRDefault="00000000">
            <w:pPr>
              <w:spacing w:after="0"/>
              <w:jc w:val="center"/>
              <w:rPr>
                <w:sz w:val="20"/>
              </w:rPr>
            </w:pPr>
            <w:r>
              <w:rPr>
                <w:sz w:val="20"/>
              </w:rPr>
              <w:t>1.7</w:t>
            </w:r>
          </w:p>
        </w:tc>
        <w:tc>
          <w:tcPr>
            <w:tcW w:w="1538" w:type="dxa"/>
            <w:tcBorders>
              <w:top w:val="nil"/>
              <w:bottom w:val="nil"/>
            </w:tcBorders>
            <w:vAlign w:val="bottom"/>
          </w:tcPr>
          <w:p w:rsidR="00000000" w:rsidRDefault="00000000">
            <w:pPr>
              <w:tabs>
                <w:tab w:val="right" w:pos="885"/>
              </w:tabs>
              <w:spacing w:after="0"/>
              <w:rPr>
                <w:sz w:val="20"/>
              </w:rPr>
            </w:pPr>
            <w:r>
              <w:rPr>
                <w:sz w:val="20"/>
              </w:rPr>
              <w:tab/>
              <w:t>10.7</w:t>
            </w:r>
          </w:p>
        </w:tc>
        <w:tc>
          <w:tcPr>
            <w:tcW w:w="1422" w:type="dxa"/>
            <w:tcBorders>
              <w:top w:val="nil"/>
              <w:bottom w:val="nil"/>
            </w:tcBorders>
            <w:vAlign w:val="bottom"/>
          </w:tcPr>
          <w:p w:rsidR="00000000" w:rsidRDefault="00000000">
            <w:pPr>
              <w:spacing w:after="0"/>
              <w:jc w:val="center"/>
              <w:rPr>
                <w:sz w:val="20"/>
              </w:rPr>
            </w:pPr>
            <w:r>
              <w:rPr>
                <w:sz w:val="20"/>
              </w:rPr>
              <w:t>4.2</w:t>
            </w:r>
          </w:p>
        </w:tc>
        <w:tc>
          <w:tcPr>
            <w:tcW w:w="981" w:type="dxa"/>
            <w:tcBorders>
              <w:top w:val="nil"/>
              <w:bottom w:val="nil"/>
            </w:tcBorders>
            <w:vAlign w:val="bottom"/>
          </w:tcPr>
          <w:p w:rsidR="00000000" w:rsidRDefault="00000000">
            <w:pPr>
              <w:spacing w:after="0"/>
              <w:jc w:val="center"/>
              <w:rPr>
                <w:sz w:val="20"/>
              </w:rPr>
            </w:pPr>
            <w:r>
              <w:rPr>
                <w:sz w:val="20"/>
              </w:rPr>
              <w:t>0.9</w:t>
            </w:r>
          </w:p>
        </w:tc>
        <w:tc>
          <w:tcPr>
            <w:tcW w:w="1239" w:type="dxa"/>
            <w:tcBorders>
              <w:top w:val="nil"/>
              <w:bottom w:val="nil"/>
            </w:tcBorders>
            <w:vAlign w:val="bottom"/>
          </w:tcPr>
          <w:p w:rsidR="00000000" w:rsidRDefault="00000000">
            <w:pPr>
              <w:spacing w:after="0"/>
              <w:jc w:val="center"/>
              <w:rPr>
                <w:sz w:val="20"/>
              </w:rPr>
            </w:pPr>
            <w:r>
              <w:rPr>
                <w:sz w:val="20"/>
              </w:rPr>
              <w:t>4.4</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Lezhe</w:t>
            </w:r>
          </w:p>
        </w:tc>
        <w:tc>
          <w:tcPr>
            <w:tcW w:w="1293" w:type="dxa"/>
            <w:tcBorders>
              <w:top w:val="nil"/>
              <w:bottom w:val="nil"/>
            </w:tcBorders>
            <w:vAlign w:val="bottom"/>
          </w:tcPr>
          <w:p w:rsidR="00000000" w:rsidRDefault="00000000">
            <w:pPr>
              <w:spacing w:after="0"/>
              <w:jc w:val="center"/>
              <w:rPr>
                <w:sz w:val="20"/>
              </w:rPr>
            </w:pPr>
            <w:r>
              <w:rPr>
                <w:sz w:val="20"/>
              </w:rPr>
              <w:t>58.5</w:t>
            </w:r>
          </w:p>
        </w:tc>
        <w:tc>
          <w:tcPr>
            <w:tcW w:w="937" w:type="dxa"/>
            <w:tcBorders>
              <w:top w:val="nil"/>
              <w:bottom w:val="nil"/>
            </w:tcBorders>
            <w:vAlign w:val="bottom"/>
          </w:tcPr>
          <w:p w:rsidR="00000000" w:rsidRDefault="00000000">
            <w:pPr>
              <w:spacing w:after="0"/>
              <w:jc w:val="center"/>
              <w:rPr>
                <w:sz w:val="20"/>
              </w:rPr>
            </w:pPr>
            <w:r>
              <w:rPr>
                <w:sz w:val="20"/>
              </w:rPr>
              <w:t>6.6</w:t>
            </w:r>
          </w:p>
        </w:tc>
        <w:tc>
          <w:tcPr>
            <w:tcW w:w="1344" w:type="dxa"/>
            <w:tcBorders>
              <w:top w:val="nil"/>
              <w:bottom w:val="nil"/>
            </w:tcBorders>
            <w:vAlign w:val="bottom"/>
          </w:tcPr>
          <w:p w:rsidR="00000000" w:rsidRDefault="00000000">
            <w:pPr>
              <w:tabs>
                <w:tab w:val="right" w:pos="742"/>
              </w:tabs>
              <w:spacing w:after="0"/>
              <w:rPr>
                <w:sz w:val="20"/>
              </w:rPr>
            </w:pPr>
            <w:r>
              <w:rPr>
                <w:sz w:val="20"/>
              </w:rPr>
              <w:tab/>
              <w:t>4.5</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7.5</w:t>
            </w:r>
          </w:p>
        </w:tc>
        <w:tc>
          <w:tcPr>
            <w:tcW w:w="988" w:type="dxa"/>
            <w:tcBorders>
              <w:top w:val="nil"/>
              <w:bottom w:val="nil"/>
            </w:tcBorders>
            <w:vAlign w:val="bottom"/>
          </w:tcPr>
          <w:p w:rsidR="00000000" w:rsidRDefault="00000000">
            <w:pPr>
              <w:spacing w:after="0"/>
              <w:jc w:val="center"/>
              <w:rPr>
                <w:sz w:val="20"/>
              </w:rPr>
            </w:pPr>
            <w:r>
              <w:rPr>
                <w:sz w:val="20"/>
              </w:rPr>
              <w:t>1.8</w:t>
            </w:r>
          </w:p>
        </w:tc>
        <w:tc>
          <w:tcPr>
            <w:tcW w:w="1538" w:type="dxa"/>
            <w:tcBorders>
              <w:top w:val="nil"/>
              <w:bottom w:val="nil"/>
            </w:tcBorders>
            <w:vAlign w:val="bottom"/>
          </w:tcPr>
          <w:p w:rsidR="00000000" w:rsidRDefault="00000000">
            <w:pPr>
              <w:tabs>
                <w:tab w:val="right" w:pos="885"/>
              </w:tabs>
              <w:spacing w:after="0"/>
              <w:rPr>
                <w:sz w:val="20"/>
              </w:rPr>
            </w:pPr>
            <w:r>
              <w:rPr>
                <w:sz w:val="20"/>
              </w:rPr>
              <w:tab/>
              <w:t>5.8</w:t>
            </w:r>
          </w:p>
        </w:tc>
        <w:tc>
          <w:tcPr>
            <w:tcW w:w="1422" w:type="dxa"/>
            <w:tcBorders>
              <w:top w:val="nil"/>
              <w:bottom w:val="nil"/>
            </w:tcBorders>
            <w:vAlign w:val="bottom"/>
          </w:tcPr>
          <w:p w:rsidR="00000000" w:rsidRDefault="00000000">
            <w:pPr>
              <w:spacing w:after="0"/>
              <w:jc w:val="center"/>
              <w:rPr>
                <w:sz w:val="20"/>
              </w:rPr>
            </w:pPr>
            <w:r>
              <w:rPr>
                <w:sz w:val="20"/>
              </w:rPr>
              <w:t>5.4</w:t>
            </w:r>
          </w:p>
        </w:tc>
        <w:tc>
          <w:tcPr>
            <w:tcW w:w="981" w:type="dxa"/>
            <w:tcBorders>
              <w:top w:val="nil"/>
              <w:bottom w:val="nil"/>
            </w:tcBorders>
            <w:vAlign w:val="bottom"/>
          </w:tcPr>
          <w:p w:rsidR="00000000" w:rsidRDefault="00000000">
            <w:pPr>
              <w:spacing w:after="0"/>
              <w:jc w:val="center"/>
              <w:rPr>
                <w:sz w:val="20"/>
              </w:rPr>
            </w:pPr>
            <w:r>
              <w:rPr>
                <w:sz w:val="20"/>
              </w:rPr>
              <w:t>3.1</w:t>
            </w:r>
          </w:p>
        </w:tc>
        <w:tc>
          <w:tcPr>
            <w:tcW w:w="1239" w:type="dxa"/>
            <w:tcBorders>
              <w:top w:val="nil"/>
              <w:bottom w:val="nil"/>
            </w:tcBorders>
            <w:vAlign w:val="bottom"/>
          </w:tcPr>
          <w:p w:rsidR="00000000" w:rsidRDefault="00000000">
            <w:pPr>
              <w:spacing w:after="0"/>
              <w:jc w:val="center"/>
              <w:rPr>
                <w:sz w:val="20"/>
              </w:rPr>
            </w:pPr>
            <w:r>
              <w:rPr>
                <w:sz w:val="20"/>
              </w:rPr>
              <w:t>6.8</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proofErr w:type="spellStart"/>
            <w:r>
              <w:rPr>
                <w:sz w:val="20"/>
              </w:rPr>
              <w:t>Shkoder</w:t>
            </w:r>
            <w:proofErr w:type="spellEnd"/>
          </w:p>
        </w:tc>
        <w:tc>
          <w:tcPr>
            <w:tcW w:w="1293" w:type="dxa"/>
            <w:tcBorders>
              <w:top w:val="nil"/>
              <w:bottom w:val="nil"/>
            </w:tcBorders>
            <w:vAlign w:val="bottom"/>
          </w:tcPr>
          <w:p w:rsidR="00000000" w:rsidRDefault="00000000">
            <w:pPr>
              <w:spacing w:after="0"/>
              <w:jc w:val="center"/>
              <w:rPr>
                <w:sz w:val="20"/>
              </w:rPr>
            </w:pPr>
            <w:r>
              <w:rPr>
                <w:sz w:val="20"/>
              </w:rPr>
              <w:t>59.6</w:t>
            </w:r>
          </w:p>
        </w:tc>
        <w:tc>
          <w:tcPr>
            <w:tcW w:w="937" w:type="dxa"/>
            <w:tcBorders>
              <w:top w:val="nil"/>
              <w:bottom w:val="nil"/>
            </w:tcBorders>
            <w:vAlign w:val="bottom"/>
          </w:tcPr>
          <w:p w:rsidR="00000000" w:rsidRDefault="00000000">
            <w:pPr>
              <w:spacing w:after="0"/>
              <w:jc w:val="center"/>
              <w:rPr>
                <w:sz w:val="20"/>
              </w:rPr>
            </w:pPr>
            <w:r>
              <w:rPr>
                <w:sz w:val="20"/>
              </w:rPr>
              <w:t>7.2</w:t>
            </w:r>
          </w:p>
        </w:tc>
        <w:tc>
          <w:tcPr>
            <w:tcW w:w="1344" w:type="dxa"/>
            <w:tcBorders>
              <w:top w:val="nil"/>
              <w:bottom w:val="nil"/>
            </w:tcBorders>
            <w:vAlign w:val="bottom"/>
          </w:tcPr>
          <w:p w:rsidR="00000000" w:rsidRDefault="00000000">
            <w:pPr>
              <w:tabs>
                <w:tab w:val="right" w:pos="742"/>
              </w:tabs>
              <w:spacing w:after="0"/>
              <w:rPr>
                <w:sz w:val="20"/>
              </w:rPr>
            </w:pPr>
            <w:r>
              <w:rPr>
                <w:sz w:val="20"/>
              </w:rPr>
              <w:tab/>
              <w:t>2.9</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8.2</w:t>
            </w:r>
          </w:p>
        </w:tc>
        <w:tc>
          <w:tcPr>
            <w:tcW w:w="988" w:type="dxa"/>
            <w:tcBorders>
              <w:top w:val="nil"/>
              <w:bottom w:val="nil"/>
            </w:tcBorders>
            <w:vAlign w:val="bottom"/>
          </w:tcPr>
          <w:p w:rsidR="00000000" w:rsidRDefault="00000000">
            <w:pPr>
              <w:spacing w:after="0"/>
              <w:jc w:val="center"/>
              <w:rPr>
                <w:sz w:val="20"/>
              </w:rPr>
            </w:pPr>
            <w:r>
              <w:rPr>
                <w:sz w:val="20"/>
              </w:rPr>
              <w:t>2.3</w:t>
            </w:r>
          </w:p>
        </w:tc>
        <w:tc>
          <w:tcPr>
            <w:tcW w:w="1538" w:type="dxa"/>
            <w:tcBorders>
              <w:top w:val="nil"/>
              <w:bottom w:val="nil"/>
            </w:tcBorders>
            <w:vAlign w:val="bottom"/>
          </w:tcPr>
          <w:p w:rsidR="00000000" w:rsidRDefault="00000000">
            <w:pPr>
              <w:tabs>
                <w:tab w:val="right" w:pos="885"/>
              </w:tabs>
              <w:spacing w:after="0"/>
              <w:rPr>
                <w:sz w:val="20"/>
              </w:rPr>
            </w:pPr>
            <w:r>
              <w:rPr>
                <w:sz w:val="20"/>
              </w:rPr>
              <w:tab/>
              <w:t>7</w:t>
            </w:r>
            <w:r>
              <w:rPr>
                <w:sz w:val="20"/>
                <w:vertAlign w:val="superscript"/>
              </w:rPr>
              <w:t> </w:t>
            </w:r>
            <w:r>
              <w:rPr>
                <w:sz w:val="20"/>
              </w:rPr>
              <w:t>  </w:t>
            </w:r>
          </w:p>
        </w:tc>
        <w:tc>
          <w:tcPr>
            <w:tcW w:w="1422" w:type="dxa"/>
            <w:tcBorders>
              <w:top w:val="nil"/>
              <w:bottom w:val="nil"/>
            </w:tcBorders>
            <w:vAlign w:val="bottom"/>
          </w:tcPr>
          <w:p w:rsidR="00000000" w:rsidRDefault="00000000">
            <w:pPr>
              <w:spacing w:after="0"/>
              <w:jc w:val="center"/>
              <w:rPr>
                <w:sz w:val="20"/>
              </w:rPr>
            </w:pPr>
            <w:r>
              <w:rPr>
                <w:sz w:val="20"/>
              </w:rPr>
              <w:t>5.2</w:t>
            </w:r>
          </w:p>
        </w:tc>
        <w:tc>
          <w:tcPr>
            <w:tcW w:w="981" w:type="dxa"/>
            <w:tcBorders>
              <w:top w:val="nil"/>
              <w:bottom w:val="nil"/>
            </w:tcBorders>
            <w:vAlign w:val="bottom"/>
          </w:tcPr>
          <w:p w:rsidR="00000000" w:rsidRDefault="00000000">
            <w:pPr>
              <w:spacing w:after="0"/>
              <w:jc w:val="center"/>
              <w:rPr>
                <w:sz w:val="20"/>
              </w:rPr>
            </w:pPr>
            <w:r>
              <w:rPr>
                <w:sz w:val="20"/>
              </w:rPr>
              <w:t>3.6</w:t>
            </w:r>
          </w:p>
        </w:tc>
        <w:tc>
          <w:tcPr>
            <w:tcW w:w="1239" w:type="dxa"/>
            <w:tcBorders>
              <w:top w:val="nil"/>
              <w:bottom w:val="nil"/>
            </w:tcBorders>
            <w:vAlign w:val="bottom"/>
          </w:tcPr>
          <w:p w:rsidR="00000000" w:rsidRDefault="00000000">
            <w:pPr>
              <w:spacing w:after="0"/>
              <w:jc w:val="center"/>
              <w:rPr>
                <w:sz w:val="20"/>
              </w:rPr>
            </w:pPr>
            <w:r>
              <w:rPr>
                <w:sz w:val="20"/>
              </w:rPr>
              <w:t>3.8</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bottom w:val="nil"/>
            </w:tcBorders>
            <w:vAlign w:val="bottom"/>
          </w:tcPr>
          <w:p w:rsidR="00000000" w:rsidRDefault="00000000">
            <w:pPr>
              <w:spacing w:after="0"/>
              <w:rPr>
                <w:sz w:val="20"/>
              </w:rPr>
            </w:pPr>
            <w:r>
              <w:rPr>
                <w:sz w:val="20"/>
              </w:rPr>
              <w:t>Tirana</w:t>
            </w:r>
          </w:p>
        </w:tc>
        <w:tc>
          <w:tcPr>
            <w:tcW w:w="1293" w:type="dxa"/>
            <w:tcBorders>
              <w:top w:val="nil"/>
              <w:bottom w:val="nil"/>
            </w:tcBorders>
            <w:vAlign w:val="bottom"/>
          </w:tcPr>
          <w:p w:rsidR="00000000" w:rsidRDefault="00000000">
            <w:pPr>
              <w:spacing w:after="0"/>
              <w:jc w:val="center"/>
              <w:rPr>
                <w:sz w:val="20"/>
              </w:rPr>
            </w:pPr>
            <w:r>
              <w:rPr>
                <w:sz w:val="20"/>
              </w:rPr>
              <w:t>55.5</w:t>
            </w:r>
          </w:p>
        </w:tc>
        <w:tc>
          <w:tcPr>
            <w:tcW w:w="937" w:type="dxa"/>
            <w:tcBorders>
              <w:top w:val="nil"/>
              <w:bottom w:val="nil"/>
            </w:tcBorders>
            <w:vAlign w:val="bottom"/>
          </w:tcPr>
          <w:p w:rsidR="00000000" w:rsidRDefault="00000000">
            <w:pPr>
              <w:spacing w:after="0"/>
              <w:jc w:val="center"/>
              <w:rPr>
                <w:sz w:val="20"/>
              </w:rPr>
            </w:pPr>
            <w:r>
              <w:rPr>
                <w:sz w:val="20"/>
              </w:rPr>
              <w:t>5.4</w:t>
            </w:r>
          </w:p>
        </w:tc>
        <w:tc>
          <w:tcPr>
            <w:tcW w:w="1344" w:type="dxa"/>
            <w:tcBorders>
              <w:top w:val="nil"/>
              <w:bottom w:val="nil"/>
            </w:tcBorders>
            <w:vAlign w:val="bottom"/>
          </w:tcPr>
          <w:p w:rsidR="00000000" w:rsidRDefault="00000000">
            <w:pPr>
              <w:tabs>
                <w:tab w:val="right" w:pos="742"/>
              </w:tabs>
              <w:spacing w:after="0"/>
              <w:rPr>
                <w:sz w:val="20"/>
              </w:rPr>
            </w:pPr>
            <w:r>
              <w:rPr>
                <w:sz w:val="20"/>
              </w:rPr>
              <w:tab/>
              <w:t>8.8</w:t>
            </w:r>
          </w:p>
        </w:tc>
        <w:tc>
          <w:tcPr>
            <w:tcW w:w="1190" w:type="dxa"/>
            <w:tcBorders>
              <w:top w:val="nil"/>
              <w:bottom w:val="nil"/>
            </w:tcBorders>
            <w:vAlign w:val="bottom"/>
          </w:tcPr>
          <w:p w:rsidR="00000000" w:rsidRDefault="00000000">
            <w:pPr>
              <w:pStyle w:val="Header"/>
              <w:tabs>
                <w:tab w:val="clear" w:pos="4320"/>
                <w:tab w:val="clear" w:pos="8640"/>
                <w:tab w:val="right" w:pos="662"/>
              </w:tabs>
              <w:spacing w:after="0"/>
              <w:rPr>
                <w:sz w:val="20"/>
              </w:rPr>
            </w:pPr>
            <w:r>
              <w:rPr>
                <w:sz w:val="20"/>
              </w:rPr>
              <w:tab/>
              <w:t>5.2</w:t>
            </w:r>
          </w:p>
        </w:tc>
        <w:tc>
          <w:tcPr>
            <w:tcW w:w="988" w:type="dxa"/>
            <w:tcBorders>
              <w:top w:val="nil"/>
              <w:bottom w:val="nil"/>
            </w:tcBorders>
            <w:vAlign w:val="bottom"/>
          </w:tcPr>
          <w:p w:rsidR="00000000" w:rsidRDefault="00000000">
            <w:pPr>
              <w:spacing w:after="0"/>
              <w:jc w:val="center"/>
              <w:rPr>
                <w:sz w:val="20"/>
              </w:rPr>
            </w:pPr>
            <w:r>
              <w:rPr>
                <w:sz w:val="20"/>
              </w:rPr>
              <w:t>2.3</w:t>
            </w:r>
          </w:p>
        </w:tc>
        <w:tc>
          <w:tcPr>
            <w:tcW w:w="1538" w:type="dxa"/>
            <w:tcBorders>
              <w:top w:val="nil"/>
              <w:bottom w:val="nil"/>
            </w:tcBorders>
            <w:vAlign w:val="bottom"/>
          </w:tcPr>
          <w:p w:rsidR="00000000" w:rsidRDefault="00000000">
            <w:pPr>
              <w:tabs>
                <w:tab w:val="right" w:pos="885"/>
              </w:tabs>
              <w:spacing w:after="0"/>
              <w:rPr>
                <w:sz w:val="20"/>
              </w:rPr>
            </w:pPr>
            <w:r>
              <w:rPr>
                <w:sz w:val="20"/>
              </w:rPr>
              <w:tab/>
              <w:t>8.3</w:t>
            </w:r>
          </w:p>
        </w:tc>
        <w:tc>
          <w:tcPr>
            <w:tcW w:w="1422" w:type="dxa"/>
            <w:tcBorders>
              <w:top w:val="nil"/>
              <w:bottom w:val="nil"/>
            </w:tcBorders>
            <w:vAlign w:val="bottom"/>
          </w:tcPr>
          <w:p w:rsidR="00000000" w:rsidRDefault="00000000">
            <w:pPr>
              <w:spacing w:after="0"/>
              <w:jc w:val="center"/>
              <w:rPr>
                <w:sz w:val="20"/>
              </w:rPr>
            </w:pPr>
            <w:r>
              <w:rPr>
                <w:sz w:val="20"/>
              </w:rPr>
              <w:t>5.9</w:t>
            </w:r>
          </w:p>
        </w:tc>
        <w:tc>
          <w:tcPr>
            <w:tcW w:w="981" w:type="dxa"/>
            <w:tcBorders>
              <w:top w:val="nil"/>
              <w:bottom w:val="nil"/>
            </w:tcBorders>
            <w:vAlign w:val="bottom"/>
          </w:tcPr>
          <w:p w:rsidR="00000000" w:rsidRDefault="00000000">
            <w:pPr>
              <w:spacing w:after="0"/>
              <w:jc w:val="center"/>
              <w:rPr>
                <w:sz w:val="20"/>
              </w:rPr>
            </w:pPr>
            <w:r>
              <w:rPr>
                <w:sz w:val="20"/>
              </w:rPr>
              <w:t>2.5</w:t>
            </w:r>
          </w:p>
        </w:tc>
        <w:tc>
          <w:tcPr>
            <w:tcW w:w="1239" w:type="dxa"/>
            <w:tcBorders>
              <w:top w:val="nil"/>
              <w:bottom w:val="nil"/>
            </w:tcBorders>
            <w:vAlign w:val="bottom"/>
          </w:tcPr>
          <w:p w:rsidR="00000000" w:rsidRDefault="00000000">
            <w:pPr>
              <w:spacing w:after="0"/>
              <w:jc w:val="center"/>
              <w:rPr>
                <w:sz w:val="20"/>
              </w:rPr>
            </w:pPr>
            <w:r>
              <w:rPr>
                <w:sz w:val="20"/>
              </w:rPr>
              <w:t>6.0</w:t>
            </w:r>
          </w:p>
        </w:tc>
        <w:tc>
          <w:tcPr>
            <w:tcW w:w="850" w:type="dxa"/>
            <w:tcBorders>
              <w:top w:val="nil"/>
              <w:bottom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tcBorders>
              <w:top w:val="nil"/>
            </w:tcBorders>
            <w:vAlign w:val="bottom"/>
          </w:tcPr>
          <w:p w:rsidR="00000000" w:rsidRDefault="00000000">
            <w:pPr>
              <w:spacing w:after="0"/>
              <w:rPr>
                <w:sz w:val="20"/>
              </w:rPr>
            </w:pPr>
            <w:r>
              <w:rPr>
                <w:sz w:val="20"/>
              </w:rPr>
              <w:t xml:space="preserve">Vlore </w:t>
            </w:r>
          </w:p>
        </w:tc>
        <w:tc>
          <w:tcPr>
            <w:tcW w:w="1293" w:type="dxa"/>
            <w:tcBorders>
              <w:top w:val="nil"/>
            </w:tcBorders>
            <w:vAlign w:val="bottom"/>
          </w:tcPr>
          <w:p w:rsidR="00000000" w:rsidRDefault="00000000">
            <w:pPr>
              <w:spacing w:after="0"/>
              <w:jc w:val="center"/>
              <w:rPr>
                <w:sz w:val="20"/>
              </w:rPr>
            </w:pPr>
            <w:r>
              <w:rPr>
                <w:sz w:val="20"/>
              </w:rPr>
              <w:t>60.3</w:t>
            </w:r>
          </w:p>
        </w:tc>
        <w:tc>
          <w:tcPr>
            <w:tcW w:w="937" w:type="dxa"/>
            <w:tcBorders>
              <w:top w:val="nil"/>
            </w:tcBorders>
            <w:vAlign w:val="bottom"/>
          </w:tcPr>
          <w:p w:rsidR="00000000" w:rsidRDefault="00000000">
            <w:pPr>
              <w:spacing w:after="0"/>
              <w:jc w:val="center"/>
              <w:rPr>
                <w:sz w:val="20"/>
              </w:rPr>
            </w:pPr>
            <w:r>
              <w:rPr>
                <w:sz w:val="20"/>
              </w:rPr>
              <w:t>4.5</w:t>
            </w:r>
          </w:p>
        </w:tc>
        <w:tc>
          <w:tcPr>
            <w:tcW w:w="1344" w:type="dxa"/>
            <w:tcBorders>
              <w:top w:val="nil"/>
            </w:tcBorders>
            <w:vAlign w:val="bottom"/>
          </w:tcPr>
          <w:p w:rsidR="00000000" w:rsidRDefault="00000000">
            <w:pPr>
              <w:tabs>
                <w:tab w:val="right" w:pos="742"/>
              </w:tabs>
              <w:spacing w:after="0"/>
              <w:rPr>
                <w:sz w:val="20"/>
              </w:rPr>
            </w:pPr>
            <w:r>
              <w:rPr>
                <w:sz w:val="20"/>
              </w:rPr>
              <w:tab/>
              <w:t>4.3</w:t>
            </w:r>
          </w:p>
        </w:tc>
        <w:tc>
          <w:tcPr>
            <w:tcW w:w="1190" w:type="dxa"/>
            <w:tcBorders>
              <w:top w:val="nil"/>
            </w:tcBorders>
            <w:vAlign w:val="bottom"/>
          </w:tcPr>
          <w:p w:rsidR="00000000" w:rsidRDefault="00000000">
            <w:pPr>
              <w:pStyle w:val="Header"/>
              <w:tabs>
                <w:tab w:val="clear" w:pos="4320"/>
                <w:tab w:val="clear" w:pos="8640"/>
                <w:tab w:val="right" w:pos="662"/>
              </w:tabs>
              <w:spacing w:after="0"/>
              <w:rPr>
                <w:sz w:val="20"/>
              </w:rPr>
            </w:pPr>
            <w:r>
              <w:rPr>
                <w:sz w:val="20"/>
              </w:rPr>
              <w:tab/>
              <w:t>6.4</w:t>
            </w:r>
          </w:p>
        </w:tc>
        <w:tc>
          <w:tcPr>
            <w:tcW w:w="988" w:type="dxa"/>
            <w:tcBorders>
              <w:top w:val="nil"/>
            </w:tcBorders>
            <w:vAlign w:val="bottom"/>
          </w:tcPr>
          <w:p w:rsidR="00000000" w:rsidRDefault="00000000">
            <w:pPr>
              <w:spacing w:after="0"/>
              <w:jc w:val="center"/>
              <w:rPr>
                <w:sz w:val="20"/>
              </w:rPr>
            </w:pPr>
            <w:r>
              <w:rPr>
                <w:sz w:val="20"/>
              </w:rPr>
              <w:t>3.9</w:t>
            </w:r>
          </w:p>
        </w:tc>
        <w:tc>
          <w:tcPr>
            <w:tcW w:w="1538" w:type="dxa"/>
            <w:tcBorders>
              <w:top w:val="nil"/>
            </w:tcBorders>
            <w:vAlign w:val="bottom"/>
          </w:tcPr>
          <w:p w:rsidR="00000000" w:rsidRDefault="00000000">
            <w:pPr>
              <w:tabs>
                <w:tab w:val="right" w:pos="885"/>
              </w:tabs>
              <w:spacing w:after="0"/>
              <w:rPr>
                <w:sz w:val="20"/>
              </w:rPr>
            </w:pPr>
            <w:r>
              <w:rPr>
                <w:sz w:val="20"/>
              </w:rPr>
              <w:tab/>
              <w:t>10.0</w:t>
            </w:r>
          </w:p>
        </w:tc>
        <w:tc>
          <w:tcPr>
            <w:tcW w:w="1422" w:type="dxa"/>
            <w:tcBorders>
              <w:top w:val="nil"/>
            </w:tcBorders>
            <w:vAlign w:val="bottom"/>
          </w:tcPr>
          <w:p w:rsidR="00000000" w:rsidRDefault="00000000">
            <w:pPr>
              <w:spacing w:after="0"/>
              <w:jc w:val="center"/>
              <w:rPr>
                <w:sz w:val="20"/>
              </w:rPr>
            </w:pPr>
            <w:r>
              <w:rPr>
                <w:sz w:val="20"/>
              </w:rPr>
              <w:t>5.0</w:t>
            </w:r>
          </w:p>
        </w:tc>
        <w:tc>
          <w:tcPr>
            <w:tcW w:w="981" w:type="dxa"/>
            <w:tcBorders>
              <w:top w:val="nil"/>
            </w:tcBorders>
            <w:vAlign w:val="bottom"/>
          </w:tcPr>
          <w:p w:rsidR="00000000" w:rsidRDefault="00000000">
            <w:pPr>
              <w:spacing w:after="0"/>
              <w:jc w:val="center"/>
              <w:rPr>
                <w:sz w:val="20"/>
              </w:rPr>
            </w:pPr>
            <w:r>
              <w:rPr>
                <w:sz w:val="20"/>
              </w:rPr>
              <w:t>1.7</w:t>
            </w:r>
          </w:p>
        </w:tc>
        <w:tc>
          <w:tcPr>
            <w:tcW w:w="1239" w:type="dxa"/>
            <w:tcBorders>
              <w:top w:val="nil"/>
            </w:tcBorders>
            <w:vAlign w:val="bottom"/>
          </w:tcPr>
          <w:p w:rsidR="00000000" w:rsidRDefault="00000000">
            <w:pPr>
              <w:spacing w:after="0"/>
              <w:jc w:val="center"/>
              <w:rPr>
                <w:sz w:val="20"/>
              </w:rPr>
            </w:pPr>
            <w:r>
              <w:rPr>
                <w:sz w:val="20"/>
              </w:rPr>
              <w:t>3.8</w:t>
            </w:r>
          </w:p>
        </w:tc>
        <w:tc>
          <w:tcPr>
            <w:tcW w:w="850" w:type="dxa"/>
            <w:tcBorders>
              <w:top w:val="nil"/>
            </w:tcBorders>
            <w:vAlign w:val="bottom"/>
          </w:tcPr>
          <w:p w:rsidR="00000000" w:rsidRDefault="00000000">
            <w:pPr>
              <w:spacing w:after="0"/>
              <w:jc w:val="center"/>
              <w:rPr>
                <w:sz w:val="20"/>
              </w:rPr>
            </w:pPr>
            <w:r>
              <w:rPr>
                <w:sz w:val="20"/>
              </w:rPr>
              <w:t>100</w:t>
            </w:r>
          </w:p>
        </w:tc>
      </w:tr>
      <w:tr w:rsidR="00000000">
        <w:tblPrEx>
          <w:tblCellMar>
            <w:top w:w="0" w:type="dxa"/>
            <w:bottom w:w="0" w:type="dxa"/>
          </w:tblCellMar>
        </w:tblPrEx>
        <w:tc>
          <w:tcPr>
            <w:tcW w:w="1117" w:type="dxa"/>
            <w:vAlign w:val="bottom"/>
          </w:tcPr>
          <w:p w:rsidR="00000000" w:rsidRDefault="00000000">
            <w:pPr>
              <w:spacing w:after="0"/>
              <w:rPr>
                <w:sz w:val="20"/>
              </w:rPr>
            </w:pPr>
            <w:r>
              <w:rPr>
                <w:sz w:val="20"/>
              </w:rPr>
              <w:t xml:space="preserve">     Total </w:t>
            </w:r>
          </w:p>
        </w:tc>
        <w:tc>
          <w:tcPr>
            <w:tcW w:w="1293" w:type="dxa"/>
            <w:vAlign w:val="bottom"/>
          </w:tcPr>
          <w:p w:rsidR="00000000" w:rsidRDefault="00000000">
            <w:pPr>
              <w:spacing w:after="0"/>
              <w:jc w:val="center"/>
              <w:rPr>
                <w:sz w:val="20"/>
              </w:rPr>
            </w:pPr>
            <w:r>
              <w:rPr>
                <w:sz w:val="20"/>
              </w:rPr>
              <w:t>57.8</w:t>
            </w:r>
          </w:p>
        </w:tc>
        <w:tc>
          <w:tcPr>
            <w:tcW w:w="937" w:type="dxa"/>
            <w:vAlign w:val="bottom"/>
          </w:tcPr>
          <w:p w:rsidR="00000000" w:rsidRDefault="00000000">
            <w:pPr>
              <w:spacing w:after="0"/>
              <w:jc w:val="center"/>
              <w:rPr>
                <w:sz w:val="20"/>
              </w:rPr>
            </w:pPr>
            <w:r>
              <w:rPr>
                <w:sz w:val="20"/>
              </w:rPr>
              <w:t>5.3</w:t>
            </w:r>
          </w:p>
        </w:tc>
        <w:tc>
          <w:tcPr>
            <w:tcW w:w="1344" w:type="dxa"/>
            <w:vAlign w:val="bottom"/>
          </w:tcPr>
          <w:p w:rsidR="00000000" w:rsidRDefault="00000000">
            <w:pPr>
              <w:tabs>
                <w:tab w:val="right" w:pos="742"/>
              </w:tabs>
              <w:spacing w:after="0"/>
              <w:rPr>
                <w:sz w:val="20"/>
              </w:rPr>
            </w:pPr>
            <w:r>
              <w:rPr>
                <w:sz w:val="20"/>
              </w:rPr>
              <w:tab/>
              <w:t>6.9</w:t>
            </w:r>
          </w:p>
        </w:tc>
        <w:tc>
          <w:tcPr>
            <w:tcW w:w="1190" w:type="dxa"/>
            <w:vAlign w:val="bottom"/>
          </w:tcPr>
          <w:p w:rsidR="00000000" w:rsidRDefault="00000000">
            <w:pPr>
              <w:pStyle w:val="Header"/>
              <w:tabs>
                <w:tab w:val="clear" w:pos="4320"/>
                <w:tab w:val="clear" w:pos="8640"/>
                <w:tab w:val="right" w:pos="662"/>
              </w:tabs>
              <w:spacing w:after="0"/>
              <w:rPr>
                <w:sz w:val="20"/>
              </w:rPr>
            </w:pPr>
            <w:r>
              <w:rPr>
                <w:sz w:val="20"/>
              </w:rPr>
              <w:tab/>
              <w:t>6.3</w:t>
            </w:r>
          </w:p>
        </w:tc>
        <w:tc>
          <w:tcPr>
            <w:tcW w:w="988" w:type="dxa"/>
            <w:vAlign w:val="bottom"/>
          </w:tcPr>
          <w:p w:rsidR="00000000" w:rsidRDefault="00000000">
            <w:pPr>
              <w:spacing w:after="0"/>
              <w:jc w:val="center"/>
              <w:rPr>
                <w:sz w:val="20"/>
              </w:rPr>
            </w:pPr>
            <w:r>
              <w:rPr>
                <w:sz w:val="20"/>
              </w:rPr>
              <w:t>2.6</w:t>
            </w:r>
          </w:p>
        </w:tc>
        <w:tc>
          <w:tcPr>
            <w:tcW w:w="1538" w:type="dxa"/>
            <w:vAlign w:val="bottom"/>
          </w:tcPr>
          <w:p w:rsidR="00000000" w:rsidRDefault="00000000">
            <w:pPr>
              <w:tabs>
                <w:tab w:val="right" w:pos="885"/>
              </w:tabs>
              <w:spacing w:after="0"/>
              <w:rPr>
                <w:sz w:val="20"/>
              </w:rPr>
            </w:pPr>
            <w:r>
              <w:rPr>
                <w:sz w:val="20"/>
              </w:rPr>
              <w:tab/>
              <w:t>7.9</w:t>
            </w:r>
          </w:p>
        </w:tc>
        <w:tc>
          <w:tcPr>
            <w:tcW w:w="1422" w:type="dxa"/>
            <w:vAlign w:val="bottom"/>
          </w:tcPr>
          <w:p w:rsidR="00000000" w:rsidRDefault="00000000">
            <w:pPr>
              <w:spacing w:after="0"/>
              <w:jc w:val="center"/>
              <w:rPr>
                <w:sz w:val="20"/>
              </w:rPr>
            </w:pPr>
            <w:r>
              <w:rPr>
                <w:sz w:val="20"/>
              </w:rPr>
              <w:t>5.4</w:t>
            </w:r>
          </w:p>
        </w:tc>
        <w:tc>
          <w:tcPr>
            <w:tcW w:w="981" w:type="dxa"/>
            <w:vAlign w:val="bottom"/>
          </w:tcPr>
          <w:p w:rsidR="00000000" w:rsidRDefault="00000000">
            <w:pPr>
              <w:spacing w:after="0"/>
              <w:jc w:val="center"/>
              <w:rPr>
                <w:sz w:val="20"/>
              </w:rPr>
            </w:pPr>
            <w:r>
              <w:rPr>
                <w:sz w:val="20"/>
              </w:rPr>
              <w:t>2.3</w:t>
            </w:r>
          </w:p>
        </w:tc>
        <w:tc>
          <w:tcPr>
            <w:tcW w:w="1239" w:type="dxa"/>
            <w:vAlign w:val="bottom"/>
          </w:tcPr>
          <w:p w:rsidR="00000000" w:rsidRDefault="00000000">
            <w:pPr>
              <w:spacing w:after="0"/>
              <w:jc w:val="center"/>
              <w:rPr>
                <w:sz w:val="20"/>
              </w:rPr>
            </w:pPr>
            <w:r>
              <w:rPr>
                <w:sz w:val="20"/>
              </w:rPr>
              <w:t>5.5</w:t>
            </w:r>
          </w:p>
        </w:tc>
        <w:tc>
          <w:tcPr>
            <w:tcW w:w="850" w:type="dxa"/>
            <w:vAlign w:val="bottom"/>
          </w:tcPr>
          <w:p w:rsidR="00000000" w:rsidRDefault="00000000">
            <w:pPr>
              <w:spacing w:after="0"/>
              <w:jc w:val="center"/>
              <w:rPr>
                <w:sz w:val="20"/>
              </w:rPr>
            </w:pPr>
            <w:r>
              <w:rPr>
                <w:sz w:val="20"/>
              </w:rPr>
              <w:t>100</w:t>
            </w:r>
          </w:p>
        </w:tc>
      </w:tr>
    </w:tbl>
    <w:p w:rsidR="00000000" w:rsidRDefault="00000000">
      <w:pPr>
        <w:spacing w:before="240"/>
      </w:pPr>
      <w:r>
        <w:tab/>
      </w:r>
      <w:r>
        <w:rPr>
          <w:i/>
          <w:iCs/>
        </w:rPr>
        <w:t>Source</w:t>
      </w:r>
      <w:r>
        <w:t>:  Household budget survey in urban areas, 1999-2000.</w:t>
      </w:r>
    </w:p>
    <w:p w:rsidR="00000000" w:rsidRDefault="00000000">
      <w:p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r>
        <w:t>.</w:t>
      </w:r>
    </w:p>
    <w:p w:rsidR="00000000" w:rsidRDefault="00000000">
      <w:pPr>
        <w:pStyle w:val="Heading2"/>
      </w:pPr>
      <w:r>
        <w:t>Table 26</w:t>
      </w:r>
    </w:p>
    <w:p w:rsidR="00000000" w:rsidRDefault="00000000">
      <w:pPr>
        <w:pStyle w:val="Heading2"/>
      </w:pPr>
      <w:r>
        <w:t>Household expenditure patterns according to main</w:t>
      </w:r>
      <w:r>
        <w:br/>
        <w:t>groups (1993, 1994, 2000) in percentage</w:t>
      </w:r>
    </w:p>
    <w:tbl>
      <w:tblPr>
        <w:tblW w:w="7401" w:type="dxa"/>
        <w:jc w:val="center"/>
        <w:tblLayout w:type="fixed"/>
        <w:tblCellMar>
          <w:left w:w="0" w:type="dxa"/>
          <w:right w:w="0" w:type="dxa"/>
        </w:tblCellMar>
        <w:tblLook w:val="0000" w:firstRow="0" w:lastRow="0" w:firstColumn="0" w:lastColumn="0" w:noHBand="0" w:noVBand="0"/>
      </w:tblPr>
      <w:tblGrid>
        <w:gridCol w:w="3549"/>
        <w:gridCol w:w="1284"/>
        <w:gridCol w:w="1284"/>
        <w:gridCol w:w="1284"/>
      </w:tblGrid>
      <w:tr w:rsidR="00000000">
        <w:trPr>
          <w:cantSplit/>
          <w:trHeight w:val="255"/>
          <w:jc w:val="center"/>
        </w:trPr>
        <w:tc>
          <w:tcPr>
            <w:tcW w:w="3549" w:type="dxa"/>
            <w:vMerge w:val="restart"/>
            <w:tcBorders>
              <w:top w:val="single" w:sz="4" w:space="0" w:color="auto"/>
              <w:left w:val="single" w:sz="4" w:space="0" w:color="auto"/>
              <w:right w:val="nil"/>
            </w:tcBorders>
          </w:tcPr>
          <w:p w:rsidR="00000000" w:rsidRDefault="00000000">
            <w:pPr>
              <w:spacing w:after="0"/>
              <w:ind w:firstLine="181"/>
              <w:jc w:val="center"/>
            </w:pPr>
            <w:r>
              <w:t>Expenditure</w:t>
            </w:r>
          </w:p>
        </w:tc>
        <w:tc>
          <w:tcPr>
            <w:tcW w:w="3852" w:type="dxa"/>
            <w:gridSpan w:val="3"/>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spacing w:after="0"/>
              <w:jc w:val="center"/>
            </w:pPr>
            <w:r>
              <w:t>Year</w:t>
            </w:r>
          </w:p>
        </w:tc>
      </w:tr>
      <w:tr w:rsidR="00000000">
        <w:trPr>
          <w:cantSplit/>
          <w:trHeight w:val="255"/>
          <w:jc w:val="center"/>
        </w:trPr>
        <w:tc>
          <w:tcPr>
            <w:tcW w:w="3549" w:type="dxa"/>
            <w:vMerge/>
            <w:tcBorders>
              <w:left w:val="single" w:sz="4" w:space="0" w:color="auto"/>
              <w:bottom w:val="single" w:sz="4" w:space="0" w:color="auto"/>
              <w:right w:val="nil"/>
            </w:tcBorders>
            <w:vAlign w:val="center"/>
          </w:tcPr>
          <w:p w:rsidR="00000000" w:rsidRDefault="00000000">
            <w:pPr>
              <w:spacing w:after="0"/>
              <w:ind w:firstLine="181"/>
            </w:pPr>
          </w:p>
        </w:tc>
        <w:tc>
          <w:tcPr>
            <w:tcW w:w="1284" w:type="dxa"/>
            <w:tcBorders>
              <w:top w:val="single" w:sz="4" w:space="0" w:color="auto"/>
              <w:left w:val="single" w:sz="4" w:space="0" w:color="auto"/>
              <w:bottom w:val="single" w:sz="4" w:space="0" w:color="auto"/>
              <w:right w:val="nil"/>
            </w:tcBorders>
            <w:noWrap/>
            <w:tcMar>
              <w:top w:w="17" w:type="dxa"/>
              <w:left w:w="17" w:type="dxa"/>
              <w:bottom w:w="0" w:type="dxa"/>
              <w:right w:w="17" w:type="dxa"/>
            </w:tcMar>
            <w:vAlign w:val="center"/>
          </w:tcPr>
          <w:p w:rsidR="00000000" w:rsidRDefault="00000000">
            <w:pPr>
              <w:spacing w:after="0"/>
              <w:jc w:val="center"/>
            </w:pPr>
            <w:r>
              <w:t>1993</w:t>
            </w:r>
          </w:p>
        </w:tc>
        <w:tc>
          <w:tcPr>
            <w:tcW w:w="128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spacing w:after="0"/>
              <w:jc w:val="center"/>
            </w:pPr>
            <w:r>
              <w:t>1994</w:t>
            </w:r>
          </w:p>
        </w:tc>
        <w:tc>
          <w:tcPr>
            <w:tcW w:w="1284"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spacing w:after="0"/>
              <w:jc w:val="center"/>
            </w:pPr>
            <w:r>
              <w:t>2000</w:t>
            </w:r>
          </w:p>
        </w:tc>
      </w:tr>
      <w:tr w:rsidR="00000000">
        <w:trPr>
          <w:trHeight w:val="255"/>
          <w:jc w:val="center"/>
        </w:trPr>
        <w:tc>
          <w:tcPr>
            <w:tcW w:w="3549"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Food, tobacco, beverages</w:t>
            </w:r>
          </w:p>
        </w:tc>
        <w:tc>
          <w:tcPr>
            <w:tcW w:w="1284" w:type="dxa"/>
            <w:tcBorders>
              <w:top w:val="nil"/>
              <w:left w:val="nil"/>
              <w:right w:val="nil"/>
            </w:tcBorders>
            <w:noWrap/>
            <w:tcMar>
              <w:top w:w="17" w:type="dxa"/>
              <w:left w:w="17" w:type="dxa"/>
              <w:bottom w:w="0" w:type="dxa"/>
              <w:right w:w="17" w:type="dxa"/>
            </w:tcMar>
            <w:vAlign w:val="bottom"/>
          </w:tcPr>
          <w:p w:rsidR="00000000" w:rsidRDefault="00000000">
            <w:pPr>
              <w:pStyle w:val="Header"/>
              <w:tabs>
                <w:tab w:val="clear" w:pos="4320"/>
                <w:tab w:val="clear" w:pos="8640"/>
                <w:tab w:val="decimal" w:pos="721"/>
              </w:tabs>
              <w:spacing w:after="0"/>
            </w:pPr>
            <w:r>
              <w:t>72.1</w:t>
            </w:r>
          </w:p>
        </w:tc>
        <w:tc>
          <w:tcPr>
            <w:tcW w:w="1284"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decimal" w:pos="568"/>
              </w:tabs>
              <w:spacing w:after="0"/>
            </w:pPr>
            <w:r>
              <w:t>68.93</w:t>
            </w:r>
          </w:p>
        </w:tc>
        <w:tc>
          <w:tcPr>
            <w:tcW w:w="1284" w:type="dxa"/>
            <w:tcBorders>
              <w:top w:val="nil"/>
              <w:left w:val="nil"/>
              <w:right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decimal" w:pos="702"/>
              </w:tabs>
              <w:spacing w:after="0"/>
            </w:pPr>
            <w:r>
              <w:t>57.8</w:t>
            </w:r>
          </w:p>
        </w:tc>
      </w:tr>
      <w:tr w:rsidR="00000000">
        <w:trPr>
          <w:trHeight w:val="255"/>
          <w:jc w:val="center"/>
        </w:trPr>
        <w:tc>
          <w:tcPr>
            <w:tcW w:w="354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Clothes, footwear</w:t>
            </w:r>
          </w:p>
        </w:tc>
        <w:tc>
          <w:tcPr>
            <w:tcW w:w="1284" w:type="dxa"/>
            <w:tcBorders>
              <w:left w:val="nil"/>
              <w:right w:val="nil"/>
            </w:tcBorders>
            <w:noWrap/>
            <w:tcMar>
              <w:top w:w="17" w:type="dxa"/>
              <w:left w:w="17" w:type="dxa"/>
              <w:bottom w:w="0" w:type="dxa"/>
              <w:right w:w="17" w:type="dxa"/>
            </w:tcMar>
            <w:vAlign w:val="bottom"/>
          </w:tcPr>
          <w:p w:rsidR="00000000" w:rsidRDefault="00000000">
            <w:pPr>
              <w:tabs>
                <w:tab w:val="decimal" w:pos="721"/>
              </w:tabs>
              <w:spacing w:after="0"/>
            </w:pPr>
            <w:r>
              <w:t>2.8</w:t>
            </w:r>
          </w:p>
        </w:tc>
        <w:tc>
          <w:tcPr>
            <w:tcW w:w="1284"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2.39</w:t>
            </w:r>
          </w:p>
        </w:tc>
        <w:tc>
          <w:tcPr>
            <w:tcW w:w="1284" w:type="dxa"/>
            <w:tcBorders>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5.3</w:t>
            </w:r>
          </w:p>
        </w:tc>
      </w:tr>
      <w:tr w:rsidR="00000000">
        <w:trPr>
          <w:trHeight w:val="255"/>
          <w:jc w:val="center"/>
        </w:trPr>
        <w:tc>
          <w:tcPr>
            <w:tcW w:w="354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Rent, electricity, water, fuel</w:t>
            </w:r>
          </w:p>
        </w:tc>
        <w:tc>
          <w:tcPr>
            <w:tcW w:w="1284" w:type="dxa"/>
            <w:tcBorders>
              <w:left w:val="nil"/>
              <w:right w:val="nil"/>
            </w:tcBorders>
            <w:noWrap/>
            <w:tcMar>
              <w:top w:w="17" w:type="dxa"/>
              <w:left w:w="17" w:type="dxa"/>
              <w:bottom w:w="0" w:type="dxa"/>
              <w:right w:w="17" w:type="dxa"/>
            </w:tcMar>
            <w:vAlign w:val="bottom"/>
          </w:tcPr>
          <w:p w:rsidR="00000000" w:rsidRDefault="00000000">
            <w:pPr>
              <w:tabs>
                <w:tab w:val="decimal" w:pos="721"/>
              </w:tabs>
              <w:spacing w:after="0"/>
            </w:pPr>
            <w:r>
              <w:t>6</w:t>
            </w:r>
          </w:p>
        </w:tc>
        <w:tc>
          <w:tcPr>
            <w:tcW w:w="1284"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4.89</w:t>
            </w:r>
          </w:p>
        </w:tc>
        <w:tc>
          <w:tcPr>
            <w:tcW w:w="1284" w:type="dxa"/>
            <w:tcBorders>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6.9</w:t>
            </w:r>
          </w:p>
        </w:tc>
      </w:tr>
      <w:tr w:rsidR="00000000">
        <w:trPr>
          <w:trHeight w:val="255"/>
          <w:jc w:val="center"/>
        </w:trPr>
        <w:tc>
          <w:tcPr>
            <w:tcW w:w="354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Equipment, furniture</w:t>
            </w:r>
          </w:p>
        </w:tc>
        <w:tc>
          <w:tcPr>
            <w:tcW w:w="1284" w:type="dxa"/>
            <w:tcBorders>
              <w:left w:val="nil"/>
              <w:right w:val="nil"/>
            </w:tcBorders>
            <w:noWrap/>
            <w:tcMar>
              <w:top w:w="17" w:type="dxa"/>
              <w:left w:w="17" w:type="dxa"/>
              <w:bottom w:w="0" w:type="dxa"/>
              <w:right w:w="17" w:type="dxa"/>
            </w:tcMar>
            <w:vAlign w:val="bottom"/>
          </w:tcPr>
          <w:p w:rsidR="00000000" w:rsidRDefault="00000000">
            <w:pPr>
              <w:tabs>
                <w:tab w:val="decimal" w:pos="721"/>
              </w:tabs>
              <w:spacing w:after="0"/>
            </w:pPr>
            <w:r>
              <w:t>7.6</w:t>
            </w:r>
          </w:p>
        </w:tc>
        <w:tc>
          <w:tcPr>
            <w:tcW w:w="1284"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10.46</w:t>
            </w:r>
          </w:p>
        </w:tc>
        <w:tc>
          <w:tcPr>
            <w:tcW w:w="1284" w:type="dxa"/>
            <w:tcBorders>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6.3</w:t>
            </w:r>
          </w:p>
        </w:tc>
      </w:tr>
      <w:tr w:rsidR="00000000">
        <w:trPr>
          <w:trHeight w:val="255"/>
          <w:jc w:val="center"/>
        </w:trPr>
        <w:tc>
          <w:tcPr>
            <w:tcW w:w="354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Health care</w:t>
            </w:r>
          </w:p>
        </w:tc>
        <w:tc>
          <w:tcPr>
            <w:tcW w:w="1284" w:type="dxa"/>
            <w:tcBorders>
              <w:left w:val="nil"/>
              <w:right w:val="nil"/>
            </w:tcBorders>
            <w:noWrap/>
            <w:tcMar>
              <w:top w:w="17" w:type="dxa"/>
              <w:left w:w="17" w:type="dxa"/>
              <w:bottom w:w="0" w:type="dxa"/>
              <w:right w:w="17" w:type="dxa"/>
            </w:tcMar>
            <w:vAlign w:val="bottom"/>
          </w:tcPr>
          <w:p w:rsidR="00000000" w:rsidRDefault="00000000">
            <w:pPr>
              <w:pStyle w:val="Header"/>
              <w:tabs>
                <w:tab w:val="clear" w:pos="4320"/>
                <w:tab w:val="clear" w:pos="8640"/>
                <w:tab w:val="decimal" w:pos="721"/>
              </w:tabs>
              <w:spacing w:after="0"/>
            </w:pPr>
            <w:r>
              <w:t>0.9</w:t>
            </w:r>
          </w:p>
        </w:tc>
        <w:tc>
          <w:tcPr>
            <w:tcW w:w="1284"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0.93</w:t>
            </w:r>
          </w:p>
        </w:tc>
        <w:tc>
          <w:tcPr>
            <w:tcW w:w="1284" w:type="dxa"/>
            <w:tcBorders>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2.6</w:t>
            </w:r>
          </w:p>
        </w:tc>
      </w:tr>
      <w:tr w:rsidR="00000000">
        <w:trPr>
          <w:trHeight w:val="255"/>
          <w:jc w:val="center"/>
        </w:trPr>
        <w:tc>
          <w:tcPr>
            <w:tcW w:w="354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Transport, communication</w:t>
            </w:r>
          </w:p>
        </w:tc>
        <w:tc>
          <w:tcPr>
            <w:tcW w:w="1284" w:type="dxa"/>
            <w:tcBorders>
              <w:left w:val="nil"/>
              <w:right w:val="nil"/>
            </w:tcBorders>
            <w:noWrap/>
            <w:tcMar>
              <w:top w:w="17" w:type="dxa"/>
              <w:left w:w="17" w:type="dxa"/>
              <w:bottom w:w="0" w:type="dxa"/>
              <w:right w:w="17" w:type="dxa"/>
            </w:tcMar>
            <w:vAlign w:val="bottom"/>
          </w:tcPr>
          <w:p w:rsidR="00000000" w:rsidRDefault="00000000">
            <w:pPr>
              <w:tabs>
                <w:tab w:val="decimal" w:pos="721"/>
              </w:tabs>
              <w:spacing w:after="0"/>
            </w:pPr>
            <w:r>
              <w:t>4.8</w:t>
            </w:r>
          </w:p>
        </w:tc>
        <w:tc>
          <w:tcPr>
            <w:tcW w:w="1284"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7.25</w:t>
            </w:r>
          </w:p>
        </w:tc>
        <w:tc>
          <w:tcPr>
            <w:tcW w:w="1284" w:type="dxa"/>
            <w:tcBorders>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7.9</w:t>
            </w:r>
          </w:p>
        </w:tc>
      </w:tr>
      <w:tr w:rsidR="00000000">
        <w:trPr>
          <w:trHeight w:val="255"/>
          <w:jc w:val="center"/>
        </w:trPr>
        <w:tc>
          <w:tcPr>
            <w:tcW w:w="354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Education, entertainment</w:t>
            </w:r>
          </w:p>
        </w:tc>
        <w:tc>
          <w:tcPr>
            <w:tcW w:w="1284" w:type="dxa"/>
            <w:tcBorders>
              <w:left w:val="nil"/>
              <w:right w:val="nil"/>
            </w:tcBorders>
            <w:noWrap/>
            <w:tcMar>
              <w:top w:w="17" w:type="dxa"/>
              <w:left w:w="17" w:type="dxa"/>
              <w:bottom w:w="0" w:type="dxa"/>
              <w:right w:w="17" w:type="dxa"/>
            </w:tcMar>
            <w:vAlign w:val="bottom"/>
          </w:tcPr>
          <w:p w:rsidR="00000000" w:rsidRDefault="00000000">
            <w:pPr>
              <w:tabs>
                <w:tab w:val="decimal" w:pos="721"/>
              </w:tabs>
              <w:spacing w:after="0"/>
            </w:pPr>
            <w:r>
              <w:t>3.7</w:t>
            </w:r>
          </w:p>
        </w:tc>
        <w:tc>
          <w:tcPr>
            <w:tcW w:w="1284"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4.13</w:t>
            </w:r>
          </w:p>
        </w:tc>
        <w:tc>
          <w:tcPr>
            <w:tcW w:w="1284" w:type="dxa"/>
            <w:tcBorders>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5.4</w:t>
            </w:r>
          </w:p>
        </w:tc>
      </w:tr>
      <w:tr w:rsidR="00000000">
        <w:trPr>
          <w:trHeight w:val="255"/>
          <w:jc w:val="center"/>
        </w:trPr>
        <w:tc>
          <w:tcPr>
            <w:tcW w:w="3549"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Personal care</w:t>
            </w:r>
          </w:p>
        </w:tc>
        <w:tc>
          <w:tcPr>
            <w:tcW w:w="1284" w:type="dxa"/>
            <w:tcBorders>
              <w:top w:val="nil"/>
              <w:left w:val="nil"/>
              <w:right w:val="nil"/>
            </w:tcBorders>
            <w:noWrap/>
            <w:tcMar>
              <w:top w:w="17" w:type="dxa"/>
              <w:left w:w="17" w:type="dxa"/>
              <w:bottom w:w="0" w:type="dxa"/>
              <w:right w:w="17" w:type="dxa"/>
            </w:tcMar>
            <w:vAlign w:val="bottom"/>
          </w:tcPr>
          <w:p w:rsidR="00000000" w:rsidRDefault="00000000">
            <w:pPr>
              <w:tabs>
                <w:tab w:val="decimal" w:pos="721"/>
              </w:tabs>
              <w:spacing w:after="0"/>
            </w:pPr>
            <w:r>
              <w:t>0.4</w:t>
            </w:r>
          </w:p>
        </w:tc>
        <w:tc>
          <w:tcPr>
            <w:tcW w:w="1284"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1.01</w:t>
            </w:r>
          </w:p>
        </w:tc>
        <w:tc>
          <w:tcPr>
            <w:tcW w:w="1284"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2.3</w:t>
            </w:r>
          </w:p>
        </w:tc>
      </w:tr>
      <w:tr w:rsidR="00000000">
        <w:trPr>
          <w:trHeight w:val="255"/>
          <w:jc w:val="center"/>
        </w:trPr>
        <w:tc>
          <w:tcPr>
            <w:tcW w:w="3549"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firstLine="147"/>
            </w:pPr>
            <w:r>
              <w:t xml:space="preserve">Others </w:t>
            </w:r>
          </w:p>
        </w:tc>
        <w:tc>
          <w:tcPr>
            <w:tcW w:w="1284" w:type="dxa"/>
            <w:tcBorders>
              <w:left w:val="nil"/>
              <w:bottom w:val="single" w:sz="4" w:space="0" w:color="auto"/>
              <w:right w:val="nil"/>
            </w:tcBorders>
            <w:noWrap/>
            <w:tcMar>
              <w:top w:w="17" w:type="dxa"/>
              <w:left w:w="17" w:type="dxa"/>
              <w:bottom w:w="0" w:type="dxa"/>
              <w:right w:w="17" w:type="dxa"/>
            </w:tcMar>
            <w:vAlign w:val="bottom"/>
          </w:tcPr>
          <w:p w:rsidR="00000000" w:rsidRDefault="00000000">
            <w:pPr>
              <w:tabs>
                <w:tab w:val="decimal" w:pos="721"/>
              </w:tabs>
              <w:spacing w:after="0"/>
            </w:pPr>
            <w:r>
              <w:t>1.7</w:t>
            </w:r>
          </w:p>
        </w:tc>
        <w:tc>
          <w:tcPr>
            <w:tcW w:w="1284"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568"/>
              </w:tabs>
              <w:spacing w:after="0"/>
            </w:pPr>
            <w:r>
              <w:t>0.01</w:t>
            </w:r>
          </w:p>
        </w:tc>
        <w:tc>
          <w:tcPr>
            <w:tcW w:w="1284" w:type="dxa"/>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702"/>
              </w:tabs>
              <w:spacing w:after="0"/>
            </w:pPr>
            <w:r>
              <w:t>5.5</w:t>
            </w:r>
          </w:p>
        </w:tc>
      </w:tr>
      <w:tr w:rsidR="00000000">
        <w:trPr>
          <w:trHeight w:val="255"/>
          <w:jc w:val="center"/>
        </w:trPr>
        <w:tc>
          <w:tcPr>
            <w:tcW w:w="3549"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s>
              <w:spacing w:before="20" w:after="20"/>
              <w:ind w:firstLine="147"/>
            </w:pPr>
            <w:r>
              <w:t xml:space="preserve">     Total </w:t>
            </w:r>
          </w:p>
        </w:tc>
        <w:tc>
          <w:tcPr>
            <w:tcW w:w="1284"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pStyle w:val="Header"/>
              <w:tabs>
                <w:tab w:val="clear" w:pos="4320"/>
                <w:tab w:val="clear" w:pos="8640"/>
                <w:tab w:val="right" w:pos="702"/>
              </w:tabs>
              <w:spacing w:before="20" w:after="20"/>
            </w:pPr>
            <w:r>
              <w:tab/>
              <w:t>100</w:t>
            </w:r>
          </w:p>
        </w:tc>
        <w:tc>
          <w:tcPr>
            <w:tcW w:w="1284"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right" w:pos="552"/>
              </w:tabs>
              <w:spacing w:before="20" w:after="20"/>
            </w:pPr>
            <w:r>
              <w:tab/>
              <w:t>100</w:t>
            </w:r>
          </w:p>
        </w:tc>
        <w:tc>
          <w:tcPr>
            <w:tcW w:w="1284"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 w:val="right" w:pos="686"/>
              </w:tabs>
              <w:spacing w:before="20" w:after="20"/>
            </w:pPr>
            <w:r>
              <w:tab/>
              <w:t>100</w:t>
            </w:r>
          </w:p>
        </w:tc>
      </w:tr>
    </w:tbl>
    <w:p w:rsidR="00000000" w:rsidRDefault="00000000">
      <w:pPr>
        <w:pStyle w:val="Header"/>
        <w:tabs>
          <w:tab w:val="clear" w:pos="4320"/>
          <w:tab w:val="clear" w:pos="8640"/>
          <w:tab w:val="left" w:pos="1843"/>
        </w:tabs>
        <w:spacing w:before="240"/>
        <w:ind w:left="993"/>
      </w:pPr>
      <w:r>
        <w:rPr>
          <w:i/>
          <w:iCs/>
        </w:rPr>
        <w:tab/>
        <w:t>Source</w:t>
      </w:r>
      <w:r>
        <w:rPr>
          <w:iCs/>
        </w:rPr>
        <w:t>:</w:t>
      </w:r>
      <w:r>
        <w:t xml:space="preserve">  Household budget survey in urban areas, 1999-2000, </w:t>
      </w:r>
      <w:r>
        <w:br/>
      </w:r>
      <w:r>
        <w:rPr>
          <w:i/>
          <w:iCs/>
        </w:rPr>
        <w:t>Statistical Yearbook</w:t>
      </w:r>
      <w:r>
        <w:t xml:space="preserve">, </w:t>
      </w:r>
      <w:r>
        <w:rPr>
          <w:i/>
          <w:iCs/>
        </w:rPr>
        <w:t>1993-2000</w:t>
      </w:r>
      <w:r>
        <w:t>.</w:t>
      </w:r>
    </w:p>
    <w:p w:rsidR="00000000" w:rsidRDefault="00000000">
      <w:pPr>
        <w:pStyle w:val="Heading3"/>
        <w:rPr>
          <w:u w:val="single"/>
        </w:rPr>
      </w:pPr>
      <w:r>
        <w:t xml:space="preserve">Right to healthy food </w:t>
      </w:r>
    </w:p>
    <w:p w:rsidR="00000000" w:rsidRDefault="00000000">
      <w:pPr>
        <w:pStyle w:val="ParaNo"/>
        <w:tabs>
          <w:tab w:val="clear" w:pos="737"/>
        </w:tabs>
        <w:rPr>
          <w:lang w:val="en-GB"/>
        </w:rPr>
      </w:pPr>
      <w:r>
        <w:rPr>
          <w:lang w:val="en-GB"/>
        </w:rPr>
        <w:t>The fulfilment and respect of the right to healthy and appropriate food represents one of the main objectives of the functioning of the Ministry of Health, and especially of the Primary Health Care Department.  According to the Ministry of Health, the fulfilment of this right can be realized only in close collaboration with other ministries, such as the Ministry of Agriculture and Food, the Ministry of Economy, etc.</w:t>
      </w:r>
    </w:p>
    <w:p w:rsidR="00000000" w:rsidRDefault="00000000">
      <w:pPr>
        <w:pStyle w:val="ParaNo"/>
        <w:tabs>
          <w:tab w:val="clear" w:pos="737"/>
        </w:tabs>
        <w:ind w:left="0" w:firstLine="0"/>
        <w:rPr>
          <w:lang w:val="en-GB"/>
        </w:rPr>
      </w:pPr>
      <w:r>
        <w:rPr>
          <w:lang w:val="en-GB"/>
        </w:rPr>
        <w:t>For this reason, the above organs worked on the preparation of a National Plan of Action for Nutrition and Nourishment which is in the final phase of adoption.  The sources of information on the above come from the Ministry of Health and the Ministry of Agriculture and Food.</w:t>
      </w:r>
    </w:p>
    <w:p w:rsidR="00000000" w:rsidRDefault="00000000">
      <w:pPr>
        <w:pStyle w:val="ParaNo"/>
        <w:tabs>
          <w:tab w:val="clear" w:pos="737"/>
        </w:tabs>
        <w:rPr>
          <w:lang w:val="en-GB"/>
        </w:rPr>
      </w:pPr>
      <w:r>
        <w:rPr>
          <w:lang w:val="en-GB"/>
        </w:rPr>
        <w:t>Food is of extraordinary importance.  National food supply data are mainly provided through the Ministry of Agriculture and Food.</w:t>
      </w:r>
    </w:p>
    <w:p w:rsidR="00000000" w:rsidRDefault="00000000">
      <w:pPr>
        <w:pStyle w:val="ParaNo"/>
        <w:tabs>
          <w:tab w:val="clear" w:pos="737"/>
        </w:tabs>
        <w:rPr>
          <w:lang w:val="en-GB"/>
        </w:rPr>
      </w:pPr>
      <w:r>
        <w:rPr>
          <w:lang w:val="en-GB"/>
        </w:rPr>
        <w:t>The first study concerning nourishment at the household level after the fall of the Communist regime was conducted during the August-October 1993 period in 3,179 families randomly selected in Tirana.  The study was conducted taking into consideration the number of households and houses from the 1989 registration.  Based on the social-economic changes (demography, housing, employment, migration and incomes), a second questionnaire was administered through the stratification method in 807 households.</w:t>
      </w:r>
    </w:p>
    <w:p w:rsidR="00000000" w:rsidRDefault="00000000">
      <w:pPr>
        <w:pStyle w:val="ParaNo"/>
        <w:tabs>
          <w:tab w:val="clear" w:pos="737"/>
        </w:tabs>
        <w:rPr>
          <w:lang w:val="en-GB"/>
        </w:rPr>
      </w:pPr>
      <w:r>
        <w:rPr>
          <w:lang w:val="en-GB"/>
        </w:rPr>
        <w:t>The results indicate that the annual expenses were 35,244 leks per person, per month.  Of the above, 72 per cent was spent for food.</w:t>
      </w:r>
    </w:p>
    <w:p w:rsidR="00000000" w:rsidRDefault="00000000">
      <w:pPr>
        <w:pStyle w:val="ParaNo"/>
        <w:tabs>
          <w:tab w:val="clear" w:pos="737"/>
        </w:tabs>
        <w:ind w:left="0" w:firstLine="0"/>
        <w:rPr>
          <w:lang w:val="en-GB"/>
        </w:rPr>
      </w:pPr>
      <w:r>
        <w:rPr>
          <w:lang w:val="en-GB"/>
        </w:rPr>
        <w:t>The study, conducted by the Ministry of Agriculture and Food (SARA Program 1996</w:t>
      </w:r>
      <w:r>
        <w:rPr>
          <w:lang w:val="en-GB"/>
        </w:rPr>
        <w:noBreakHyphen/>
        <w:t>1997), indicated that the nutrient rations of Albanians contain sufficient calories and it mainly consisted of corns</w:t>
      </w:r>
      <w:r>
        <w:rPr>
          <w:color w:val="000000"/>
          <w:szCs w:val="26"/>
          <w:lang w:val="en-GB"/>
        </w:rPr>
        <w:t xml:space="preserve">.  </w:t>
      </w:r>
      <w:r>
        <w:rPr>
          <w:lang w:val="en-GB"/>
        </w:rPr>
        <w:t>The annual bread consumption of a person was nearly 200 kg</w:t>
      </w:r>
      <w:r>
        <w:rPr>
          <w:color w:val="000000"/>
          <w:szCs w:val="26"/>
          <w:lang w:val="en-GB"/>
        </w:rPr>
        <w:t xml:space="preserve">.  </w:t>
      </w:r>
      <w:r>
        <w:rPr>
          <w:lang w:val="en-GB"/>
        </w:rPr>
        <w:t>Whereas in the rural areas food is produced, in urban areas the population is dependent on imported foods.  The monthly food expenditures for food in urban areas is nearly of US$ 150 per household, divided in four categories such as grains, meat, fruits and vegetables; 70</w:t>
      </w:r>
      <w:r>
        <w:rPr>
          <w:lang w:val="en-GB"/>
        </w:rPr>
        <w:noBreakHyphen/>
        <w:t>72 per cent of household incomes were spent on food.  The indicators below meet the WHO recommendations.</w:t>
      </w:r>
    </w:p>
    <w:p w:rsidR="00000000" w:rsidRDefault="00000000">
      <w:pPr>
        <w:pStyle w:val="Heading2"/>
      </w:pPr>
      <w:r>
        <w:t>Table 27</w:t>
      </w:r>
    </w:p>
    <w:p w:rsidR="00000000" w:rsidRDefault="00000000">
      <w:pPr>
        <w:pStyle w:val="Heading2"/>
      </w:pPr>
      <w:r>
        <w:t>Daily nutrients for a person in 1996</w:t>
      </w:r>
    </w:p>
    <w:tbl>
      <w:tblPr>
        <w:tblW w:w="91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7"/>
        <w:gridCol w:w="1276"/>
        <w:gridCol w:w="1276"/>
        <w:gridCol w:w="1134"/>
        <w:gridCol w:w="1137"/>
        <w:gridCol w:w="1556"/>
        <w:gridCol w:w="1324"/>
      </w:tblGrid>
      <w:tr w:rsidR="00000000">
        <w:tblPrEx>
          <w:tblCellMar>
            <w:top w:w="0" w:type="dxa"/>
            <w:bottom w:w="0" w:type="dxa"/>
          </w:tblCellMar>
        </w:tblPrEx>
        <w:tc>
          <w:tcPr>
            <w:tcW w:w="1417" w:type="dxa"/>
          </w:tcPr>
          <w:p w:rsidR="00000000" w:rsidRDefault="00000000">
            <w:pPr>
              <w:spacing w:after="0"/>
              <w:rPr>
                <w:sz w:val="22"/>
              </w:rPr>
            </w:pPr>
            <w:r>
              <w:rPr>
                <w:sz w:val="22"/>
              </w:rPr>
              <w:t>Year</w:t>
            </w:r>
          </w:p>
        </w:tc>
        <w:tc>
          <w:tcPr>
            <w:tcW w:w="7703" w:type="dxa"/>
            <w:gridSpan w:val="6"/>
          </w:tcPr>
          <w:p w:rsidR="00000000" w:rsidRDefault="00000000">
            <w:pPr>
              <w:spacing w:after="0"/>
              <w:jc w:val="center"/>
              <w:rPr>
                <w:sz w:val="22"/>
              </w:rPr>
            </w:pPr>
            <w:r>
              <w:rPr>
                <w:sz w:val="22"/>
              </w:rPr>
              <w:t>1996</w:t>
            </w:r>
          </w:p>
        </w:tc>
      </w:tr>
      <w:tr w:rsidR="00000000">
        <w:tblPrEx>
          <w:tblCellMar>
            <w:top w:w="0" w:type="dxa"/>
            <w:bottom w:w="0" w:type="dxa"/>
          </w:tblCellMar>
        </w:tblPrEx>
        <w:tc>
          <w:tcPr>
            <w:tcW w:w="1417" w:type="dxa"/>
          </w:tcPr>
          <w:p w:rsidR="00000000" w:rsidRDefault="00000000">
            <w:pPr>
              <w:spacing w:after="0"/>
              <w:rPr>
                <w:sz w:val="22"/>
              </w:rPr>
            </w:pPr>
            <w:r>
              <w:rPr>
                <w:sz w:val="22"/>
              </w:rPr>
              <w:t>Products</w:t>
            </w:r>
          </w:p>
        </w:tc>
        <w:tc>
          <w:tcPr>
            <w:tcW w:w="1276" w:type="dxa"/>
          </w:tcPr>
          <w:p w:rsidR="00000000" w:rsidRDefault="00000000">
            <w:pPr>
              <w:spacing w:after="0"/>
              <w:jc w:val="center"/>
              <w:rPr>
                <w:sz w:val="22"/>
              </w:rPr>
            </w:pPr>
            <w:r>
              <w:rPr>
                <w:sz w:val="22"/>
              </w:rPr>
              <w:t>Kg per year</w:t>
            </w:r>
          </w:p>
        </w:tc>
        <w:tc>
          <w:tcPr>
            <w:tcW w:w="1276" w:type="dxa"/>
          </w:tcPr>
          <w:p w:rsidR="00000000" w:rsidRDefault="00000000">
            <w:pPr>
              <w:spacing w:after="0"/>
              <w:jc w:val="center"/>
              <w:rPr>
                <w:sz w:val="22"/>
              </w:rPr>
            </w:pPr>
            <w:r>
              <w:rPr>
                <w:sz w:val="22"/>
              </w:rPr>
              <w:t>Gr per day</w:t>
            </w:r>
          </w:p>
        </w:tc>
        <w:tc>
          <w:tcPr>
            <w:tcW w:w="1134" w:type="dxa"/>
          </w:tcPr>
          <w:p w:rsidR="00000000" w:rsidRDefault="00000000">
            <w:pPr>
              <w:spacing w:after="0"/>
              <w:jc w:val="center"/>
              <w:rPr>
                <w:sz w:val="22"/>
              </w:rPr>
            </w:pPr>
            <w:r>
              <w:rPr>
                <w:sz w:val="22"/>
              </w:rPr>
              <w:t>Proteins</w:t>
            </w:r>
          </w:p>
        </w:tc>
        <w:tc>
          <w:tcPr>
            <w:tcW w:w="1137" w:type="dxa"/>
          </w:tcPr>
          <w:p w:rsidR="00000000" w:rsidRDefault="00000000">
            <w:pPr>
              <w:spacing w:after="0"/>
              <w:jc w:val="center"/>
              <w:rPr>
                <w:sz w:val="22"/>
              </w:rPr>
            </w:pPr>
            <w:r>
              <w:rPr>
                <w:sz w:val="22"/>
              </w:rPr>
              <w:t>Fat</w:t>
            </w:r>
          </w:p>
        </w:tc>
        <w:tc>
          <w:tcPr>
            <w:tcW w:w="1556" w:type="dxa"/>
          </w:tcPr>
          <w:p w:rsidR="00000000" w:rsidRDefault="00000000">
            <w:pPr>
              <w:spacing w:after="0"/>
              <w:jc w:val="center"/>
              <w:rPr>
                <w:sz w:val="22"/>
              </w:rPr>
            </w:pPr>
            <w:r>
              <w:rPr>
                <w:sz w:val="22"/>
              </w:rPr>
              <w:t>Carbohydrates</w:t>
            </w:r>
          </w:p>
        </w:tc>
        <w:tc>
          <w:tcPr>
            <w:tcW w:w="1324" w:type="dxa"/>
          </w:tcPr>
          <w:p w:rsidR="00000000" w:rsidRDefault="00000000">
            <w:pPr>
              <w:spacing w:after="0"/>
              <w:jc w:val="center"/>
              <w:rPr>
                <w:sz w:val="22"/>
              </w:rPr>
            </w:pPr>
            <w:r>
              <w:rPr>
                <w:sz w:val="22"/>
              </w:rPr>
              <w:t>Calories</w:t>
            </w:r>
          </w:p>
        </w:tc>
      </w:tr>
      <w:tr w:rsidR="00000000">
        <w:tblPrEx>
          <w:tblCellMar>
            <w:top w:w="0" w:type="dxa"/>
            <w:bottom w:w="0" w:type="dxa"/>
          </w:tblCellMar>
        </w:tblPrEx>
        <w:tc>
          <w:tcPr>
            <w:tcW w:w="1417" w:type="dxa"/>
            <w:tcBorders>
              <w:bottom w:val="nil"/>
            </w:tcBorders>
          </w:tcPr>
          <w:p w:rsidR="00000000" w:rsidRDefault="00000000">
            <w:pPr>
              <w:spacing w:after="0"/>
              <w:rPr>
                <w:sz w:val="22"/>
              </w:rPr>
            </w:pPr>
            <w:r>
              <w:rPr>
                <w:sz w:val="22"/>
              </w:rPr>
              <w:t>Meat</w:t>
            </w:r>
          </w:p>
        </w:tc>
        <w:tc>
          <w:tcPr>
            <w:tcW w:w="1276" w:type="dxa"/>
            <w:tcBorders>
              <w:bottom w:val="nil"/>
            </w:tcBorders>
          </w:tcPr>
          <w:p w:rsidR="00000000" w:rsidRDefault="00000000">
            <w:pPr>
              <w:pStyle w:val="Header"/>
              <w:tabs>
                <w:tab w:val="clear" w:pos="4320"/>
                <w:tab w:val="clear" w:pos="8640"/>
                <w:tab w:val="decimal" w:pos="601"/>
              </w:tabs>
              <w:spacing w:after="0"/>
              <w:rPr>
                <w:sz w:val="22"/>
              </w:rPr>
            </w:pPr>
            <w:r>
              <w:rPr>
                <w:sz w:val="22"/>
              </w:rPr>
              <w:t>27.27</w:t>
            </w:r>
          </w:p>
        </w:tc>
        <w:tc>
          <w:tcPr>
            <w:tcW w:w="1276" w:type="dxa"/>
            <w:tcBorders>
              <w:bottom w:val="nil"/>
            </w:tcBorders>
          </w:tcPr>
          <w:p w:rsidR="00000000" w:rsidRDefault="00000000">
            <w:pPr>
              <w:pStyle w:val="Header"/>
              <w:tabs>
                <w:tab w:val="clear" w:pos="4320"/>
                <w:tab w:val="clear" w:pos="8640"/>
                <w:tab w:val="decimal" w:pos="668"/>
              </w:tabs>
              <w:spacing w:after="0"/>
              <w:rPr>
                <w:sz w:val="22"/>
              </w:rPr>
            </w:pPr>
            <w:r>
              <w:rPr>
                <w:sz w:val="22"/>
              </w:rPr>
              <w:t>74</w:t>
            </w:r>
          </w:p>
        </w:tc>
        <w:tc>
          <w:tcPr>
            <w:tcW w:w="1134" w:type="dxa"/>
            <w:tcBorders>
              <w:bottom w:val="nil"/>
            </w:tcBorders>
          </w:tcPr>
          <w:p w:rsidR="00000000" w:rsidRDefault="00000000">
            <w:pPr>
              <w:pStyle w:val="Header"/>
              <w:tabs>
                <w:tab w:val="clear" w:pos="4320"/>
                <w:tab w:val="clear" w:pos="8640"/>
                <w:tab w:val="decimal" w:pos="317"/>
              </w:tabs>
              <w:spacing w:after="0"/>
              <w:rPr>
                <w:sz w:val="22"/>
              </w:rPr>
            </w:pPr>
            <w:r>
              <w:rPr>
                <w:sz w:val="22"/>
              </w:rPr>
              <w:t>15.31</w:t>
            </w:r>
          </w:p>
        </w:tc>
        <w:tc>
          <w:tcPr>
            <w:tcW w:w="1137" w:type="dxa"/>
            <w:tcBorders>
              <w:bottom w:val="nil"/>
            </w:tcBorders>
          </w:tcPr>
          <w:p w:rsidR="00000000" w:rsidRDefault="00000000">
            <w:pPr>
              <w:pStyle w:val="Header"/>
              <w:tabs>
                <w:tab w:val="clear" w:pos="4320"/>
                <w:tab w:val="clear" w:pos="8640"/>
                <w:tab w:val="decimal" w:pos="371"/>
              </w:tabs>
              <w:spacing w:after="0"/>
              <w:rPr>
                <w:sz w:val="22"/>
              </w:rPr>
            </w:pPr>
            <w:r>
              <w:rPr>
                <w:sz w:val="22"/>
              </w:rPr>
              <w:t>0.74</w:t>
            </w:r>
          </w:p>
        </w:tc>
        <w:tc>
          <w:tcPr>
            <w:tcW w:w="1556" w:type="dxa"/>
            <w:tcBorders>
              <w:bottom w:val="nil"/>
            </w:tcBorders>
          </w:tcPr>
          <w:p w:rsidR="00000000" w:rsidRDefault="00000000">
            <w:pPr>
              <w:pStyle w:val="Header"/>
              <w:tabs>
                <w:tab w:val="clear" w:pos="4320"/>
                <w:tab w:val="clear" w:pos="8640"/>
                <w:tab w:val="decimal" w:pos="601"/>
              </w:tabs>
              <w:spacing w:after="0"/>
              <w:rPr>
                <w:sz w:val="22"/>
              </w:rPr>
            </w:pPr>
            <w:r>
              <w:rPr>
                <w:sz w:val="22"/>
              </w:rPr>
              <w:t>0</w:t>
            </w:r>
          </w:p>
        </w:tc>
        <w:tc>
          <w:tcPr>
            <w:tcW w:w="1324" w:type="dxa"/>
            <w:tcBorders>
              <w:bottom w:val="nil"/>
            </w:tcBorders>
          </w:tcPr>
          <w:p w:rsidR="00000000" w:rsidRDefault="00000000">
            <w:pPr>
              <w:pStyle w:val="Header"/>
              <w:tabs>
                <w:tab w:val="clear" w:pos="4320"/>
                <w:tab w:val="clear" w:pos="8640"/>
              </w:tabs>
              <w:spacing w:after="0"/>
              <w:ind w:right="226"/>
              <w:jc w:val="right"/>
              <w:rPr>
                <w:sz w:val="22"/>
              </w:rPr>
            </w:pPr>
            <w:r>
              <w:rPr>
                <w:sz w:val="22"/>
              </w:rPr>
              <w:t>68.08</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Milk</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112.16</w:t>
            </w:r>
          </w:p>
        </w:tc>
        <w:tc>
          <w:tcPr>
            <w:tcW w:w="1276" w:type="dxa"/>
            <w:tcBorders>
              <w:top w:val="nil"/>
              <w:bottom w:val="nil"/>
            </w:tcBorders>
          </w:tcPr>
          <w:p w:rsidR="00000000" w:rsidRDefault="00000000">
            <w:pPr>
              <w:tabs>
                <w:tab w:val="decimal" w:pos="668"/>
              </w:tabs>
              <w:spacing w:after="0"/>
              <w:rPr>
                <w:sz w:val="22"/>
              </w:rPr>
            </w:pPr>
            <w:r>
              <w:rPr>
                <w:sz w:val="22"/>
              </w:rPr>
              <w:t>307</w:t>
            </w:r>
          </w:p>
        </w:tc>
        <w:tc>
          <w:tcPr>
            <w:tcW w:w="1134" w:type="dxa"/>
            <w:tcBorders>
              <w:top w:val="nil"/>
              <w:bottom w:val="nil"/>
            </w:tcBorders>
          </w:tcPr>
          <w:p w:rsidR="00000000" w:rsidRDefault="00000000">
            <w:pPr>
              <w:tabs>
                <w:tab w:val="decimal" w:pos="317"/>
              </w:tabs>
              <w:spacing w:after="0"/>
              <w:rPr>
                <w:sz w:val="22"/>
              </w:rPr>
            </w:pPr>
            <w:r>
              <w:rPr>
                <w:sz w:val="22"/>
              </w:rPr>
              <w:t>9.51</w:t>
            </w:r>
          </w:p>
        </w:tc>
        <w:tc>
          <w:tcPr>
            <w:tcW w:w="1137" w:type="dxa"/>
            <w:tcBorders>
              <w:top w:val="nil"/>
              <w:bottom w:val="nil"/>
            </w:tcBorders>
          </w:tcPr>
          <w:p w:rsidR="00000000" w:rsidRDefault="00000000">
            <w:pPr>
              <w:tabs>
                <w:tab w:val="decimal" w:pos="371"/>
              </w:tabs>
              <w:spacing w:after="0"/>
              <w:rPr>
                <w:sz w:val="22"/>
              </w:rPr>
            </w:pPr>
            <w:r>
              <w:rPr>
                <w:sz w:val="22"/>
              </w:rPr>
              <w:t>10.43</w:t>
            </w:r>
          </w:p>
        </w:tc>
        <w:tc>
          <w:tcPr>
            <w:tcW w:w="1556" w:type="dxa"/>
            <w:tcBorders>
              <w:top w:val="nil"/>
              <w:bottom w:val="nil"/>
            </w:tcBorders>
          </w:tcPr>
          <w:p w:rsidR="00000000" w:rsidRDefault="00000000">
            <w:pPr>
              <w:tabs>
                <w:tab w:val="decimal" w:pos="601"/>
              </w:tabs>
              <w:spacing w:after="0"/>
              <w:rPr>
                <w:sz w:val="22"/>
              </w:rPr>
            </w:pPr>
            <w:r>
              <w:rPr>
                <w:sz w:val="22"/>
              </w:rPr>
              <w:t>14.73</w:t>
            </w:r>
          </w:p>
        </w:tc>
        <w:tc>
          <w:tcPr>
            <w:tcW w:w="1324" w:type="dxa"/>
            <w:tcBorders>
              <w:top w:val="nil"/>
              <w:bottom w:val="nil"/>
            </w:tcBorders>
          </w:tcPr>
          <w:p w:rsidR="00000000" w:rsidRDefault="00000000">
            <w:pPr>
              <w:spacing w:after="0"/>
              <w:ind w:right="226"/>
              <w:jc w:val="right"/>
              <w:rPr>
                <w:sz w:val="22"/>
              </w:rPr>
            </w:pPr>
            <w:r>
              <w:rPr>
                <w:sz w:val="22"/>
              </w:rPr>
              <w:t>187.27</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Butter</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5.36</w:t>
            </w:r>
          </w:p>
        </w:tc>
        <w:tc>
          <w:tcPr>
            <w:tcW w:w="1276" w:type="dxa"/>
            <w:tcBorders>
              <w:top w:val="nil"/>
              <w:bottom w:val="nil"/>
            </w:tcBorders>
          </w:tcPr>
          <w:p w:rsidR="00000000" w:rsidRDefault="00000000">
            <w:pPr>
              <w:tabs>
                <w:tab w:val="decimal" w:pos="668"/>
              </w:tabs>
              <w:spacing w:after="0"/>
              <w:rPr>
                <w:sz w:val="22"/>
              </w:rPr>
            </w:pPr>
            <w:r>
              <w:rPr>
                <w:sz w:val="22"/>
              </w:rPr>
              <w:t>14</w:t>
            </w:r>
          </w:p>
        </w:tc>
        <w:tc>
          <w:tcPr>
            <w:tcW w:w="1134" w:type="dxa"/>
            <w:tcBorders>
              <w:top w:val="nil"/>
              <w:bottom w:val="nil"/>
            </w:tcBorders>
          </w:tcPr>
          <w:p w:rsidR="00000000" w:rsidRDefault="00000000">
            <w:pPr>
              <w:tabs>
                <w:tab w:val="decimal" w:pos="317"/>
              </w:tabs>
              <w:spacing w:after="0"/>
              <w:rPr>
                <w:sz w:val="22"/>
              </w:rPr>
            </w:pPr>
            <w:r>
              <w:rPr>
                <w:sz w:val="22"/>
              </w:rPr>
              <w:t>0.11</w:t>
            </w:r>
          </w:p>
        </w:tc>
        <w:tc>
          <w:tcPr>
            <w:tcW w:w="1137" w:type="dxa"/>
            <w:tcBorders>
              <w:top w:val="nil"/>
              <w:bottom w:val="nil"/>
            </w:tcBorders>
          </w:tcPr>
          <w:p w:rsidR="00000000" w:rsidRDefault="00000000">
            <w:pPr>
              <w:tabs>
                <w:tab w:val="decimal" w:pos="371"/>
              </w:tabs>
              <w:spacing w:after="0"/>
              <w:rPr>
                <w:sz w:val="22"/>
              </w:rPr>
            </w:pPr>
            <w:r>
              <w:rPr>
                <w:sz w:val="22"/>
              </w:rPr>
              <w:t>11.67</w:t>
            </w:r>
          </w:p>
        </w:tc>
        <w:tc>
          <w:tcPr>
            <w:tcW w:w="1556" w:type="dxa"/>
            <w:tcBorders>
              <w:top w:val="nil"/>
              <w:bottom w:val="nil"/>
            </w:tcBorders>
          </w:tcPr>
          <w:p w:rsidR="00000000" w:rsidRDefault="00000000">
            <w:pPr>
              <w:tabs>
                <w:tab w:val="decimal" w:pos="601"/>
              </w:tabs>
              <w:spacing w:after="0"/>
              <w:rPr>
                <w:sz w:val="22"/>
              </w:rPr>
            </w:pPr>
            <w:r>
              <w:rPr>
                <w:sz w:val="22"/>
              </w:rPr>
              <w:t>0.15</w:t>
            </w:r>
          </w:p>
        </w:tc>
        <w:tc>
          <w:tcPr>
            <w:tcW w:w="1324" w:type="dxa"/>
            <w:tcBorders>
              <w:top w:val="nil"/>
              <w:bottom w:val="nil"/>
            </w:tcBorders>
          </w:tcPr>
          <w:p w:rsidR="00000000" w:rsidRDefault="00000000">
            <w:pPr>
              <w:spacing w:after="0"/>
              <w:ind w:right="226"/>
              <w:jc w:val="right"/>
              <w:rPr>
                <w:sz w:val="22"/>
              </w:rPr>
            </w:pPr>
            <w:r>
              <w:rPr>
                <w:sz w:val="22"/>
              </w:rPr>
              <w:t>106.12</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Cheese</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17.75</w:t>
            </w:r>
          </w:p>
        </w:tc>
        <w:tc>
          <w:tcPr>
            <w:tcW w:w="1276" w:type="dxa"/>
            <w:tcBorders>
              <w:top w:val="nil"/>
              <w:bottom w:val="nil"/>
            </w:tcBorders>
          </w:tcPr>
          <w:p w:rsidR="00000000" w:rsidRDefault="00000000">
            <w:pPr>
              <w:tabs>
                <w:tab w:val="decimal" w:pos="668"/>
              </w:tabs>
              <w:spacing w:after="0"/>
              <w:rPr>
                <w:sz w:val="22"/>
              </w:rPr>
            </w:pPr>
            <w:r>
              <w:rPr>
                <w:sz w:val="22"/>
              </w:rPr>
              <w:t>48</w:t>
            </w:r>
          </w:p>
        </w:tc>
        <w:tc>
          <w:tcPr>
            <w:tcW w:w="1134" w:type="dxa"/>
            <w:tcBorders>
              <w:top w:val="nil"/>
              <w:bottom w:val="nil"/>
            </w:tcBorders>
          </w:tcPr>
          <w:p w:rsidR="00000000" w:rsidRDefault="00000000">
            <w:pPr>
              <w:tabs>
                <w:tab w:val="decimal" w:pos="317"/>
              </w:tabs>
              <w:spacing w:after="0"/>
              <w:rPr>
                <w:sz w:val="22"/>
              </w:rPr>
            </w:pPr>
            <w:r>
              <w:rPr>
                <w:sz w:val="22"/>
              </w:rPr>
              <w:t>5.37</w:t>
            </w:r>
          </w:p>
        </w:tc>
        <w:tc>
          <w:tcPr>
            <w:tcW w:w="1137" w:type="dxa"/>
            <w:tcBorders>
              <w:top w:val="nil"/>
              <w:bottom w:val="nil"/>
            </w:tcBorders>
          </w:tcPr>
          <w:p w:rsidR="00000000" w:rsidRDefault="00000000">
            <w:pPr>
              <w:tabs>
                <w:tab w:val="decimal" w:pos="371"/>
              </w:tabs>
              <w:spacing w:after="0"/>
              <w:rPr>
                <w:sz w:val="22"/>
              </w:rPr>
            </w:pPr>
            <w:r>
              <w:rPr>
                <w:sz w:val="22"/>
              </w:rPr>
              <w:t>12.91</w:t>
            </w:r>
          </w:p>
        </w:tc>
        <w:tc>
          <w:tcPr>
            <w:tcW w:w="1556" w:type="dxa"/>
            <w:tcBorders>
              <w:top w:val="nil"/>
              <w:bottom w:val="nil"/>
            </w:tcBorders>
          </w:tcPr>
          <w:p w:rsidR="00000000" w:rsidRDefault="00000000">
            <w:pPr>
              <w:tabs>
                <w:tab w:val="decimal" w:pos="601"/>
              </w:tabs>
              <w:spacing w:after="0"/>
              <w:rPr>
                <w:sz w:val="22"/>
              </w:rPr>
            </w:pPr>
            <w:r>
              <w:rPr>
                <w:sz w:val="22"/>
              </w:rPr>
              <w:t>2.88</w:t>
            </w:r>
          </w:p>
        </w:tc>
        <w:tc>
          <w:tcPr>
            <w:tcW w:w="1324" w:type="dxa"/>
            <w:tcBorders>
              <w:top w:val="nil"/>
              <w:bottom w:val="nil"/>
            </w:tcBorders>
          </w:tcPr>
          <w:p w:rsidR="00000000" w:rsidRDefault="00000000">
            <w:pPr>
              <w:spacing w:after="0"/>
              <w:ind w:right="226"/>
              <w:jc w:val="right"/>
              <w:rPr>
                <w:sz w:val="22"/>
              </w:rPr>
            </w:pPr>
            <w:r>
              <w:rPr>
                <w:sz w:val="22"/>
              </w:rPr>
              <w:t>148.32</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Eggs</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154.44</w:t>
            </w:r>
          </w:p>
        </w:tc>
        <w:tc>
          <w:tcPr>
            <w:tcW w:w="1276" w:type="dxa"/>
            <w:tcBorders>
              <w:top w:val="nil"/>
              <w:bottom w:val="nil"/>
            </w:tcBorders>
          </w:tcPr>
          <w:p w:rsidR="00000000" w:rsidRDefault="00000000">
            <w:pPr>
              <w:tabs>
                <w:tab w:val="decimal" w:pos="668"/>
              </w:tabs>
              <w:spacing w:after="0"/>
              <w:rPr>
                <w:sz w:val="22"/>
              </w:rPr>
            </w:pPr>
            <w:r>
              <w:rPr>
                <w:sz w:val="22"/>
              </w:rPr>
              <w:t>37.6</w:t>
            </w:r>
          </w:p>
        </w:tc>
        <w:tc>
          <w:tcPr>
            <w:tcW w:w="1134" w:type="dxa"/>
            <w:tcBorders>
              <w:top w:val="nil"/>
              <w:bottom w:val="nil"/>
            </w:tcBorders>
          </w:tcPr>
          <w:p w:rsidR="00000000" w:rsidRDefault="00000000">
            <w:pPr>
              <w:tabs>
                <w:tab w:val="decimal" w:pos="317"/>
              </w:tabs>
              <w:spacing w:after="0"/>
              <w:rPr>
                <w:sz w:val="22"/>
              </w:rPr>
            </w:pPr>
            <w:r>
              <w:rPr>
                <w:sz w:val="22"/>
              </w:rPr>
              <w:t>4.88</w:t>
            </w:r>
          </w:p>
        </w:tc>
        <w:tc>
          <w:tcPr>
            <w:tcW w:w="1137" w:type="dxa"/>
            <w:tcBorders>
              <w:top w:val="nil"/>
              <w:bottom w:val="nil"/>
            </w:tcBorders>
          </w:tcPr>
          <w:p w:rsidR="00000000" w:rsidRDefault="00000000">
            <w:pPr>
              <w:tabs>
                <w:tab w:val="decimal" w:pos="371"/>
              </w:tabs>
              <w:spacing w:after="0"/>
              <w:rPr>
                <w:sz w:val="22"/>
              </w:rPr>
            </w:pPr>
            <w:r>
              <w:rPr>
                <w:sz w:val="22"/>
              </w:rPr>
              <w:t>4.17</w:t>
            </w:r>
          </w:p>
        </w:tc>
        <w:tc>
          <w:tcPr>
            <w:tcW w:w="1556" w:type="dxa"/>
            <w:tcBorders>
              <w:top w:val="nil"/>
              <w:bottom w:val="nil"/>
            </w:tcBorders>
          </w:tcPr>
          <w:p w:rsidR="00000000" w:rsidRDefault="00000000">
            <w:pPr>
              <w:tabs>
                <w:tab w:val="decimal" w:pos="601"/>
              </w:tabs>
              <w:spacing w:after="0"/>
              <w:rPr>
                <w:sz w:val="22"/>
              </w:rPr>
            </w:pPr>
            <w:r>
              <w:rPr>
                <w:sz w:val="22"/>
              </w:rPr>
              <w:t>0.37</w:t>
            </w:r>
          </w:p>
        </w:tc>
        <w:tc>
          <w:tcPr>
            <w:tcW w:w="1324" w:type="dxa"/>
            <w:tcBorders>
              <w:top w:val="nil"/>
              <w:bottom w:val="nil"/>
            </w:tcBorders>
          </w:tcPr>
          <w:p w:rsidR="00000000" w:rsidRDefault="00000000">
            <w:pPr>
              <w:spacing w:after="0"/>
              <w:ind w:right="226"/>
              <w:jc w:val="right"/>
              <w:rPr>
                <w:sz w:val="22"/>
              </w:rPr>
            </w:pPr>
            <w:r>
              <w:rPr>
                <w:sz w:val="22"/>
              </w:rPr>
              <w:t>58.65</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Vegetable oil</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16.86</w:t>
            </w:r>
          </w:p>
        </w:tc>
        <w:tc>
          <w:tcPr>
            <w:tcW w:w="1276" w:type="dxa"/>
            <w:tcBorders>
              <w:top w:val="nil"/>
              <w:bottom w:val="nil"/>
            </w:tcBorders>
          </w:tcPr>
          <w:p w:rsidR="00000000" w:rsidRDefault="00000000">
            <w:pPr>
              <w:tabs>
                <w:tab w:val="decimal" w:pos="668"/>
              </w:tabs>
              <w:spacing w:after="0"/>
              <w:rPr>
                <w:sz w:val="22"/>
              </w:rPr>
            </w:pPr>
            <w:r>
              <w:rPr>
                <w:sz w:val="22"/>
              </w:rPr>
              <w:t>46</w:t>
            </w:r>
          </w:p>
        </w:tc>
        <w:tc>
          <w:tcPr>
            <w:tcW w:w="1134" w:type="dxa"/>
            <w:tcBorders>
              <w:top w:val="nil"/>
              <w:bottom w:val="nil"/>
            </w:tcBorders>
          </w:tcPr>
          <w:p w:rsidR="00000000" w:rsidRDefault="00000000">
            <w:pPr>
              <w:tabs>
                <w:tab w:val="decimal" w:pos="317"/>
              </w:tabs>
              <w:spacing w:after="0"/>
              <w:rPr>
                <w:sz w:val="22"/>
              </w:rPr>
            </w:pPr>
            <w:r>
              <w:rPr>
                <w:sz w:val="22"/>
              </w:rPr>
              <w:t>0</w:t>
            </w:r>
          </w:p>
        </w:tc>
        <w:tc>
          <w:tcPr>
            <w:tcW w:w="1137" w:type="dxa"/>
            <w:tcBorders>
              <w:top w:val="nil"/>
              <w:bottom w:val="nil"/>
            </w:tcBorders>
          </w:tcPr>
          <w:p w:rsidR="00000000" w:rsidRDefault="00000000">
            <w:pPr>
              <w:tabs>
                <w:tab w:val="decimal" w:pos="371"/>
              </w:tabs>
              <w:spacing w:after="0"/>
              <w:rPr>
                <w:sz w:val="22"/>
              </w:rPr>
            </w:pPr>
            <w:r>
              <w:rPr>
                <w:sz w:val="22"/>
              </w:rPr>
              <w:t>46.0</w:t>
            </w:r>
          </w:p>
        </w:tc>
        <w:tc>
          <w:tcPr>
            <w:tcW w:w="1556" w:type="dxa"/>
            <w:tcBorders>
              <w:top w:val="nil"/>
              <w:bottom w:val="nil"/>
            </w:tcBorders>
          </w:tcPr>
          <w:p w:rsidR="00000000" w:rsidRDefault="00000000">
            <w:pPr>
              <w:tabs>
                <w:tab w:val="decimal" w:pos="601"/>
              </w:tabs>
              <w:spacing w:after="0"/>
              <w:rPr>
                <w:sz w:val="22"/>
              </w:rPr>
            </w:pPr>
            <w:r>
              <w:rPr>
                <w:sz w:val="22"/>
              </w:rPr>
              <w:t>0</w:t>
            </w:r>
          </w:p>
        </w:tc>
        <w:tc>
          <w:tcPr>
            <w:tcW w:w="1324" w:type="dxa"/>
            <w:tcBorders>
              <w:top w:val="nil"/>
              <w:bottom w:val="nil"/>
            </w:tcBorders>
          </w:tcPr>
          <w:p w:rsidR="00000000" w:rsidRDefault="00000000">
            <w:pPr>
              <w:spacing w:after="0"/>
              <w:ind w:right="226"/>
              <w:jc w:val="right"/>
              <w:rPr>
                <w:sz w:val="22"/>
              </w:rPr>
            </w:pPr>
            <w:r>
              <w:rPr>
                <w:sz w:val="22"/>
              </w:rPr>
              <w:t>414.0</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Sugar</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16.57</w:t>
            </w:r>
          </w:p>
        </w:tc>
        <w:tc>
          <w:tcPr>
            <w:tcW w:w="1276" w:type="dxa"/>
            <w:tcBorders>
              <w:top w:val="nil"/>
              <w:bottom w:val="nil"/>
            </w:tcBorders>
          </w:tcPr>
          <w:p w:rsidR="00000000" w:rsidRDefault="00000000">
            <w:pPr>
              <w:tabs>
                <w:tab w:val="decimal" w:pos="668"/>
              </w:tabs>
              <w:spacing w:after="0"/>
              <w:rPr>
                <w:sz w:val="22"/>
              </w:rPr>
            </w:pPr>
            <w:r>
              <w:rPr>
                <w:sz w:val="22"/>
              </w:rPr>
              <w:t>45</w:t>
            </w:r>
          </w:p>
        </w:tc>
        <w:tc>
          <w:tcPr>
            <w:tcW w:w="1134" w:type="dxa"/>
            <w:tcBorders>
              <w:top w:val="nil"/>
              <w:bottom w:val="nil"/>
            </w:tcBorders>
          </w:tcPr>
          <w:p w:rsidR="00000000" w:rsidRDefault="00000000">
            <w:pPr>
              <w:tabs>
                <w:tab w:val="decimal" w:pos="317"/>
              </w:tabs>
              <w:spacing w:after="0"/>
              <w:rPr>
                <w:sz w:val="22"/>
              </w:rPr>
            </w:pPr>
            <w:r>
              <w:rPr>
                <w:sz w:val="22"/>
              </w:rPr>
              <w:t>0</w:t>
            </w:r>
          </w:p>
        </w:tc>
        <w:tc>
          <w:tcPr>
            <w:tcW w:w="1137" w:type="dxa"/>
            <w:tcBorders>
              <w:top w:val="nil"/>
              <w:bottom w:val="nil"/>
            </w:tcBorders>
          </w:tcPr>
          <w:p w:rsidR="00000000" w:rsidRDefault="00000000">
            <w:pPr>
              <w:tabs>
                <w:tab w:val="decimal" w:pos="371"/>
              </w:tabs>
              <w:spacing w:after="0"/>
              <w:rPr>
                <w:sz w:val="22"/>
              </w:rPr>
            </w:pPr>
            <w:r>
              <w:rPr>
                <w:sz w:val="22"/>
              </w:rPr>
              <w:t>0</w:t>
            </w:r>
          </w:p>
        </w:tc>
        <w:tc>
          <w:tcPr>
            <w:tcW w:w="1556" w:type="dxa"/>
            <w:tcBorders>
              <w:top w:val="nil"/>
              <w:bottom w:val="nil"/>
            </w:tcBorders>
          </w:tcPr>
          <w:p w:rsidR="00000000" w:rsidRDefault="00000000">
            <w:pPr>
              <w:tabs>
                <w:tab w:val="decimal" w:pos="601"/>
              </w:tabs>
              <w:spacing w:after="0"/>
              <w:rPr>
                <w:sz w:val="22"/>
              </w:rPr>
            </w:pPr>
            <w:r>
              <w:rPr>
                <w:sz w:val="22"/>
              </w:rPr>
              <w:t>46.8</w:t>
            </w:r>
          </w:p>
        </w:tc>
        <w:tc>
          <w:tcPr>
            <w:tcW w:w="1324" w:type="dxa"/>
            <w:tcBorders>
              <w:top w:val="nil"/>
              <w:bottom w:val="nil"/>
            </w:tcBorders>
          </w:tcPr>
          <w:p w:rsidR="00000000" w:rsidRDefault="00000000">
            <w:pPr>
              <w:spacing w:after="0"/>
              <w:ind w:right="226"/>
              <w:jc w:val="right"/>
              <w:rPr>
                <w:sz w:val="22"/>
              </w:rPr>
            </w:pPr>
            <w:r>
              <w:rPr>
                <w:sz w:val="22"/>
              </w:rPr>
              <w:t>176.40</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Bread</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179.88</w:t>
            </w:r>
          </w:p>
        </w:tc>
        <w:tc>
          <w:tcPr>
            <w:tcW w:w="1276" w:type="dxa"/>
            <w:tcBorders>
              <w:top w:val="nil"/>
              <w:bottom w:val="nil"/>
            </w:tcBorders>
          </w:tcPr>
          <w:p w:rsidR="00000000" w:rsidRDefault="00000000">
            <w:pPr>
              <w:tabs>
                <w:tab w:val="decimal" w:pos="668"/>
              </w:tabs>
              <w:spacing w:after="0"/>
              <w:rPr>
                <w:sz w:val="22"/>
              </w:rPr>
            </w:pPr>
            <w:r>
              <w:rPr>
                <w:sz w:val="22"/>
              </w:rPr>
              <w:t>492.8</w:t>
            </w:r>
          </w:p>
        </w:tc>
        <w:tc>
          <w:tcPr>
            <w:tcW w:w="1134" w:type="dxa"/>
            <w:tcBorders>
              <w:top w:val="nil"/>
              <w:bottom w:val="nil"/>
            </w:tcBorders>
          </w:tcPr>
          <w:p w:rsidR="00000000" w:rsidRDefault="00000000">
            <w:pPr>
              <w:tabs>
                <w:tab w:val="decimal" w:pos="317"/>
              </w:tabs>
              <w:spacing w:after="0"/>
              <w:rPr>
                <w:sz w:val="22"/>
              </w:rPr>
            </w:pPr>
            <w:r>
              <w:rPr>
                <w:sz w:val="22"/>
              </w:rPr>
              <w:t>36.96</w:t>
            </w:r>
          </w:p>
        </w:tc>
        <w:tc>
          <w:tcPr>
            <w:tcW w:w="1137" w:type="dxa"/>
            <w:tcBorders>
              <w:top w:val="nil"/>
              <w:bottom w:val="nil"/>
            </w:tcBorders>
          </w:tcPr>
          <w:p w:rsidR="00000000" w:rsidRDefault="00000000">
            <w:pPr>
              <w:tabs>
                <w:tab w:val="decimal" w:pos="371"/>
              </w:tabs>
              <w:spacing w:after="0"/>
              <w:rPr>
                <w:sz w:val="22"/>
              </w:rPr>
            </w:pPr>
            <w:r>
              <w:rPr>
                <w:sz w:val="22"/>
              </w:rPr>
              <w:t>6.4</w:t>
            </w:r>
          </w:p>
        </w:tc>
        <w:tc>
          <w:tcPr>
            <w:tcW w:w="1556" w:type="dxa"/>
            <w:tcBorders>
              <w:top w:val="nil"/>
              <w:bottom w:val="nil"/>
            </w:tcBorders>
          </w:tcPr>
          <w:p w:rsidR="00000000" w:rsidRDefault="00000000">
            <w:pPr>
              <w:tabs>
                <w:tab w:val="decimal" w:pos="601"/>
              </w:tabs>
              <w:spacing w:after="0"/>
              <w:rPr>
                <w:sz w:val="22"/>
              </w:rPr>
            </w:pPr>
            <w:r>
              <w:rPr>
                <w:sz w:val="22"/>
              </w:rPr>
              <w:t>265.12</w:t>
            </w:r>
          </w:p>
        </w:tc>
        <w:tc>
          <w:tcPr>
            <w:tcW w:w="1324" w:type="dxa"/>
            <w:tcBorders>
              <w:top w:val="nil"/>
              <w:bottom w:val="nil"/>
            </w:tcBorders>
          </w:tcPr>
          <w:p w:rsidR="00000000" w:rsidRDefault="00000000">
            <w:pPr>
              <w:spacing w:after="0"/>
              <w:ind w:right="226"/>
              <w:jc w:val="right"/>
              <w:rPr>
                <w:sz w:val="22"/>
              </w:rPr>
            </w:pPr>
            <w:r>
              <w:rPr>
                <w:sz w:val="22"/>
              </w:rPr>
              <w:t>1 197.50</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Fruits</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29.53</w:t>
            </w:r>
          </w:p>
        </w:tc>
        <w:tc>
          <w:tcPr>
            <w:tcW w:w="1276" w:type="dxa"/>
            <w:tcBorders>
              <w:top w:val="nil"/>
              <w:bottom w:val="nil"/>
            </w:tcBorders>
          </w:tcPr>
          <w:p w:rsidR="00000000" w:rsidRDefault="00000000">
            <w:pPr>
              <w:tabs>
                <w:tab w:val="decimal" w:pos="668"/>
              </w:tabs>
              <w:spacing w:after="0"/>
              <w:rPr>
                <w:sz w:val="22"/>
              </w:rPr>
            </w:pPr>
            <w:r>
              <w:rPr>
                <w:sz w:val="22"/>
              </w:rPr>
              <w:t>80</w:t>
            </w:r>
          </w:p>
        </w:tc>
        <w:tc>
          <w:tcPr>
            <w:tcW w:w="1134" w:type="dxa"/>
            <w:tcBorders>
              <w:top w:val="nil"/>
              <w:bottom w:val="nil"/>
            </w:tcBorders>
          </w:tcPr>
          <w:p w:rsidR="00000000" w:rsidRDefault="00000000">
            <w:pPr>
              <w:tabs>
                <w:tab w:val="decimal" w:pos="317"/>
              </w:tabs>
              <w:spacing w:after="0"/>
              <w:rPr>
                <w:sz w:val="22"/>
              </w:rPr>
            </w:pPr>
            <w:r>
              <w:rPr>
                <w:sz w:val="22"/>
              </w:rPr>
              <w:t>0.6</w:t>
            </w:r>
          </w:p>
        </w:tc>
        <w:tc>
          <w:tcPr>
            <w:tcW w:w="1137" w:type="dxa"/>
            <w:tcBorders>
              <w:top w:val="nil"/>
              <w:bottom w:val="nil"/>
            </w:tcBorders>
          </w:tcPr>
          <w:p w:rsidR="00000000" w:rsidRDefault="00000000">
            <w:pPr>
              <w:tabs>
                <w:tab w:val="decimal" w:pos="371"/>
              </w:tabs>
              <w:spacing w:after="0"/>
              <w:rPr>
                <w:sz w:val="22"/>
              </w:rPr>
            </w:pPr>
            <w:r>
              <w:rPr>
                <w:sz w:val="22"/>
              </w:rPr>
              <w:t>0.16</w:t>
            </w:r>
          </w:p>
        </w:tc>
        <w:tc>
          <w:tcPr>
            <w:tcW w:w="1556" w:type="dxa"/>
            <w:tcBorders>
              <w:top w:val="nil"/>
              <w:bottom w:val="nil"/>
            </w:tcBorders>
          </w:tcPr>
          <w:p w:rsidR="00000000" w:rsidRDefault="00000000">
            <w:pPr>
              <w:tabs>
                <w:tab w:val="decimal" w:pos="601"/>
              </w:tabs>
              <w:spacing w:after="0"/>
              <w:rPr>
                <w:sz w:val="22"/>
              </w:rPr>
            </w:pPr>
            <w:r>
              <w:rPr>
                <w:sz w:val="22"/>
              </w:rPr>
              <w:t>8.64</w:t>
            </w:r>
          </w:p>
        </w:tc>
        <w:tc>
          <w:tcPr>
            <w:tcW w:w="1324" w:type="dxa"/>
            <w:tcBorders>
              <w:top w:val="nil"/>
              <w:bottom w:val="nil"/>
            </w:tcBorders>
          </w:tcPr>
          <w:p w:rsidR="00000000" w:rsidRDefault="00000000">
            <w:pPr>
              <w:spacing w:after="0"/>
              <w:ind w:right="226"/>
              <w:jc w:val="right"/>
              <w:rPr>
                <w:sz w:val="22"/>
              </w:rPr>
            </w:pPr>
            <w:r>
              <w:rPr>
                <w:sz w:val="22"/>
              </w:rPr>
              <w:t>39.04</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Potatoes</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29.13</w:t>
            </w:r>
          </w:p>
        </w:tc>
        <w:tc>
          <w:tcPr>
            <w:tcW w:w="1276" w:type="dxa"/>
            <w:tcBorders>
              <w:top w:val="nil"/>
              <w:bottom w:val="nil"/>
            </w:tcBorders>
          </w:tcPr>
          <w:p w:rsidR="00000000" w:rsidRDefault="00000000">
            <w:pPr>
              <w:tabs>
                <w:tab w:val="decimal" w:pos="668"/>
              </w:tabs>
              <w:spacing w:after="0"/>
              <w:rPr>
                <w:sz w:val="22"/>
              </w:rPr>
            </w:pPr>
            <w:r>
              <w:rPr>
                <w:sz w:val="22"/>
              </w:rPr>
              <w:t>79</w:t>
            </w:r>
          </w:p>
        </w:tc>
        <w:tc>
          <w:tcPr>
            <w:tcW w:w="1134" w:type="dxa"/>
            <w:tcBorders>
              <w:top w:val="nil"/>
              <w:bottom w:val="nil"/>
            </w:tcBorders>
          </w:tcPr>
          <w:p w:rsidR="00000000" w:rsidRDefault="00000000">
            <w:pPr>
              <w:tabs>
                <w:tab w:val="decimal" w:pos="317"/>
              </w:tabs>
              <w:spacing w:after="0"/>
              <w:rPr>
                <w:sz w:val="22"/>
              </w:rPr>
            </w:pPr>
            <w:r>
              <w:rPr>
                <w:sz w:val="22"/>
              </w:rPr>
              <w:t>1.58</w:t>
            </w:r>
          </w:p>
        </w:tc>
        <w:tc>
          <w:tcPr>
            <w:tcW w:w="1137" w:type="dxa"/>
            <w:tcBorders>
              <w:top w:val="nil"/>
              <w:bottom w:val="nil"/>
            </w:tcBorders>
          </w:tcPr>
          <w:p w:rsidR="00000000" w:rsidRDefault="00000000">
            <w:pPr>
              <w:tabs>
                <w:tab w:val="decimal" w:pos="371"/>
              </w:tabs>
              <w:spacing w:after="0"/>
              <w:rPr>
                <w:sz w:val="22"/>
              </w:rPr>
            </w:pPr>
            <w:r>
              <w:rPr>
                <w:sz w:val="22"/>
              </w:rPr>
              <w:t>0.07</w:t>
            </w:r>
          </w:p>
        </w:tc>
        <w:tc>
          <w:tcPr>
            <w:tcW w:w="1556" w:type="dxa"/>
            <w:tcBorders>
              <w:top w:val="nil"/>
              <w:bottom w:val="nil"/>
            </w:tcBorders>
          </w:tcPr>
          <w:p w:rsidR="00000000" w:rsidRDefault="00000000">
            <w:pPr>
              <w:tabs>
                <w:tab w:val="decimal" w:pos="601"/>
              </w:tabs>
              <w:spacing w:after="0"/>
              <w:rPr>
                <w:sz w:val="22"/>
              </w:rPr>
            </w:pPr>
            <w:r>
              <w:rPr>
                <w:sz w:val="22"/>
              </w:rPr>
              <w:t>12.64</w:t>
            </w:r>
          </w:p>
        </w:tc>
        <w:tc>
          <w:tcPr>
            <w:tcW w:w="1324" w:type="dxa"/>
            <w:tcBorders>
              <w:top w:val="nil"/>
              <w:bottom w:val="nil"/>
            </w:tcBorders>
          </w:tcPr>
          <w:p w:rsidR="00000000" w:rsidRDefault="00000000">
            <w:pPr>
              <w:spacing w:after="0"/>
              <w:ind w:right="226"/>
              <w:jc w:val="right"/>
              <w:rPr>
                <w:sz w:val="22"/>
              </w:rPr>
            </w:pPr>
            <w:r>
              <w:rPr>
                <w:sz w:val="22"/>
              </w:rPr>
              <w:t>59.25</w:t>
            </w:r>
          </w:p>
        </w:tc>
      </w:tr>
      <w:tr w:rsidR="00000000">
        <w:tblPrEx>
          <w:tblCellMar>
            <w:top w:w="0" w:type="dxa"/>
            <w:bottom w:w="0" w:type="dxa"/>
          </w:tblCellMar>
        </w:tblPrEx>
        <w:tc>
          <w:tcPr>
            <w:tcW w:w="1417" w:type="dxa"/>
            <w:tcBorders>
              <w:top w:val="nil"/>
              <w:bottom w:val="nil"/>
            </w:tcBorders>
          </w:tcPr>
          <w:p w:rsidR="00000000" w:rsidRDefault="00000000">
            <w:pPr>
              <w:spacing w:after="0"/>
              <w:rPr>
                <w:sz w:val="22"/>
              </w:rPr>
            </w:pPr>
            <w:r>
              <w:rPr>
                <w:sz w:val="22"/>
              </w:rPr>
              <w:t>Vegetables</w:t>
            </w:r>
          </w:p>
        </w:tc>
        <w:tc>
          <w:tcPr>
            <w:tcW w:w="1276" w:type="dxa"/>
            <w:tcBorders>
              <w:top w:val="nil"/>
              <w:bottom w:val="nil"/>
            </w:tcBorders>
          </w:tcPr>
          <w:p w:rsidR="00000000" w:rsidRDefault="00000000">
            <w:pPr>
              <w:pStyle w:val="Header"/>
              <w:tabs>
                <w:tab w:val="clear" w:pos="4320"/>
                <w:tab w:val="clear" w:pos="8640"/>
                <w:tab w:val="decimal" w:pos="601"/>
              </w:tabs>
              <w:spacing w:after="0"/>
              <w:rPr>
                <w:sz w:val="22"/>
              </w:rPr>
            </w:pPr>
            <w:r>
              <w:rPr>
                <w:sz w:val="22"/>
              </w:rPr>
              <w:t>110</w:t>
            </w:r>
          </w:p>
        </w:tc>
        <w:tc>
          <w:tcPr>
            <w:tcW w:w="1276" w:type="dxa"/>
            <w:tcBorders>
              <w:top w:val="nil"/>
              <w:bottom w:val="nil"/>
            </w:tcBorders>
          </w:tcPr>
          <w:p w:rsidR="00000000" w:rsidRDefault="00000000">
            <w:pPr>
              <w:tabs>
                <w:tab w:val="decimal" w:pos="668"/>
              </w:tabs>
              <w:spacing w:after="0"/>
              <w:rPr>
                <w:sz w:val="22"/>
              </w:rPr>
            </w:pPr>
            <w:r>
              <w:rPr>
                <w:sz w:val="22"/>
              </w:rPr>
              <w:t>301</w:t>
            </w:r>
          </w:p>
        </w:tc>
        <w:tc>
          <w:tcPr>
            <w:tcW w:w="1134" w:type="dxa"/>
            <w:tcBorders>
              <w:top w:val="nil"/>
              <w:bottom w:val="nil"/>
            </w:tcBorders>
          </w:tcPr>
          <w:p w:rsidR="00000000" w:rsidRDefault="00000000">
            <w:pPr>
              <w:tabs>
                <w:tab w:val="decimal" w:pos="317"/>
              </w:tabs>
              <w:spacing w:after="0"/>
              <w:rPr>
                <w:sz w:val="22"/>
              </w:rPr>
            </w:pPr>
            <w:r>
              <w:rPr>
                <w:sz w:val="22"/>
              </w:rPr>
              <w:t>7.52</w:t>
            </w:r>
          </w:p>
        </w:tc>
        <w:tc>
          <w:tcPr>
            <w:tcW w:w="1137" w:type="dxa"/>
            <w:tcBorders>
              <w:top w:val="nil"/>
              <w:bottom w:val="nil"/>
            </w:tcBorders>
          </w:tcPr>
          <w:p w:rsidR="00000000" w:rsidRDefault="00000000">
            <w:pPr>
              <w:tabs>
                <w:tab w:val="decimal" w:pos="371"/>
              </w:tabs>
              <w:spacing w:after="0"/>
              <w:rPr>
                <w:sz w:val="22"/>
              </w:rPr>
            </w:pPr>
            <w:r>
              <w:rPr>
                <w:sz w:val="22"/>
              </w:rPr>
              <w:t>0.75</w:t>
            </w:r>
          </w:p>
        </w:tc>
        <w:tc>
          <w:tcPr>
            <w:tcW w:w="1556" w:type="dxa"/>
            <w:tcBorders>
              <w:top w:val="nil"/>
              <w:bottom w:val="nil"/>
            </w:tcBorders>
          </w:tcPr>
          <w:p w:rsidR="00000000" w:rsidRDefault="00000000">
            <w:pPr>
              <w:tabs>
                <w:tab w:val="decimal" w:pos="601"/>
              </w:tabs>
              <w:spacing w:after="0"/>
              <w:rPr>
                <w:sz w:val="22"/>
              </w:rPr>
            </w:pPr>
            <w:r>
              <w:rPr>
                <w:sz w:val="22"/>
              </w:rPr>
              <w:t>-</w:t>
            </w:r>
          </w:p>
        </w:tc>
        <w:tc>
          <w:tcPr>
            <w:tcW w:w="1324" w:type="dxa"/>
            <w:tcBorders>
              <w:top w:val="nil"/>
              <w:bottom w:val="nil"/>
            </w:tcBorders>
          </w:tcPr>
          <w:p w:rsidR="00000000" w:rsidRDefault="00000000">
            <w:pPr>
              <w:spacing w:after="0"/>
              <w:ind w:right="226"/>
              <w:jc w:val="right"/>
              <w:rPr>
                <w:sz w:val="22"/>
              </w:rPr>
            </w:pPr>
            <w:r>
              <w:rPr>
                <w:sz w:val="22"/>
              </w:rPr>
              <w:t>78.26</w:t>
            </w:r>
          </w:p>
        </w:tc>
      </w:tr>
      <w:tr w:rsidR="00000000">
        <w:tblPrEx>
          <w:tblCellMar>
            <w:top w:w="0" w:type="dxa"/>
            <w:bottom w:w="0" w:type="dxa"/>
          </w:tblCellMar>
        </w:tblPrEx>
        <w:tc>
          <w:tcPr>
            <w:tcW w:w="1417" w:type="dxa"/>
            <w:tcBorders>
              <w:top w:val="nil"/>
              <w:bottom w:val="single" w:sz="4" w:space="0" w:color="auto"/>
            </w:tcBorders>
          </w:tcPr>
          <w:p w:rsidR="00000000" w:rsidRDefault="00000000">
            <w:pPr>
              <w:spacing w:after="0"/>
              <w:rPr>
                <w:sz w:val="22"/>
              </w:rPr>
            </w:pPr>
            <w:r>
              <w:rPr>
                <w:sz w:val="22"/>
              </w:rPr>
              <w:t>Legumes</w:t>
            </w:r>
          </w:p>
        </w:tc>
        <w:tc>
          <w:tcPr>
            <w:tcW w:w="1276" w:type="dxa"/>
            <w:tcBorders>
              <w:top w:val="nil"/>
              <w:bottom w:val="single" w:sz="4" w:space="0" w:color="auto"/>
            </w:tcBorders>
          </w:tcPr>
          <w:p w:rsidR="00000000" w:rsidRDefault="00000000">
            <w:pPr>
              <w:pStyle w:val="Header"/>
              <w:tabs>
                <w:tab w:val="clear" w:pos="4320"/>
                <w:tab w:val="clear" w:pos="8640"/>
                <w:tab w:val="decimal" w:pos="601"/>
              </w:tabs>
              <w:spacing w:after="0"/>
              <w:rPr>
                <w:sz w:val="22"/>
              </w:rPr>
            </w:pPr>
            <w:r>
              <w:rPr>
                <w:sz w:val="22"/>
              </w:rPr>
              <w:t>9.86</w:t>
            </w:r>
          </w:p>
        </w:tc>
        <w:tc>
          <w:tcPr>
            <w:tcW w:w="1276" w:type="dxa"/>
            <w:tcBorders>
              <w:top w:val="nil"/>
              <w:bottom w:val="single" w:sz="4" w:space="0" w:color="auto"/>
            </w:tcBorders>
          </w:tcPr>
          <w:p w:rsidR="00000000" w:rsidRDefault="00000000">
            <w:pPr>
              <w:tabs>
                <w:tab w:val="decimal" w:pos="668"/>
              </w:tabs>
              <w:spacing w:after="0"/>
              <w:rPr>
                <w:sz w:val="22"/>
              </w:rPr>
            </w:pPr>
            <w:r>
              <w:rPr>
                <w:sz w:val="22"/>
              </w:rPr>
              <w:t>26</w:t>
            </w:r>
          </w:p>
        </w:tc>
        <w:tc>
          <w:tcPr>
            <w:tcW w:w="1134" w:type="dxa"/>
            <w:tcBorders>
              <w:top w:val="nil"/>
              <w:bottom w:val="single" w:sz="4" w:space="0" w:color="auto"/>
            </w:tcBorders>
          </w:tcPr>
          <w:p w:rsidR="00000000" w:rsidRDefault="00000000">
            <w:pPr>
              <w:tabs>
                <w:tab w:val="decimal" w:pos="317"/>
              </w:tabs>
              <w:spacing w:after="0"/>
              <w:rPr>
                <w:sz w:val="22"/>
              </w:rPr>
            </w:pPr>
            <w:r>
              <w:rPr>
                <w:sz w:val="22"/>
              </w:rPr>
              <w:t>6.13</w:t>
            </w:r>
          </w:p>
        </w:tc>
        <w:tc>
          <w:tcPr>
            <w:tcW w:w="1137" w:type="dxa"/>
            <w:tcBorders>
              <w:top w:val="nil"/>
              <w:bottom w:val="single" w:sz="4" w:space="0" w:color="auto"/>
            </w:tcBorders>
          </w:tcPr>
          <w:p w:rsidR="00000000" w:rsidRDefault="00000000">
            <w:pPr>
              <w:tabs>
                <w:tab w:val="decimal" w:pos="371"/>
              </w:tabs>
              <w:spacing w:after="0"/>
              <w:rPr>
                <w:sz w:val="22"/>
              </w:rPr>
            </w:pPr>
            <w:r>
              <w:rPr>
                <w:sz w:val="22"/>
              </w:rPr>
              <w:t>0.65</w:t>
            </w:r>
          </w:p>
        </w:tc>
        <w:tc>
          <w:tcPr>
            <w:tcW w:w="1556" w:type="dxa"/>
            <w:tcBorders>
              <w:top w:val="nil"/>
              <w:bottom w:val="single" w:sz="4" w:space="0" w:color="auto"/>
            </w:tcBorders>
          </w:tcPr>
          <w:p w:rsidR="00000000" w:rsidRDefault="00000000">
            <w:pPr>
              <w:tabs>
                <w:tab w:val="decimal" w:pos="601"/>
              </w:tabs>
              <w:spacing w:after="0"/>
              <w:rPr>
                <w:sz w:val="22"/>
              </w:rPr>
            </w:pPr>
            <w:r>
              <w:rPr>
                <w:sz w:val="22"/>
              </w:rPr>
              <w:t>13.44</w:t>
            </w:r>
          </w:p>
        </w:tc>
        <w:tc>
          <w:tcPr>
            <w:tcW w:w="1324" w:type="dxa"/>
            <w:tcBorders>
              <w:top w:val="nil"/>
              <w:bottom w:val="single" w:sz="4" w:space="0" w:color="auto"/>
            </w:tcBorders>
          </w:tcPr>
          <w:p w:rsidR="00000000" w:rsidRDefault="00000000">
            <w:pPr>
              <w:spacing w:after="0"/>
              <w:ind w:right="226"/>
              <w:jc w:val="right"/>
              <w:rPr>
                <w:sz w:val="22"/>
              </w:rPr>
            </w:pPr>
            <w:r>
              <w:rPr>
                <w:sz w:val="22"/>
              </w:rPr>
              <w:t>80.86</w:t>
            </w:r>
          </w:p>
        </w:tc>
      </w:tr>
      <w:tr w:rsidR="00000000">
        <w:tblPrEx>
          <w:tblCellMar>
            <w:top w:w="0" w:type="dxa"/>
            <w:bottom w:w="0" w:type="dxa"/>
          </w:tblCellMar>
        </w:tblPrEx>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rPr>
                <w:bCs/>
                <w:sz w:val="22"/>
              </w:rPr>
            </w:pPr>
            <w:r>
              <w:rPr>
                <w:bCs/>
                <w:sz w:val="22"/>
              </w:rPr>
              <w:t xml:space="preserve">     Total</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tabs>
                <w:tab w:val="right" w:pos="884"/>
              </w:tabs>
              <w:spacing w:after="0"/>
              <w:rPr>
                <w:bCs/>
                <w:sz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rPr>
                <w:bCs/>
                <w:sz w:val="22"/>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decimal" w:pos="317"/>
              </w:tabs>
              <w:spacing w:after="0"/>
              <w:rPr>
                <w:bCs/>
                <w:sz w:val="22"/>
              </w:rPr>
            </w:pPr>
            <w:r>
              <w:rPr>
                <w:bCs/>
                <w:sz w:val="22"/>
              </w:rPr>
              <w:t>87.97</w:t>
            </w:r>
          </w:p>
          <w:p w:rsidR="00000000" w:rsidRDefault="00000000">
            <w:pPr>
              <w:tabs>
                <w:tab w:val="decimal" w:pos="317"/>
              </w:tabs>
              <w:spacing w:after="0"/>
              <w:rPr>
                <w:bCs/>
                <w:sz w:val="22"/>
              </w:rPr>
            </w:pPr>
            <w:r>
              <w:rPr>
                <w:bCs/>
                <w:sz w:val="22"/>
              </w:rPr>
              <w:t>12.96%</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spacing w:after="0"/>
              <w:rPr>
                <w:bCs/>
                <w:sz w:val="22"/>
              </w:rPr>
            </w:pPr>
            <w:r>
              <w:rPr>
                <w:bCs/>
                <w:sz w:val="22"/>
              </w:rPr>
              <w:t>93.95</w:t>
            </w:r>
          </w:p>
          <w:p w:rsidR="00000000" w:rsidRDefault="00000000">
            <w:pPr>
              <w:tabs>
                <w:tab w:val="decimal" w:pos="371"/>
              </w:tabs>
              <w:spacing w:after="0"/>
              <w:rPr>
                <w:bCs/>
                <w:sz w:val="22"/>
              </w:rPr>
            </w:pPr>
            <w:r>
              <w:rPr>
                <w:bCs/>
                <w:sz w:val="22"/>
              </w:rPr>
              <w:t>31.15%</w:t>
            </w:r>
          </w:p>
        </w:tc>
        <w:tc>
          <w:tcPr>
            <w:tcW w:w="1556"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spacing w:after="0"/>
              <w:rPr>
                <w:bCs/>
                <w:sz w:val="22"/>
              </w:rPr>
            </w:pPr>
            <w:r>
              <w:rPr>
                <w:bCs/>
                <w:sz w:val="22"/>
              </w:rPr>
              <w:t>364.77</w:t>
            </w:r>
          </w:p>
          <w:p w:rsidR="00000000" w:rsidRDefault="00000000">
            <w:pPr>
              <w:tabs>
                <w:tab w:val="decimal" w:pos="601"/>
              </w:tabs>
              <w:spacing w:after="0"/>
              <w:rPr>
                <w:bCs/>
                <w:sz w:val="22"/>
              </w:rPr>
            </w:pPr>
            <w:r>
              <w:rPr>
                <w:bCs/>
                <w:sz w:val="22"/>
              </w:rPr>
              <w:t>58.29%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spacing w:after="0"/>
              <w:ind w:right="226"/>
              <w:jc w:val="right"/>
              <w:rPr>
                <w:bCs/>
                <w:sz w:val="22"/>
              </w:rPr>
            </w:pPr>
            <w:r>
              <w:rPr>
                <w:bCs/>
                <w:sz w:val="22"/>
              </w:rPr>
              <w:t>2 613.75</w:t>
            </w:r>
          </w:p>
        </w:tc>
      </w:tr>
    </w:tbl>
    <w:p w:rsidR="00000000" w:rsidRDefault="00000000">
      <w:pPr>
        <w:spacing w:before="240" w:after="0"/>
      </w:pPr>
      <w:r>
        <w:tab/>
      </w:r>
      <w:r>
        <w:rPr>
          <w:i/>
          <w:iCs/>
        </w:rPr>
        <w:t>Source</w:t>
      </w:r>
      <w:r>
        <w:t>:  Ministry of Agriculture and Food.</w:t>
      </w:r>
    </w:p>
    <w:p w:rsidR="00000000" w:rsidRDefault="00000000">
      <w:pPr>
        <w:pStyle w:val="ParaNo"/>
        <w:tabs>
          <w:tab w:val="clear" w:pos="737"/>
        </w:tabs>
        <w:spacing w:before="240"/>
        <w:ind w:left="0" w:firstLine="0"/>
        <w:rPr>
          <w:lang w:val="en-GB"/>
        </w:rPr>
      </w:pPr>
      <w:r>
        <w:rPr>
          <w:lang w:val="en-GB"/>
        </w:rPr>
        <w:t>From the beginning of the transition towards a market economy, Albania had a deficient structure of its main agriculture products, especially in cereals, oleaginous seeds and sugar.  During 1980-1993, the overall nutritive energy needed increased by 1.3 per cent per year.  As result of the population growth and changes in the population structure, needs are foreseen to increase with 1.6 per cent for the time period 1993-2010.  This increase is foreseen to be greater in urban areas, approximately 3 per cent during 1993-2010.</w:t>
      </w:r>
    </w:p>
    <w:p w:rsidR="00000000" w:rsidRDefault="00000000">
      <w:pPr>
        <w:pStyle w:val="ParaNo"/>
        <w:tabs>
          <w:tab w:val="clear" w:pos="737"/>
        </w:tabs>
        <w:rPr>
          <w:lang w:val="en-GB"/>
        </w:rPr>
      </w:pPr>
      <w:r>
        <w:rPr>
          <w:lang w:val="en-GB"/>
        </w:rPr>
        <w:t>With regard to nutrient security, which is directly related to safe food, maximum efforts have been undertaken in accordance with the respective provisions of EU legislation, WHO and FAO recommendations, respecting as much as possible in this case the Codex Alimentarius.  Simultaneously, the Ministry of Agriculture and Food is working on concrete recommendations for the Albanian population for healthy dietary and nutritional balance.</w:t>
      </w:r>
    </w:p>
    <w:p w:rsidR="00000000" w:rsidRDefault="00000000">
      <w:pPr>
        <w:pStyle w:val="Heading3"/>
        <w:spacing w:after="200"/>
      </w:pPr>
      <w:r>
        <w:br w:type="page"/>
        <w:t>Poverty and inequality in Albania</w:t>
      </w:r>
    </w:p>
    <w:p w:rsidR="00000000" w:rsidRDefault="00000000">
      <w:pPr>
        <w:pStyle w:val="Heading2"/>
        <w:spacing w:after="200"/>
      </w:pPr>
      <w:r>
        <w:t>Table 28</w:t>
      </w:r>
    </w:p>
    <w:p w:rsidR="00000000" w:rsidRDefault="00000000">
      <w:pPr>
        <w:pStyle w:val="Heading2"/>
      </w:pPr>
      <w:r>
        <w:t>Extent of poverty in Albania</w:t>
      </w:r>
    </w:p>
    <w:tbl>
      <w:tblPr>
        <w:tblW w:w="936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720"/>
        <w:gridCol w:w="1080"/>
        <w:gridCol w:w="720"/>
        <w:gridCol w:w="1080"/>
        <w:gridCol w:w="600"/>
        <w:gridCol w:w="1165"/>
        <w:gridCol w:w="635"/>
        <w:gridCol w:w="1080"/>
      </w:tblGrid>
      <w:tr w:rsidR="00000000">
        <w:tblPrEx>
          <w:tblCellMar>
            <w:top w:w="0" w:type="dxa"/>
            <w:bottom w:w="0" w:type="dxa"/>
          </w:tblCellMar>
        </w:tblPrEx>
        <w:trPr>
          <w:cantSplit/>
        </w:trPr>
        <w:tc>
          <w:tcPr>
            <w:tcW w:w="2280" w:type="dxa"/>
            <w:vMerge w:val="restart"/>
          </w:tcPr>
          <w:p w:rsidR="00000000" w:rsidRDefault="00000000">
            <w:pPr>
              <w:spacing w:after="0"/>
              <w:rPr>
                <w:sz w:val="20"/>
              </w:rPr>
            </w:pPr>
          </w:p>
        </w:tc>
        <w:tc>
          <w:tcPr>
            <w:tcW w:w="1800" w:type="dxa"/>
            <w:gridSpan w:val="2"/>
          </w:tcPr>
          <w:p w:rsidR="00000000" w:rsidRDefault="00000000">
            <w:pPr>
              <w:spacing w:after="0"/>
              <w:jc w:val="center"/>
              <w:rPr>
                <w:sz w:val="20"/>
              </w:rPr>
            </w:pPr>
            <w:r>
              <w:rPr>
                <w:sz w:val="20"/>
              </w:rPr>
              <w:t>Tirana</w:t>
            </w:r>
          </w:p>
        </w:tc>
        <w:tc>
          <w:tcPr>
            <w:tcW w:w="1800" w:type="dxa"/>
            <w:gridSpan w:val="2"/>
          </w:tcPr>
          <w:p w:rsidR="00000000" w:rsidRDefault="00000000">
            <w:pPr>
              <w:spacing w:after="0"/>
              <w:jc w:val="center"/>
              <w:rPr>
                <w:sz w:val="20"/>
              </w:rPr>
            </w:pPr>
            <w:r>
              <w:rPr>
                <w:sz w:val="20"/>
              </w:rPr>
              <w:t>Other urban</w:t>
            </w:r>
          </w:p>
        </w:tc>
        <w:tc>
          <w:tcPr>
            <w:tcW w:w="1765" w:type="dxa"/>
            <w:gridSpan w:val="2"/>
          </w:tcPr>
          <w:p w:rsidR="00000000" w:rsidRDefault="00000000">
            <w:pPr>
              <w:spacing w:after="0"/>
              <w:jc w:val="center"/>
              <w:rPr>
                <w:sz w:val="20"/>
              </w:rPr>
            </w:pPr>
            <w:r>
              <w:rPr>
                <w:sz w:val="20"/>
              </w:rPr>
              <w:t>Rural</w:t>
            </w:r>
          </w:p>
        </w:tc>
        <w:tc>
          <w:tcPr>
            <w:tcW w:w="1715" w:type="dxa"/>
            <w:gridSpan w:val="2"/>
          </w:tcPr>
          <w:p w:rsidR="00000000" w:rsidRDefault="00000000">
            <w:pPr>
              <w:spacing w:after="0"/>
              <w:jc w:val="center"/>
              <w:rPr>
                <w:sz w:val="20"/>
              </w:rPr>
            </w:pPr>
            <w:r>
              <w:rPr>
                <w:sz w:val="20"/>
              </w:rPr>
              <w:t>In total</w:t>
            </w:r>
          </w:p>
        </w:tc>
      </w:tr>
      <w:tr w:rsidR="00000000">
        <w:tblPrEx>
          <w:tblCellMar>
            <w:top w:w="0" w:type="dxa"/>
            <w:bottom w:w="0" w:type="dxa"/>
          </w:tblCellMar>
        </w:tblPrEx>
        <w:trPr>
          <w:cantSplit/>
        </w:trPr>
        <w:tc>
          <w:tcPr>
            <w:tcW w:w="2280" w:type="dxa"/>
            <w:vMerge/>
            <w:tcBorders>
              <w:bottom w:val="nil"/>
            </w:tcBorders>
          </w:tcPr>
          <w:p w:rsidR="00000000" w:rsidRDefault="00000000">
            <w:pPr>
              <w:spacing w:after="0"/>
              <w:rPr>
                <w:sz w:val="20"/>
              </w:rPr>
            </w:pPr>
          </w:p>
        </w:tc>
        <w:tc>
          <w:tcPr>
            <w:tcW w:w="720" w:type="dxa"/>
            <w:tcBorders>
              <w:bottom w:val="nil"/>
            </w:tcBorders>
          </w:tcPr>
          <w:p w:rsidR="00000000" w:rsidRDefault="00000000">
            <w:pPr>
              <w:spacing w:after="0"/>
              <w:jc w:val="center"/>
              <w:rPr>
                <w:sz w:val="20"/>
              </w:rPr>
            </w:pPr>
            <w:r>
              <w:rPr>
                <w:sz w:val="20"/>
              </w:rPr>
              <w:t>Poor</w:t>
            </w:r>
          </w:p>
        </w:tc>
        <w:tc>
          <w:tcPr>
            <w:tcW w:w="1080" w:type="dxa"/>
            <w:tcBorders>
              <w:bottom w:val="nil"/>
            </w:tcBorders>
          </w:tcPr>
          <w:p w:rsidR="00000000" w:rsidRDefault="00000000">
            <w:pPr>
              <w:spacing w:after="0"/>
              <w:jc w:val="center"/>
              <w:rPr>
                <w:sz w:val="20"/>
              </w:rPr>
            </w:pPr>
            <w:r>
              <w:rPr>
                <w:sz w:val="20"/>
              </w:rPr>
              <w:t>Extremely poor</w:t>
            </w:r>
          </w:p>
        </w:tc>
        <w:tc>
          <w:tcPr>
            <w:tcW w:w="720" w:type="dxa"/>
            <w:tcBorders>
              <w:bottom w:val="nil"/>
            </w:tcBorders>
          </w:tcPr>
          <w:p w:rsidR="00000000" w:rsidRDefault="00000000">
            <w:pPr>
              <w:spacing w:after="0"/>
              <w:jc w:val="center"/>
              <w:rPr>
                <w:sz w:val="20"/>
              </w:rPr>
            </w:pPr>
            <w:r>
              <w:rPr>
                <w:sz w:val="20"/>
              </w:rPr>
              <w:t>Poor</w:t>
            </w:r>
          </w:p>
        </w:tc>
        <w:tc>
          <w:tcPr>
            <w:tcW w:w="1080" w:type="dxa"/>
            <w:tcBorders>
              <w:bottom w:val="nil"/>
            </w:tcBorders>
          </w:tcPr>
          <w:p w:rsidR="00000000" w:rsidRDefault="00000000">
            <w:pPr>
              <w:spacing w:after="0"/>
              <w:jc w:val="center"/>
              <w:rPr>
                <w:sz w:val="20"/>
              </w:rPr>
            </w:pPr>
            <w:r>
              <w:rPr>
                <w:sz w:val="20"/>
              </w:rPr>
              <w:t>Extremely poor</w:t>
            </w:r>
          </w:p>
        </w:tc>
        <w:tc>
          <w:tcPr>
            <w:tcW w:w="600" w:type="dxa"/>
            <w:tcBorders>
              <w:bottom w:val="nil"/>
            </w:tcBorders>
          </w:tcPr>
          <w:p w:rsidR="00000000" w:rsidRDefault="00000000">
            <w:pPr>
              <w:spacing w:after="0"/>
              <w:jc w:val="center"/>
              <w:rPr>
                <w:sz w:val="20"/>
              </w:rPr>
            </w:pPr>
            <w:r>
              <w:rPr>
                <w:sz w:val="20"/>
              </w:rPr>
              <w:t>Poor</w:t>
            </w:r>
          </w:p>
        </w:tc>
        <w:tc>
          <w:tcPr>
            <w:tcW w:w="1165" w:type="dxa"/>
            <w:tcBorders>
              <w:bottom w:val="nil"/>
            </w:tcBorders>
          </w:tcPr>
          <w:p w:rsidR="00000000" w:rsidRDefault="00000000">
            <w:pPr>
              <w:spacing w:after="0"/>
              <w:jc w:val="center"/>
              <w:rPr>
                <w:sz w:val="20"/>
              </w:rPr>
            </w:pPr>
            <w:r>
              <w:rPr>
                <w:sz w:val="20"/>
              </w:rPr>
              <w:t>Extremely poor</w:t>
            </w:r>
          </w:p>
        </w:tc>
        <w:tc>
          <w:tcPr>
            <w:tcW w:w="635" w:type="dxa"/>
            <w:tcBorders>
              <w:bottom w:val="nil"/>
            </w:tcBorders>
          </w:tcPr>
          <w:p w:rsidR="00000000" w:rsidRDefault="00000000">
            <w:pPr>
              <w:spacing w:after="0"/>
              <w:jc w:val="center"/>
              <w:rPr>
                <w:sz w:val="20"/>
              </w:rPr>
            </w:pPr>
            <w:r>
              <w:rPr>
                <w:sz w:val="20"/>
              </w:rPr>
              <w:t>Poor</w:t>
            </w:r>
          </w:p>
        </w:tc>
        <w:tc>
          <w:tcPr>
            <w:tcW w:w="1080" w:type="dxa"/>
            <w:tcBorders>
              <w:bottom w:val="nil"/>
            </w:tcBorders>
          </w:tcPr>
          <w:p w:rsidR="00000000" w:rsidRDefault="00000000">
            <w:pPr>
              <w:spacing w:after="0"/>
              <w:jc w:val="center"/>
              <w:rPr>
                <w:sz w:val="20"/>
              </w:rPr>
            </w:pPr>
            <w:r>
              <w:rPr>
                <w:sz w:val="20"/>
              </w:rPr>
              <w:t>Extremely poor</w:t>
            </w:r>
          </w:p>
        </w:tc>
      </w:tr>
      <w:tr w:rsidR="00000000">
        <w:tblPrEx>
          <w:tblCellMar>
            <w:top w:w="0" w:type="dxa"/>
            <w:bottom w:w="0" w:type="dxa"/>
          </w:tblCellMar>
        </w:tblPrEx>
        <w:trPr>
          <w:cantSplit/>
        </w:trPr>
        <w:tc>
          <w:tcPr>
            <w:tcW w:w="2280" w:type="dxa"/>
            <w:tcBorders>
              <w:bottom w:val="nil"/>
            </w:tcBorders>
          </w:tcPr>
          <w:p w:rsidR="00000000" w:rsidRDefault="00000000">
            <w:pPr>
              <w:spacing w:after="0"/>
              <w:rPr>
                <w:sz w:val="20"/>
              </w:rPr>
            </w:pPr>
            <w:r>
              <w:rPr>
                <w:sz w:val="20"/>
              </w:rPr>
              <w:t>Poor (in percentage)</w:t>
            </w:r>
          </w:p>
        </w:tc>
        <w:tc>
          <w:tcPr>
            <w:tcW w:w="720" w:type="dxa"/>
            <w:tcBorders>
              <w:bottom w:val="nil"/>
            </w:tcBorders>
          </w:tcPr>
          <w:p w:rsidR="00000000" w:rsidRDefault="00000000">
            <w:pPr>
              <w:pStyle w:val="Header"/>
              <w:tabs>
                <w:tab w:val="clear" w:pos="4320"/>
                <w:tab w:val="clear" w:pos="8640"/>
                <w:tab w:val="decimal" w:pos="175"/>
              </w:tabs>
              <w:spacing w:after="0"/>
              <w:rPr>
                <w:sz w:val="20"/>
              </w:rPr>
            </w:pPr>
            <w:r>
              <w:rPr>
                <w:sz w:val="20"/>
              </w:rPr>
              <w:t>17.8</w:t>
            </w:r>
          </w:p>
        </w:tc>
        <w:tc>
          <w:tcPr>
            <w:tcW w:w="1080" w:type="dxa"/>
            <w:tcBorders>
              <w:bottom w:val="nil"/>
            </w:tcBorders>
          </w:tcPr>
          <w:p w:rsidR="00000000" w:rsidRDefault="00000000">
            <w:pPr>
              <w:tabs>
                <w:tab w:val="decimal" w:pos="289"/>
              </w:tabs>
              <w:spacing w:after="0"/>
              <w:rPr>
                <w:sz w:val="20"/>
              </w:rPr>
            </w:pPr>
            <w:r>
              <w:rPr>
                <w:sz w:val="20"/>
              </w:rPr>
              <w:t xml:space="preserve">  2.3</w:t>
            </w:r>
          </w:p>
        </w:tc>
        <w:tc>
          <w:tcPr>
            <w:tcW w:w="720" w:type="dxa"/>
            <w:tcBorders>
              <w:bottom w:val="nil"/>
            </w:tcBorders>
          </w:tcPr>
          <w:p w:rsidR="00000000" w:rsidRDefault="00000000">
            <w:pPr>
              <w:tabs>
                <w:tab w:val="decimal" w:pos="176"/>
              </w:tabs>
              <w:spacing w:after="0"/>
              <w:rPr>
                <w:sz w:val="20"/>
              </w:rPr>
            </w:pPr>
            <w:r>
              <w:rPr>
                <w:sz w:val="20"/>
              </w:rPr>
              <w:t>20.1</w:t>
            </w:r>
          </w:p>
        </w:tc>
        <w:tc>
          <w:tcPr>
            <w:tcW w:w="1080" w:type="dxa"/>
            <w:tcBorders>
              <w:bottom w:val="nil"/>
            </w:tcBorders>
          </w:tcPr>
          <w:p w:rsidR="00000000" w:rsidRDefault="00000000">
            <w:pPr>
              <w:tabs>
                <w:tab w:val="decimal" w:pos="317"/>
              </w:tabs>
              <w:spacing w:after="0"/>
              <w:rPr>
                <w:sz w:val="20"/>
              </w:rPr>
            </w:pPr>
            <w:r>
              <w:rPr>
                <w:sz w:val="20"/>
              </w:rPr>
              <w:t xml:space="preserve">  4.8</w:t>
            </w:r>
          </w:p>
        </w:tc>
        <w:tc>
          <w:tcPr>
            <w:tcW w:w="600" w:type="dxa"/>
            <w:tcBorders>
              <w:bottom w:val="nil"/>
            </w:tcBorders>
          </w:tcPr>
          <w:p w:rsidR="00000000" w:rsidRDefault="00000000">
            <w:pPr>
              <w:tabs>
                <w:tab w:val="decimal" w:pos="176"/>
              </w:tabs>
              <w:spacing w:after="0"/>
              <w:rPr>
                <w:sz w:val="20"/>
              </w:rPr>
            </w:pPr>
            <w:r>
              <w:rPr>
                <w:sz w:val="20"/>
              </w:rPr>
              <w:t>29.6</w:t>
            </w:r>
          </w:p>
        </w:tc>
        <w:tc>
          <w:tcPr>
            <w:tcW w:w="1165" w:type="dxa"/>
            <w:tcBorders>
              <w:bottom w:val="nil"/>
            </w:tcBorders>
          </w:tcPr>
          <w:p w:rsidR="00000000" w:rsidRDefault="00000000">
            <w:pPr>
              <w:tabs>
                <w:tab w:val="decimal" w:pos="317"/>
              </w:tabs>
              <w:spacing w:after="0"/>
              <w:rPr>
                <w:sz w:val="20"/>
              </w:rPr>
            </w:pPr>
            <w:r>
              <w:rPr>
                <w:sz w:val="20"/>
              </w:rPr>
              <w:t>5.2</w:t>
            </w:r>
          </w:p>
        </w:tc>
        <w:tc>
          <w:tcPr>
            <w:tcW w:w="635" w:type="dxa"/>
            <w:tcBorders>
              <w:bottom w:val="nil"/>
            </w:tcBorders>
          </w:tcPr>
          <w:p w:rsidR="00000000" w:rsidRDefault="00000000">
            <w:pPr>
              <w:tabs>
                <w:tab w:val="decimal" w:pos="175"/>
              </w:tabs>
              <w:spacing w:after="0"/>
              <w:rPr>
                <w:sz w:val="20"/>
              </w:rPr>
            </w:pPr>
            <w:r>
              <w:rPr>
                <w:sz w:val="20"/>
              </w:rPr>
              <w:t>25.4</w:t>
            </w:r>
          </w:p>
        </w:tc>
        <w:tc>
          <w:tcPr>
            <w:tcW w:w="1080" w:type="dxa"/>
            <w:tcBorders>
              <w:bottom w:val="nil"/>
            </w:tcBorders>
          </w:tcPr>
          <w:p w:rsidR="00000000" w:rsidRDefault="00000000">
            <w:pPr>
              <w:tabs>
                <w:tab w:val="decimal" w:pos="459"/>
              </w:tabs>
              <w:spacing w:after="0"/>
              <w:rPr>
                <w:sz w:val="20"/>
              </w:rPr>
            </w:pPr>
            <w:r>
              <w:rPr>
                <w:sz w:val="20"/>
              </w:rPr>
              <w:t xml:space="preserve">  4.7</w:t>
            </w:r>
          </w:p>
        </w:tc>
      </w:tr>
      <w:tr w:rsidR="00000000">
        <w:tblPrEx>
          <w:tblCellMar>
            <w:top w:w="0" w:type="dxa"/>
            <w:bottom w:w="0" w:type="dxa"/>
          </w:tblCellMar>
        </w:tblPrEx>
        <w:trPr>
          <w:cantSplit/>
        </w:trPr>
        <w:tc>
          <w:tcPr>
            <w:tcW w:w="2280" w:type="dxa"/>
            <w:tcBorders>
              <w:top w:val="nil"/>
              <w:bottom w:val="nil"/>
            </w:tcBorders>
          </w:tcPr>
          <w:p w:rsidR="00000000" w:rsidRDefault="00000000">
            <w:pPr>
              <w:spacing w:after="0"/>
              <w:rPr>
                <w:sz w:val="20"/>
              </w:rPr>
            </w:pPr>
            <w:r>
              <w:rPr>
                <w:sz w:val="20"/>
              </w:rPr>
              <w:t>Indigence gap</w:t>
            </w:r>
          </w:p>
        </w:tc>
        <w:tc>
          <w:tcPr>
            <w:tcW w:w="720" w:type="dxa"/>
            <w:tcBorders>
              <w:top w:val="nil"/>
              <w:bottom w:val="nil"/>
            </w:tcBorders>
          </w:tcPr>
          <w:p w:rsidR="00000000" w:rsidRDefault="00000000">
            <w:pPr>
              <w:tabs>
                <w:tab w:val="decimal" w:pos="175"/>
              </w:tabs>
              <w:spacing w:after="0"/>
              <w:rPr>
                <w:sz w:val="20"/>
              </w:rPr>
            </w:pPr>
            <w:r>
              <w:rPr>
                <w:sz w:val="20"/>
              </w:rPr>
              <w:t xml:space="preserve">  3.8</w:t>
            </w:r>
          </w:p>
        </w:tc>
        <w:tc>
          <w:tcPr>
            <w:tcW w:w="1080" w:type="dxa"/>
            <w:tcBorders>
              <w:top w:val="nil"/>
              <w:bottom w:val="nil"/>
            </w:tcBorders>
          </w:tcPr>
          <w:p w:rsidR="00000000" w:rsidRDefault="00000000">
            <w:pPr>
              <w:tabs>
                <w:tab w:val="decimal" w:pos="289"/>
              </w:tabs>
              <w:spacing w:after="0"/>
              <w:rPr>
                <w:sz w:val="20"/>
              </w:rPr>
            </w:pPr>
            <w:r>
              <w:rPr>
                <w:sz w:val="20"/>
              </w:rPr>
              <w:t xml:space="preserve">  0.6</w:t>
            </w:r>
          </w:p>
        </w:tc>
        <w:tc>
          <w:tcPr>
            <w:tcW w:w="720" w:type="dxa"/>
            <w:tcBorders>
              <w:top w:val="nil"/>
              <w:bottom w:val="nil"/>
            </w:tcBorders>
          </w:tcPr>
          <w:p w:rsidR="00000000" w:rsidRDefault="00000000">
            <w:pPr>
              <w:tabs>
                <w:tab w:val="decimal" w:pos="176"/>
              </w:tabs>
              <w:spacing w:after="0"/>
              <w:rPr>
                <w:sz w:val="20"/>
              </w:rPr>
            </w:pPr>
            <w:r>
              <w:rPr>
                <w:sz w:val="20"/>
              </w:rPr>
              <w:t xml:space="preserve">  4.7</w:t>
            </w:r>
          </w:p>
        </w:tc>
        <w:tc>
          <w:tcPr>
            <w:tcW w:w="1080" w:type="dxa"/>
            <w:tcBorders>
              <w:top w:val="nil"/>
              <w:bottom w:val="nil"/>
            </w:tcBorders>
          </w:tcPr>
          <w:p w:rsidR="00000000" w:rsidRDefault="00000000">
            <w:pPr>
              <w:tabs>
                <w:tab w:val="decimal" w:pos="317"/>
              </w:tabs>
              <w:spacing w:after="0"/>
              <w:rPr>
                <w:sz w:val="20"/>
              </w:rPr>
            </w:pPr>
            <w:r>
              <w:rPr>
                <w:sz w:val="20"/>
              </w:rPr>
              <w:t xml:space="preserve">  0.9</w:t>
            </w:r>
          </w:p>
        </w:tc>
        <w:tc>
          <w:tcPr>
            <w:tcW w:w="600" w:type="dxa"/>
            <w:tcBorders>
              <w:top w:val="nil"/>
              <w:bottom w:val="nil"/>
            </w:tcBorders>
          </w:tcPr>
          <w:p w:rsidR="00000000" w:rsidRDefault="00000000">
            <w:pPr>
              <w:tabs>
                <w:tab w:val="decimal" w:pos="176"/>
              </w:tabs>
              <w:spacing w:after="0"/>
              <w:rPr>
                <w:sz w:val="20"/>
              </w:rPr>
            </w:pPr>
            <w:r>
              <w:rPr>
                <w:sz w:val="20"/>
              </w:rPr>
              <w:t xml:space="preserve">  6.6</w:t>
            </w:r>
          </w:p>
        </w:tc>
        <w:tc>
          <w:tcPr>
            <w:tcW w:w="1165" w:type="dxa"/>
            <w:tcBorders>
              <w:top w:val="nil"/>
              <w:bottom w:val="nil"/>
            </w:tcBorders>
          </w:tcPr>
          <w:p w:rsidR="00000000" w:rsidRDefault="00000000">
            <w:pPr>
              <w:tabs>
                <w:tab w:val="decimal" w:pos="317"/>
              </w:tabs>
              <w:spacing w:after="0"/>
              <w:rPr>
                <w:sz w:val="20"/>
              </w:rPr>
            </w:pPr>
            <w:r>
              <w:rPr>
                <w:sz w:val="20"/>
              </w:rPr>
              <w:t xml:space="preserve">  0.7</w:t>
            </w:r>
          </w:p>
        </w:tc>
        <w:tc>
          <w:tcPr>
            <w:tcW w:w="635" w:type="dxa"/>
            <w:tcBorders>
              <w:top w:val="nil"/>
              <w:bottom w:val="nil"/>
            </w:tcBorders>
          </w:tcPr>
          <w:p w:rsidR="00000000" w:rsidRDefault="00000000">
            <w:pPr>
              <w:tabs>
                <w:tab w:val="decimal" w:pos="175"/>
              </w:tabs>
              <w:spacing w:after="0"/>
              <w:rPr>
                <w:sz w:val="20"/>
              </w:rPr>
            </w:pPr>
            <w:r>
              <w:rPr>
                <w:sz w:val="20"/>
              </w:rPr>
              <w:t xml:space="preserve">  5.7</w:t>
            </w:r>
          </w:p>
        </w:tc>
        <w:tc>
          <w:tcPr>
            <w:tcW w:w="1080" w:type="dxa"/>
            <w:tcBorders>
              <w:top w:val="nil"/>
              <w:bottom w:val="nil"/>
            </w:tcBorders>
          </w:tcPr>
          <w:p w:rsidR="00000000" w:rsidRDefault="00000000">
            <w:pPr>
              <w:tabs>
                <w:tab w:val="decimal" w:pos="459"/>
              </w:tabs>
              <w:spacing w:after="0"/>
              <w:rPr>
                <w:sz w:val="20"/>
              </w:rPr>
            </w:pPr>
            <w:r>
              <w:rPr>
                <w:sz w:val="20"/>
              </w:rPr>
              <w:t xml:space="preserve">  0.8</w:t>
            </w:r>
          </w:p>
        </w:tc>
      </w:tr>
      <w:tr w:rsidR="00000000">
        <w:tblPrEx>
          <w:tblCellMar>
            <w:top w:w="0" w:type="dxa"/>
            <w:bottom w:w="0" w:type="dxa"/>
          </w:tblCellMar>
        </w:tblPrEx>
        <w:trPr>
          <w:cantSplit/>
        </w:trPr>
        <w:tc>
          <w:tcPr>
            <w:tcW w:w="2280" w:type="dxa"/>
            <w:tcBorders>
              <w:top w:val="nil"/>
              <w:bottom w:val="single" w:sz="4" w:space="0" w:color="auto"/>
            </w:tcBorders>
          </w:tcPr>
          <w:p w:rsidR="00000000" w:rsidRDefault="00000000">
            <w:pPr>
              <w:spacing w:after="0"/>
              <w:rPr>
                <w:sz w:val="20"/>
              </w:rPr>
            </w:pPr>
            <w:r>
              <w:rPr>
                <w:sz w:val="20"/>
              </w:rPr>
              <w:t>Quadratic indigence gap</w:t>
            </w:r>
          </w:p>
        </w:tc>
        <w:tc>
          <w:tcPr>
            <w:tcW w:w="720" w:type="dxa"/>
            <w:tcBorders>
              <w:top w:val="nil"/>
              <w:bottom w:val="single" w:sz="4" w:space="0" w:color="auto"/>
            </w:tcBorders>
          </w:tcPr>
          <w:p w:rsidR="00000000" w:rsidRDefault="00000000">
            <w:pPr>
              <w:tabs>
                <w:tab w:val="decimal" w:pos="175"/>
              </w:tabs>
              <w:spacing w:after="0"/>
              <w:rPr>
                <w:sz w:val="20"/>
              </w:rPr>
            </w:pPr>
            <w:r>
              <w:rPr>
                <w:sz w:val="20"/>
              </w:rPr>
              <w:t xml:space="preserve">  1.3</w:t>
            </w:r>
          </w:p>
        </w:tc>
        <w:tc>
          <w:tcPr>
            <w:tcW w:w="1080" w:type="dxa"/>
            <w:tcBorders>
              <w:top w:val="nil"/>
              <w:bottom w:val="single" w:sz="4" w:space="0" w:color="auto"/>
            </w:tcBorders>
          </w:tcPr>
          <w:p w:rsidR="00000000" w:rsidRDefault="00000000">
            <w:pPr>
              <w:tabs>
                <w:tab w:val="decimal" w:pos="289"/>
              </w:tabs>
              <w:spacing w:after="0"/>
              <w:rPr>
                <w:sz w:val="20"/>
              </w:rPr>
            </w:pPr>
            <w:r>
              <w:rPr>
                <w:sz w:val="20"/>
              </w:rPr>
              <w:t>0.22</w:t>
            </w:r>
          </w:p>
        </w:tc>
        <w:tc>
          <w:tcPr>
            <w:tcW w:w="720" w:type="dxa"/>
            <w:tcBorders>
              <w:top w:val="nil"/>
              <w:bottom w:val="single" w:sz="4" w:space="0" w:color="auto"/>
            </w:tcBorders>
          </w:tcPr>
          <w:p w:rsidR="00000000" w:rsidRDefault="00000000">
            <w:pPr>
              <w:tabs>
                <w:tab w:val="decimal" w:pos="176"/>
              </w:tabs>
              <w:spacing w:after="0"/>
              <w:rPr>
                <w:sz w:val="20"/>
              </w:rPr>
            </w:pPr>
            <w:r>
              <w:rPr>
                <w:sz w:val="20"/>
              </w:rPr>
              <w:t xml:space="preserve">  1.7</w:t>
            </w:r>
          </w:p>
        </w:tc>
        <w:tc>
          <w:tcPr>
            <w:tcW w:w="1080" w:type="dxa"/>
            <w:tcBorders>
              <w:top w:val="nil"/>
              <w:bottom w:val="single" w:sz="4" w:space="0" w:color="auto"/>
            </w:tcBorders>
          </w:tcPr>
          <w:p w:rsidR="00000000" w:rsidRDefault="00000000">
            <w:pPr>
              <w:tabs>
                <w:tab w:val="decimal" w:pos="317"/>
              </w:tabs>
              <w:spacing w:after="0"/>
              <w:rPr>
                <w:sz w:val="20"/>
              </w:rPr>
            </w:pPr>
            <w:r>
              <w:rPr>
                <w:sz w:val="20"/>
              </w:rPr>
              <w:t>0.24</w:t>
            </w:r>
          </w:p>
        </w:tc>
        <w:tc>
          <w:tcPr>
            <w:tcW w:w="600" w:type="dxa"/>
            <w:tcBorders>
              <w:top w:val="nil"/>
              <w:bottom w:val="single" w:sz="4" w:space="0" w:color="auto"/>
            </w:tcBorders>
          </w:tcPr>
          <w:p w:rsidR="00000000" w:rsidRDefault="00000000">
            <w:pPr>
              <w:tabs>
                <w:tab w:val="decimal" w:pos="176"/>
              </w:tabs>
              <w:spacing w:after="0"/>
              <w:rPr>
                <w:sz w:val="20"/>
              </w:rPr>
            </w:pPr>
            <w:r>
              <w:rPr>
                <w:sz w:val="20"/>
              </w:rPr>
              <w:t xml:space="preserve">  2.1</w:t>
            </w:r>
          </w:p>
        </w:tc>
        <w:tc>
          <w:tcPr>
            <w:tcW w:w="1165" w:type="dxa"/>
            <w:tcBorders>
              <w:top w:val="nil"/>
              <w:bottom w:val="single" w:sz="4" w:space="0" w:color="auto"/>
            </w:tcBorders>
          </w:tcPr>
          <w:p w:rsidR="00000000" w:rsidRDefault="00000000">
            <w:pPr>
              <w:tabs>
                <w:tab w:val="decimal" w:pos="317"/>
              </w:tabs>
              <w:spacing w:after="0"/>
              <w:rPr>
                <w:sz w:val="20"/>
              </w:rPr>
            </w:pPr>
            <w:r>
              <w:rPr>
                <w:sz w:val="20"/>
              </w:rPr>
              <w:t>0.16</w:t>
            </w:r>
          </w:p>
        </w:tc>
        <w:tc>
          <w:tcPr>
            <w:tcW w:w="635" w:type="dxa"/>
            <w:tcBorders>
              <w:top w:val="nil"/>
              <w:bottom w:val="single" w:sz="4" w:space="0" w:color="auto"/>
            </w:tcBorders>
          </w:tcPr>
          <w:p w:rsidR="00000000" w:rsidRDefault="00000000">
            <w:pPr>
              <w:tabs>
                <w:tab w:val="decimal" w:pos="175"/>
              </w:tabs>
              <w:spacing w:after="0"/>
              <w:rPr>
                <w:sz w:val="20"/>
              </w:rPr>
            </w:pPr>
            <w:r>
              <w:rPr>
                <w:sz w:val="20"/>
              </w:rPr>
              <w:t xml:space="preserve">  1.9</w:t>
            </w:r>
          </w:p>
        </w:tc>
        <w:tc>
          <w:tcPr>
            <w:tcW w:w="1080" w:type="dxa"/>
            <w:tcBorders>
              <w:top w:val="nil"/>
              <w:bottom w:val="single" w:sz="4" w:space="0" w:color="auto"/>
            </w:tcBorders>
          </w:tcPr>
          <w:p w:rsidR="00000000" w:rsidRDefault="00000000">
            <w:pPr>
              <w:tabs>
                <w:tab w:val="decimal" w:pos="459"/>
              </w:tabs>
              <w:spacing w:after="0"/>
              <w:rPr>
                <w:sz w:val="20"/>
              </w:rPr>
            </w:pPr>
            <w:r>
              <w:rPr>
                <w:sz w:val="20"/>
              </w:rPr>
              <w:t>0.19</w:t>
            </w:r>
          </w:p>
        </w:tc>
      </w:tr>
      <w:tr w:rsidR="00000000">
        <w:tblPrEx>
          <w:tblCellMar>
            <w:top w:w="0" w:type="dxa"/>
            <w:bottom w:w="0" w:type="dxa"/>
          </w:tblCellMar>
        </w:tblPrEx>
        <w:trPr>
          <w:cantSplit/>
        </w:trPr>
        <w:tc>
          <w:tcPr>
            <w:tcW w:w="2280" w:type="dxa"/>
            <w:tcBorders>
              <w:top w:val="single" w:sz="4" w:space="0" w:color="auto"/>
              <w:bottom w:val="nil"/>
            </w:tcBorders>
          </w:tcPr>
          <w:p w:rsidR="00000000" w:rsidRDefault="00000000">
            <w:pPr>
              <w:spacing w:after="0"/>
              <w:rPr>
                <w:sz w:val="20"/>
              </w:rPr>
            </w:pPr>
            <w:r>
              <w:rPr>
                <w:sz w:val="20"/>
              </w:rPr>
              <w:t xml:space="preserve">Average consumption </w:t>
            </w:r>
            <w:r>
              <w:rPr>
                <w:sz w:val="20"/>
              </w:rPr>
              <w:br/>
              <w:t xml:space="preserve">  per person</w:t>
            </w:r>
          </w:p>
        </w:tc>
        <w:tc>
          <w:tcPr>
            <w:tcW w:w="1800" w:type="dxa"/>
            <w:gridSpan w:val="2"/>
            <w:tcBorders>
              <w:top w:val="single" w:sz="4" w:space="0" w:color="auto"/>
              <w:bottom w:val="nil"/>
            </w:tcBorders>
            <w:vAlign w:val="bottom"/>
          </w:tcPr>
          <w:p w:rsidR="00000000" w:rsidRDefault="00000000">
            <w:pPr>
              <w:spacing w:after="0"/>
              <w:jc w:val="center"/>
              <w:rPr>
                <w:sz w:val="20"/>
              </w:rPr>
            </w:pPr>
            <w:r>
              <w:rPr>
                <w:sz w:val="20"/>
              </w:rPr>
              <w:t>9 043</w:t>
            </w:r>
          </w:p>
        </w:tc>
        <w:tc>
          <w:tcPr>
            <w:tcW w:w="1800" w:type="dxa"/>
            <w:gridSpan w:val="2"/>
            <w:tcBorders>
              <w:top w:val="single" w:sz="4" w:space="0" w:color="auto"/>
              <w:bottom w:val="nil"/>
            </w:tcBorders>
            <w:vAlign w:val="bottom"/>
          </w:tcPr>
          <w:p w:rsidR="00000000" w:rsidRDefault="00000000">
            <w:pPr>
              <w:spacing w:after="0"/>
              <w:jc w:val="center"/>
              <w:rPr>
                <w:sz w:val="20"/>
              </w:rPr>
            </w:pPr>
            <w:r>
              <w:rPr>
                <w:sz w:val="20"/>
              </w:rPr>
              <w:t>8 468</w:t>
            </w:r>
          </w:p>
        </w:tc>
        <w:tc>
          <w:tcPr>
            <w:tcW w:w="1765" w:type="dxa"/>
            <w:gridSpan w:val="2"/>
            <w:tcBorders>
              <w:top w:val="single" w:sz="4" w:space="0" w:color="auto"/>
              <w:bottom w:val="nil"/>
            </w:tcBorders>
            <w:vAlign w:val="bottom"/>
          </w:tcPr>
          <w:p w:rsidR="00000000" w:rsidRDefault="00000000">
            <w:pPr>
              <w:spacing w:after="0"/>
              <w:jc w:val="center"/>
              <w:rPr>
                <w:sz w:val="20"/>
              </w:rPr>
            </w:pPr>
            <w:r>
              <w:rPr>
                <w:sz w:val="20"/>
              </w:rPr>
              <w:t>7 212</w:t>
            </w:r>
          </w:p>
        </w:tc>
        <w:tc>
          <w:tcPr>
            <w:tcW w:w="1715" w:type="dxa"/>
            <w:gridSpan w:val="2"/>
            <w:tcBorders>
              <w:top w:val="single" w:sz="4" w:space="0" w:color="auto"/>
              <w:bottom w:val="nil"/>
            </w:tcBorders>
            <w:vAlign w:val="bottom"/>
          </w:tcPr>
          <w:p w:rsidR="00000000" w:rsidRDefault="00000000">
            <w:pPr>
              <w:spacing w:after="0"/>
              <w:jc w:val="center"/>
              <w:rPr>
                <w:sz w:val="20"/>
              </w:rPr>
            </w:pPr>
            <w:r>
              <w:rPr>
                <w:sz w:val="20"/>
              </w:rPr>
              <w:t>7 801</w:t>
            </w:r>
          </w:p>
        </w:tc>
      </w:tr>
      <w:tr w:rsidR="00000000">
        <w:tblPrEx>
          <w:tblCellMar>
            <w:top w:w="0" w:type="dxa"/>
            <w:bottom w:w="0" w:type="dxa"/>
          </w:tblCellMar>
        </w:tblPrEx>
        <w:trPr>
          <w:cantSplit/>
        </w:trPr>
        <w:tc>
          <w:tcPr>
            <w:tcW w:w="2280" w:type="dxa"/>
            <w:tcBorders>
              <w:top w:val="nil"/>
            </w:tcBorders>
          </w:tcPr>
          <w:p w:rsidR="00000000" w:rsidRDefault="00000000">
            <w:pPr>
              <w:spacing w:after="0"/>
              <w:rPr>
                <w:sz w:val="20"/>
              </w:rPr>
            </w:pPr>
            <w:r>
              <w:rPr>
                <w:sz w:val="20"/>
              </w:rPr>
              <w:t>Gini coefficient</w:t>
            </w:r>
          </w:p>
        </w:tc>
        <w:tc>
          <w:tcPr>
            <w:tcW w:w="1800" w:type="dxa"/>
            <w:gridSpan w:val="2"/>
            <w:tcBorders>
              <w:top w:val="nil"/>
            </w:tcBorders>
            <w:vAlign w:val="center"/>
          </w:tcPr>
          <w:p w:rsidR="00000000" w:rsidRDefault="00000000">
            <w:pPr>
              <w:spacing w:after="0"/>
              <w:jc w:val="center"/>
              <w:rPr>
                <w:sz w:val="20"/>
              </w:rPr>
            </w:pPr>
            <w:r>
              <w:rPr>
                <w:sz w:val="20"/>
              </w:rPr>
              <w:t>0.30</w:t>
            </w:r>
          </w:p>
        </w:tc>
        <w:tc>
          <w:tcPr>
            <w:tcW w:w="1800" w:type="dxa"/>
            <w:gridSpan w:val="2"/>
            <w:tcBorders>
              <w:top w:val="nil"/>
            </w:tcBorders>
            <w:vAlign w:val="center"/>
          </w:tcPr>
          <w:p w:rsidR="00000000" w:rsidRDefault="00000000">
            <w:pPr>
              <w:spacing w:after="0"/>
              <w:jc w:val="center"/>
              <w:rPr>
                <w:sz w:val="20"/>
              </w:rPr>
            </w:pPr>
            <w:r>
              <w:rPr>
                <w:sz w:val="20"/>
              </w:rPr>
              <w:t>0.28</w:t>
            </w:r>
          </w:p>
        </w:tc>
        <w:tc>
          <w:tcPr>
            <w:tcW w:w="1765" w:type="dxa"/>
            <w:gridSpan w:val="2"/>
            <w:tcBorders>
              <w:top w:val="nil"/>
            </w:tcBorders>
            <w:vAlign w:val="center"/>
          </w:tcPr>
          <w:p w:rsidR="00000000" w:rsidRDefault="00000000">
            <w:pPr>
              <w:spacing w:after="0"/>
              <w:jc w:val="center"/>
              <w:rPr>
                <w:sz w:val="20"/>
              </w:rPr>
            </w:pPr>
            <w:r>
              <w:rPr>
                <w:sz w:val="20"/>
              </w:rPr>
              <w:t>0.27</w:t>
            </w:r>
          </w:p>
        </w:tc>
        <w:tc>
          <w:tcPr>
            <w:tcW w:w="1715" w:type="dxa"/>
            <w:gridSpan w:val="2"/>
            <w:tcBorders>
              <w:top w:val="nil"/>
            </w:tcBorders>
            <w:vAlign w:val="center"/>
          </w:tcPr>
          <w:p w:rsidR="00000000" w:rsidRDefault="00000000">
            <w:pPr>
              <w:spacing w:after="0"/>
              <w:jc w:val="center"/>
              <w:rPr>
                <w:sz w:val="20"/>
              </w:rPr>
            </w:pPr>
            <w:r>
              <w:rPr>
                <w:sz w:val="20"/>
              </w:rPr>
              <w:t>0.28</w:t>
            </w:r>
          </w:p>
        </w:tc>
      </w:tr>
    </w:tbl>
    <w:p w:rsidR="00000000" w:rsidRDefault="00000000">
      <w:pPr>
        <w:spacing w:before="320" w:after="360"/>
      </w:pPr>
      <w:r>
        <w:tab/>
      </w:r>
      <w:r>
        <w:rPr>
          <w:i/>
          <w:iCs/>
        </w:rPr>
        <w:t>Note</w:t>
      </w:r>
      <w:r>
        <w:t>:  A household is considered poor if two or more basic needs are not satisfied.</w:t>
      </w:r>
    </w:p>
    <w:p w:rsidR="00000000" w:rsidRDefault="00000000">
      <w:pPr>
        <w:pStyle w:val="Heading2"/>
      </w:pPr>
      <w:r>
        <w:t>Table 29</w:t>
      </w:r>
    </w:p>
    <w:p w:rsidR="00000000" w:rsidRDefault="00000000">
      <w:pPr>
        <w:pStyle w:val="Heading2"/>
      </w:pPr>
      <w:r>
        <w:t>Unsatisfied basic needs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0"/>
        <w:gridCol w:w="1204"/>
        <w:gridCol w:w="1489"/>
        <w:gridCol w:w="1488"/>
        <w:gridCol w:w="1205"/>
      </w:tblGrid>
      <w:tr w:rsidR="00000000">
        <w:tblPrEx>
          <w:tblCellMar>
            <w:top w:w="0" w:type="dxa"/>
            <w:bottom w:w="0" w:type="dxa"/>
          </w:tblCellMar>
        </w:tblPrEx>
        <w:trPr>
          <w:jc w:val="center"/>
        </w:trPr>
        <w:tc>
          <w:tcPr>
            <w:tcW w:w="3970" w:type="dxa"/>
            <w:tcBorders>
              <w:bottom w:val="single" w:sz="4" w:space="0" w:color="auto"/>
            </w:tcBorders>
          </w:tcPr>
          <w:p w:rsidR="00000000" w:rsidRDefault="00000000">
            <w:pPr>
              <w:pStyle w:val="Header"/>
              <w:tabs>
                <w:tab w:val="clear" w:pos="4320"/>
                <w:tab w:val="clear" w:pos="8640"/>
              </w:tabs>
              <w:spacing w:after="0"/>
            </w:pPr>
          </w:p>
        </w:tc>
        <w:tc>
          <w:tcPr>
            <w:tcW w:w="1204" w:type="dxa"/>
            <w:tcBorders>
              <w:bottom w:val="single" w:sz="4" w:space="0" w:color="auto"/>
            </w:tcBorders>
          </w:tcPr>
          <w:p w:rsidR="00000000" w:rsidRDefault="00000000">
            <w:pPr>
              <w:spacing w:after="0"/>
              <w:jc w:val="center"/>
            </w:pPr>
            <w:r>
              <w:t>Tirana</w:t>
            </w:r>
          </w:p>
        </w:tc>
        <w:tc>
          <w:tcPr>
            <w:tcW w:w="1489" w:type="dxa"/>
            <w:tcBorders>
              <w:bottom w:val="single" w:sz="4" w:space="0" w:color="auto"/>
            </w:tcBorders>
          </w:tcPr>
          <w:p w:rsidR="00000000" w:rsidRDefault="00000000">
            <w:pPr>
              <w:spacing w:after="0"/>
              <w:jc w:val="center"/>
            </w:pPr>
            <w:r>
              <w:t>Urban areas</w:t>
            </w:r>
          </w:p>
        </w:tc>
        <w:tc>
          <w:tcPr>
            <w:tcW w:w="1488" w:type="dxa"/>
            <w:tcBorders>
              <w:bottom w:val="single" w:sz="4" w:space="0" w:color="auto"/>
            </w:tcBorders>
          </w:tcPr>
          <w:p w:rsidR="00000000" w:rsidRDefault="00000000">
            <w:pPr>
              <w:spacing w:after="0"/>
              <w:jc w:val="center"/>
            </w:pPr>
            <w:r>
              <w:t>Rural areas</w:t>
            </w:r>
          </w:p>
        </w:tc>
        <w:tc>
          <w:tcPr>
            <w:tcW w:w="1205"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3970" w:type="dxa"/>
            <w:tcBorders>
              <w:bottom w:val="nil"/>
            </w:tcBorders>
          </w:tcPr>
          <w:p w:rsidR="00000000" w:rsidRDefault="00000000">
            <w:pPr>
              <w:spacing w:after="0"/>
            </w:pPr>
            <w:r>
              <w:t>Water and insufficient hygiene*</w:t>
            </w:r>
          </w:p>
        </w:tc>
        <w:tc>
          <w:tcPr>
            <w:tcW w:w="1204" w:type="dxa"/>
            <w:tcBorders>
              <w:bottom w:val="nil"/>
            </w:tcBorders>
          </w:tcPr>
          <w:p w:rsidR="00000000" w:rsidRDefault="00000000">
            <w:pPr>
              <w:pStyle w:val="Header"/>
              <w:tabs>
                <w:tab w:val="clear" w:pos="4320"/>
                <w:tab w:val="clear" w:pos="8640"/>
                <w:tab w:val="right" w:pos="601"/>
              </w:tabs>
              <w:spacing w:after="0"/>
            </w:pPr>
            <w:r>
              <w:tab/>
              <w:t>0.5</w:t>
            </w:r>
          </w:p>
        </w:tc>
        <w:tc>
          <w:tcPr>
            <w:tcW w:w="1489" w:type="dxa"/>
            <w:tcBorders>
              <w:bottom w:val="nil"/>
            </w:tcBorders>
          </w:tcPr>
          <w:p w:rsidR="00000000" w:rsidRDefault="00000000">
            <w:pPr>
              <w:tabs>
                <w:tab w:val="right" w:pos="814"/>
              </w:tabs>
              <w:spacing w:after="0"/>
            </w:pPr>
            <w:r>
              <w:tab/>
              <w:t>2.6</w:t>
            </w:r>
          </w:p>
        </w:tc>
        <w:tc>
          <w:tcPr>
            <w:tcW w:w="1488" w:type="dxa"/>
            <w:tcBorders>
              <w:bottom w:val="nil"/>
            </w:tcBorders>
          </w:tcPr>
          <w:p w:rsidR="00000000" w:rsidRDefault="00000000">
            <w:pPr>
              <w:tabs>
                <w:tab w:val="right" w:pos="884"/>
              </w:tabs>
              <w:spacing w:after="0"/>
            </w:pPr>
            <w:r>
              <w:tab/>
              <w:t>28.6</w:t>
            </w:r>
          </w:p>
        </w:tc>
        <w:tc>
          <w:tcPr>
            <w:tcW w:w="1205" w:type="dxa"/>
            <w:tcBorders>
              <w:bottom w:val="nil"/>
            </w:tcBorders>
          </w:tcPr>
          <w:p w:rsidR="00000000" w:rsidRDefault="00000000">
            <w:pPr>
              <w:pStyle w:val="Header"/>
              <w:tabs>
                <w:tab w:val="clear" w:pos="4320"/>
                <w:tab w:val="clear" w:pos="8640"/>
                <w:tab w:val="right" w:pos="672"/>
              </w:tabs>
              <w:spacing w:after="0"/>
            </w:pPr>
            <w:r>
              <w:tab/>
              <w:t>17.5</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Inappropriate housing conditions**</w:t>
            </w:r>
          </w:p>
        </w:tc>
        <w:tc>
          <w:tcPr>
            <w:tcW w:w="1204" w:type="dxa"/>
            <w:tcBorders>
              <w:top w:val="nil"/>
              <w:bottom w:val="nil"/>
            </w:tcBorders>
          </w:tcPr>
          <w:p w:rsidR="00000000" w:rsidRDefault="00000000">
            <w:pPr>
              <w:tabs>
                <w:tab w:val="right" w:pos="601"/>
              </w:tabs>
              <w:spacing w:after="0"/>
            </w:pPr>
            <w:r>
              <w:tab/>
              <w:t>8.5</w:t>
            </w:r>
          </w:p>
        </w:tc>
        <w:tc>
          <w:tcPr>
            <w:tcW w:w="1489" w:type="dxa"/>
            <w:tcBorders>
              <w:top w:val="nil"/>
              <w:bottom w:val="nil"/>
            </w:tcBorders>
          </w:tcPr>
          <w:p w:rsidR="00000000" w:rsidRDefault="00000000">
            <w:pPr>
              <w:tabs>
                <w:tab w:val="right" w:pos="814"/>
              </w:tabs>
              <w:spacing w:after="0"/>
            </w:pPr>
            <w:r>
              <w:tab/>
              <w:t>6.3</w:t>
            </w:r>
          </w:p>
        </w:tc>
        <w:tc>
          <w:tcPr>
            <w:tcW w:w="1488" w:type="dxa"/>
            <w:tcBorders>
              <w:top w:val="nil"/>
              <w:bottom w:val="nil"/>
            </w:tcBorders>
          </w:tcPr>
          <w:p w:rsidR="00000000" w:rsidRDefault="00000000">
            <w:pPr>
              <w:tabs>
                <w:tab w:val="right" w:pos="884"/>
              </w:tabs>
              <w:spacing w:after="0"/>
            </w:pPr>
            <w:r>
              <w:tab/>
              <w:t>16.5</w:t>
            </w:r>
          </w:p>
        </w:tc>
        <w:tc>
          <w:tcPr>
            <w:tcW w:w="1205" w:type="dxa"/>
            <w:tcBorders>
              <w:top w:val="nil"/>
              <w:bottom w:val="nil"/>
            </w:tcBorders>
          </w:tcPr>
          <w:p w:rsidR="00000000" w:rsidRDefault="00000000">
            <w:pPr>
              <w:tabs>
                <w:tab w:val="right" w:pos="672"/>
              </w:tabs>
              <w:spacing w:after="0"/>
            </w:pPr>
            <w:r>
              <w:tab/>
              <w:t>12.5</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Insufficient power supply***</w:t>
            </w:r>
          </w:p>
        </w:tc>
        <w:tc>
          <w:tcPr>
            <w:tcW w:w="1204" w:type="dxa"/>
            <w:tcBorders>
              <w:top w:val="nil"/>
              <w:bottom w:val="nil"/>
            </w:tcBorders>
          </w:tcPr>
          <w:p w:rsidR="00000000" w:rsidRDefault="00000000">
            <w:pPr>
              <w:tabs>
                <w:tab w:val="right" w:pos="601"/>
              </w:tabs>
              <w:spacing w:after="0"/>
            </w:pPr>
            <w:r>
              <w:tab/>
              <w:t>1.7</w:t>
            </w:r>
          </w:p>
        </w:tc>
        <w:tc>
          <w:tcPr>
            <w:tcW w:w="1489" w:type="dxa"/>
            <w:tcBorders>
              <w:top w:val="nil"/>
              <w:bottom w:val="nil"/>
            </w:tcBorders>
          </w:tcPr>
          <w:p w:rsidR="00000000" w:rsidRDefault="00000000">
            <w:pPr>
              <w:tabs>
                <w:tab w:val="right" w:pos="814"/>
              </w:tabs>
              <w:spacing w:after="0"/>
            </w:pPr>
            <w:r>
              <w:tab/>
              <w:t>9.0</w:t>
            </w:r>
          </w:p>
        </w:tc>
        <w:tc>
          <w:tcPr>
            <w:tcW w:w="1488" w:type="dxa"/>
            <w:tcBorders>
              <w:top w:val="nil"/>
              <w:bottom w:val="nil"/>
            </w:tcBorders>
          </w:tcPr>
          <w:p w:rsidR="00000000" w:rsidRDefault="00000000">
            <w:pPr>
              <w:tabs>
                <w:tab w:val="right" w:pos="884"/>
              </w:tabs>
              <w:spacing w:after="0"/>
            </w:pPr>
            <w:r>
              <w:tab/>
              <w:t>18.1</w:t>
            </w:r>
          </w:p>
        </w:tc>
        <w:tc>
          <w:tcPr>
            <w:tcW w:w="1205" w:type="dxa"/>
            <w:tcBorders>
              <w:top w:val="nil"/>
              <w:bottom w:val="nil"/>
            </w:tcBorders>
          </w:tcPr>
          <w:p w:rsidR="00000000" w:rsidRDefault="00000000">
            <w:pPr>
              <w:tabs>
                <w:tab w:val="right" w:pos="672"/>
              </w:tabs>
              <w:spacing w:after="0"/>
            </w:pPr>
            <w:r>
              <w:tab/>
              <w:t>13.5</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Overpopulation (more than </w:t>
            </w:r>
            <w:r>
              <w:br/>
              <w:t xml:space="preserve">  three persons/room)</w:t>
            </w:r>
          </w:p>
        </w:tc>
        <w:tc>
          <w:tcPr>
            <w:tcW w:w="1204" w:type="dxa"/>
            <w:tcBorders>
              <w:top w:val="nil"/>
              <w:bottom w:val="nil"/>
            </w:tcBorders>
            <w:vAlign w:val="center"/>
          </w:tcPr>
          <w:p w:rsidR="00000000" w:rsidRDefault="00000000">
            <w:pPr>
              <w:tabs>
                <w:tab w:val="right" w:pos="601"/>
              </w:tabs>
              <w:spacing w:after="0"/>
            </w:pPr>
            <w:r>
              <w:tab/>
              <w:t>10.3</w:t>
            </w:r>
          </w:p>
        </w:tc>
        <w:tc>
          <w:tcPr>
            <w:tcW w:w="1489" w:type="dxa"/>
            <w:tcBorders>
              <w:top w:val="nil"/>
              <w:bottom w:val="nil"/>
            </w:tcBorders>
            <w:vAlign w:val="center"/>
          </w:tcPr>
          <w:p w:rsidR="00000000" w:rsidRDefault="00000000">
            <w:pPr>
              <w:tabs>
                <w:tab w:val="right" w:pos="814"/>
              </w:tabs>
              <w:spacing w:after="0"/>
            </w:pPr>
            <w:r>
              <w:tab/>
              <w:t>15.6</w:t>
            </w:r>
          </w:p>
        </w:tc>
        <w:tc>
          <w:tcPr>
            <w:tcW w:w="1488" w:type="dxa"/>
            <w:tcBorders>
              <w:top w:val="nil"/>
              <w:bottom w:val="nil"/>
            </w:tcBorders>
            <w:vAlign w:val="center"/>
          </w:tcPr>
          <w:p w:rsidR="00000000" w:rsidRDefault="00000000">
            <w:pPr>
              <w:tabs>
                <w:tab w:val="right" w:pos="884"/>
              </w:tabs>
              <w:spacing w:after="0"/>
            </w:pPr>
            <w:r>
              <w:tab/>
              <w:t>18.6</w:t>
            </w:r>
          </w:p>
        </w:tc>
        <w:tc>
          <w:tcPr>
            <w:tcW w:w="1205" w:type="dxa"/>
            <w:tcBorders>
              <w:top w:val="nil"/>
              <w:bottom w:val="nil"/>
            </w:tcBorders>
            <w:vAlign w:val="center"/>
          </w:tcPr>
          <w:p w:rsidR="00000000" w:rsidRDefault="00000000">
            <w:pPr>
              <w:tabs>
                <w:tab w:val="right" w:pos="672"/>
              </w:tabs>
              <w:spacing w:after="0"/>
            </w:pPr>
            <w:r>
              <w:tab/>
              <w:t>16.7</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Education (family head without </w:t>
            </w:r>
            <w:r>
              <w:br/>
              <w:t xml:space="preserve">  primary education)</w:t>
            </w:r>
          </w:p>
        </w:tc>
        <w:tc>
          <w:tcPr>
            <w:tcW w:w="1204" w:type="dxa"/>
            <w:tcBorders>
              <w:top w:val="nil"/>
              <w:bottom w:val="nil"/>
            </w:tcBorders>
            <w:vAlign w:val="center"/>
          </w:tcPr>
          <w:p w:rsidR="00000000" w:rsidRDefault="00000000">
            <w:pPr>
              <w:tabs>
                <w:tab w:val="right" w:pos="601"/>
              </w:tabs>
              <w:spacing w:after="0"/>
            </w:pPr>
            <w:r>
              <w:tab/>
              <w:t>34.7</w:t>
            </w:r>
          </w:p>
        </w:tc>
        <w:tc>
          <w:tcPr>
            <w:tcW w:w="1489" w:type="dxa"/>
            <w:tcBorders>
              <w:top w:val="nil"/>
              <w:bottom w:val="nil"/>
            </w:tcBorders>
            <w:vAlign w:val="center"/>
          </w:tcPr>
          <w:p w:rsidR="00000000" w:rsidRDefault="00000000">
            <w:pPr>
              <w:tabs>
                <w:tab w:val="right" w:pos="814"/>
              </w:tabs>
              <w:spacing w:after="0"/>
            </w:pPr>
            <w:r>
              <w:tab/>
              <w:t>47.0</w:t>
            </w:r>
          </w:p>
        </w:tc>
        <w:tc>
          <w:tcPr>
            <w:tcW w:w="1488" w:type="dxa"/>
            <w:tcBorders>
              <w:top w:val="nil"/>
              <w:bottom w:val="nil"/>
            </w:tcBorders>
            <w:vAlign w:val="center"/>
          </w:tcPr>
          <w:p w:rsidR="00000000" w:rsidRDefault="00000000">
            <w:pPr>
              <w:tabs>
                <w:tab w:val="right" w:pos="884"/>
              </w:tabs>
              <w:spacing w:after="0"/>
            </w:pPr>
            <w:r>
              <w:tab/>
              <w:t>74.8</w:t>
            </w:r>
          </w:p>
        </w:tc>
        <w:tc>
          <w:tcPr>
            <w:tcW w:w="1205" w:type="dxa"/>
            <w:tcBorders>
              <w:top w:val="nil"/>
              <w:bottom w:val="nil"/>
            </w:tcBorders>
            <w:vAlign w:val="center"/>
          </w:tcPr>
          <w:p w:rsidR="00000000" w:rsidRDefault="00000000">
            <w:pPr>
              <w:tabs>
                <w:tab w:val="right" w:pos="672"/>
              </w:tabs>
              <w:spacing w:after="0"/>
            </w:pPr>
            <w:r>
              <w:tab/>
              <w:t>61.2</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Poor (two or more UBN)</w:t>
            </w:r>
          </w:p>
        </w:tc>
        <w:tc>
          <w:tcPr>
            <w:tcW w:w="1204" w:type="dxa"/>
            <w:tcBorders>
              <w:top w:val="nil"/>
              <w:bottom w:val="nil"/>
            </w:tcBorders>
          </w:tcPr>
          <w:p w:rsidR="00000000" w:rsidRDefault="00000000">
            <w:pPr>
              <w:tabs>
                <w:tab w:val="right" w:pos="601"/>
              </w:tabs>
              <w:spacing w:after="0"/>
            </w:pPr>
            <w:r>
              <w:tab/>
              <w:t>11.5</w:t>
            </w:r>
          </w:p>
        </w:tc>
        <w:tc>
          <w:tcPr>
            <w:tcW w:w="1489" w:type="dxa"/>
            <w:tcBorders>
              <w:top w:val="nil"/>
              <w:bottom w:val="nil"/>
            </w:tcBorders>
          </w:tcPr>
          <w:p w:rsidR="00000000" w:rsidRDefault="00000000">
            <w:pPr>
              <w:tabs>
                <w:tab w:val="right" w:pos="814"/>
              </w:tabs>
              <w:spacing w:after="0"/>
            </w:pPr>
            <w:r>
              <w:tab/>
              <w:t>16.6</w:t>
            </w:r>
          </w:p>
        </w:tc>
        <w:tc>
          <w:tcPr>
            <w:tcW w:w="1488" w:type="dxa"/>
            <w:tcBorders>
              <w:top w:val="nil"/>
              <w:bottom w:val="nil"/>
            </w:tcBorders>
          </w:tcPr>
          <w:p w:rsidR="00000000" w:rsidRDefault="00000000">
            <w:pPr>
              <w:tabs>
                <w:tab w:val="right" w:pos="884"/>
              </w:tabs>
              <w:spacing w:after="0"/>
            </w:pPr>
            <w:r>
              <w:tab/>
              <w:t>47.2</w:t>
            </w:r>
          </w:p>
        </w:tc>
        <w:tc>
          <w:tcPr>
            <w:tcW w:w="1205" w:type="dxa"/>
            <w:tcBorders>
              <w:top w:val="nil"/>
              <w:bottom w:val="nil"/>
            </w:tcBorders>
          </w:tcPr>
          <w:p w:rsidR="00000000" w:rsidRDefault="00000000">
            <w:pPr>
              <w:tabs>
                <w:tab w:val="right" w:pos="672"/>
              </w:tabs>
              <w:spacing w:after="0"/>
            </w:pPr>
            <w:r>
              <w:tab/>
              <w:t>33.8</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Extremely poor (three or more UBN)</w:t>
            </w:r>
          </w:p>
        </w:tc>
        <w:tc>
          <w:tcPr>
            <w:tcW w:w="1204" w:type="dxa"/>
            <w:tcBorders>
              <w:top w:val="nil"/>
              <w:bottom w:val="nil"/>
            </w:tcBorders>
          </w:tcPr>
          <w:p w:rsidR="00000000" w:rsidRDefault="00000000">
            <w:pPr>
              <w:tabs>
                <w:tab w:val="right" w:pos="601"/>
              </w:tabs>
              <w:spacing w:after="0"/>
            </w:pPr>
            <w:r>
              <w:tab/>
              <w:t>2.3</w:t>
            </w:r>
          </w:p>
        </w:tc>
        <w:tc>
          <w:tcPr>
            <w:tcW w:w="1489" w:type="dxa"/>
            <w:tcBorders>
              <w:top w:val="nil"/>
              <w:bottom w:val="nil"/>
            </w:tcBorders>
          </w:tcPr>
          <w:p w:rsidR="00000000" w:rsidRDefault="00000000">
            <w:pPr>
              <w:tabs>
                <w:tab w:val="right" w:pos="814"/>
              </w:tabs>
              <w:spacing w:after="0"/>
            </w:pPr>
            <w:r>
              <w:tab/>
              <w:t>3.2</w:t>
            </w:r>
          </w:p>
        </w:tc>
        <w:tc>
          <w:tcPr>
            <w:tcW w:w="1488" w:type="dxa"/>
            <w:tcBorders>
              <w:top w:val="nil"/>
              <w:bottom w:val="nil"/>
            </w:tcBorders>
          </w:tcPr>
          <w:p w:rsidR="00000000" w:rsidRDefault="00000000">
            <w:pPr>
              <w:tabs>
                <w:tab w:val="right" w:pos="884"/>
              </w:tabs>
              <w:spacing w:after="0"/>
            </w:pPr>
            <w:r>
              <w:tab/>
              <w:t>18.3</w:t>
            </w:r>
          </w:p>
        </w:tc>
        <w:tc>
          <w:tcPr>
            <w:tcW w:w="1205" w:type="dxa"/>
            <w:tcBorders>
              <w:top w:val="nil"/>
              <w:bottom w:val="nil"/>
            </w:tcBorders>
          </w:tcPr>
          <w:p w:rsidR="00000000" w:rsidRDefault="00000000">
            <w:pPr>
              <w:tabs>
                <w:tab w:val="right" w:pos="672"/>
              </w:tabs>
              <w:spacing w:after="0"/>
            </w:pPr>
            <w:r>
              <w:tab/>
              <w:t>11.9</w:t>
            </w:r>
          </w:p>
        </w:tc>
      </w:tr>
      <w:tr w:rsidR="00000000">
        <w:tblPrEx>
          <w:tblCellMar>
            <w:top w:w="0" w:type="dxa"/>
            <w:bottom w:w="0" w:type="dxa"/>
          </w:tblCellMar>
        </w:tblPrEx>
        <w:trPr>
          <w:jc w:val="center"/>
        </w:trPr>
        <w:tc>
          <w:tcPr>
            <w:tcW w:w="3970" w:type="dxa"/>
            <w:tcBorders>
              <w:top w:val="nil"/>
            </w:tcBorders>
          </w:tcPr>
          <w:p w:rsidR="00000000" w:rsidRDefault="00000000">
            <w:pPr>
              <w:spacing w:after="0"/>
            </w:pPr>
            <w:r>
              <w:t>Not poor (one or no UBN)</w:t>
            </w:r>
          </w:p>
        </w:tc>
        <w:tc>
          <w:tcPr>
            <w:tcW w:w="1204" w:type="dxa"/>
            <w:tcBorders>
              <w:top w:val="nil"/>
            </w:tcBorders>
          </w:tcPr>
          <w:p w:rsidR="00000000" w:rsidRDefault="00000000">
            <w:pPr>
              <w:tabs>
                <w:tab w:val="right" w:pos="601"/>
              </w:tabs>
              <w:spacing w:after="0"/>
            </w:pPr>
            <w:r>
              <w:tab/>
              <w:t>88.5</w:t>
            </w:r>
          </w:p>
        </w:tc>
        <w:tc>
          <w:tcPr>
            <w:tcW w:w="1489" w:type="dxa"/>
            <w:tcBorders>
              <w:top w:val="nil"/>
            </w:tcBorders>
          </w:tcPr>
          <w:p w:rsidR="00000000" w:rsidRDefault="00000000">
            <w:pPr>
              <w:tabs>
                <w:tab w:val="right" w:pos="814"/>
              </w:tabs>
              <w:spacing w:after="0"/>
            </w:pPr>
            <w:r>
              <w:tab/>
              <w:t>83.4</w:t>
            </w:r>
          </w:p>
        </w:tc>
        <w:tc>
          <w:tcPr>
            <w:tcW w:w="1488" w:type="dxa"/>
            <w:tcBorders>
              <w:top w:val="nil"/>
            </w:tcBorders>
          </w:tcPr>
          <w:p w:rsidR="00000000" w:rsidRDefault="00000000">
            <w:pPr>
              <w:tabs>
                <w:tab w:val="right" w:pos="884"/>
              </w:tabs>
              <w:spacing w:after="0"/>
            </w:pPr>
            <w:r>
              <w:tab/>
              <w:t>52.9</w:t>
            </w:r>
          </w:p>
        </w:tc>
        <w:tc>
          <w:tcPr>
            <w:tcW w:w="1205" w:type="dxa"/>
            <w:tcBorders>
              <w:top w:val="nil"/>
            </w:tcBorders>
          </w:tcPr>
          <w:p w:rsidR="00000000" w:rsidRDefault="00000000">
            <w:pPr>
              <w:tabs>
                <w:tab w:val="right" w:pos="672"/>
              </w:tabs>
              <w:spacing w:after="0"/>
            </w:pPr>
            <w:r>
              <w:tab/>
              <w:t>66.2</w:t>
            </w:r>
          </w:p>
        </w:tc>
      </w:tr>
    </w:tbl>
    <w:p w:rsidR="00000000" w:rsidRDefault="00000000">
      <w:pPr>
        <w:spacing w:before="320"/>
      </w:pPr>
      <w:r>
        <w:t xml:space="preserve">           *  Insufficient water and hygiene:  flowing water and WC with water pipes, both </w:t>
      </w:r>
      <w:r>
        <w:br/>
        <w:t>insufficient.</w:t>
      </w:r>
    </w:p>
    <w:p w:rsidR="00000000" w:rsidRDefault="00000000">
      <w:r>
        <w:t xml:space="preserve">         **  Subjective estimation (inappropriate conditions for living, or house under </w:t>
      </w:r>
      <w:r>
        <w:br/>
        <w:t>construction).</w:t>
      </w:r>
    </w:p>
    <w:p w:rsidR="00000000" w:rsidRDefault="00000000">
      <w:r>
        <w:t xml:space="preserve">       ***  Insufficient power:  more than six hours daily interruption of power supply.</w:t>
      </w:r>
    </w:p>
    <w:p w:rsidR="00000000" w:rsidRDefault="00000000">
      <w:pPr>
        <w:pStyle w:val="Heading2"/>
      </w:pPr>
      <w:r>
        <w:br w:type="page"/>
        <w:t>Table 30</w:t>
      </w:r>
    </w:p>
    <w:p w:rsidR="00000000" w:rsidRDefault="00000000">
      <w:pPr>
        <w:pStyle w:val="Heading2"/>
      </w:pPr>
      <w:r>
        <w:t>Moderate and extreme malnutrition of children less than five years old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300"/>
        <w:gridCol w:w="1300"/>
        <w:gridCol w:w="1300"/>
        <w:gridCol w:w="1300"/>
        <w:gridCol w:w="1300"/>
        <w:gridCol w:w="1300"/>
      </w:tblGrid>
      <w:tr w:rsidR="00000000">
        <w:tblPrEx>
          <w:tblCellMar>
            <w:top w:w="0" w:type="dxa"/>
            <w:bottom w:w="0" w:type="dxa"/>
          </w:tblCellMar>
        </w:tblPrEx>
        <w:trPr>
          <w:cantSplit/>
        </w:trPr>
        <w:tc>
          <w:tcPr>
            <w:tcW w:w="1560" w:type="dxa"/>
            <w:vMerge w:val="restart"/>
          </w:tcPr>
          <w:p w:rsidR="00000000" w:rsidRDefault="00000000">
            <w:pPr>
              <w:pStyle w:val="Header"/>
              <w:tabs>
                <w:tab w:val="clear" w:pos="4320"/>
                <w:tab w:val="clear" w:pos="8640"/>
              </w:tabs>
              <w:spacing w:after="0"/>
            </w:pPr>
          </w:p>
        </w:tc>
        <w:tc>
          <w:tcPr>
            <w:tcW w:w="2600" w:type="dxa"/>
            <w:gridSpan w:val="2"/>
          </w:tcPr>
          <w:p w:rsidR="00000000" w:rsidRDefault="00000000">
            <w:pPr>
              <w:spacing w:after="0"/>
              <w:jc w:val="center"/>
            </w:pPr>
            <w:r>
              <w:t>Undeveloped</w:t>
            </w:r>
          </w:p>
        </w:tc>
        <w:tc>
          <w:tcPr>
            <w:tcW w:w="2600" w:type="dxa"/>
            <w:gridSpan w:val="2"/>
          </w:tcPr>
          <w:p w:rsidR="00000000" w:rsidRDefault="00000000">
            <w:pPr>
              <w:spacing w:after="0"/>
              <w:jc w:val="center"/>
            </w:pPr>
            <w:r>
              <w:t>Wasting</w:t>
            </w:r>
          </w:p>
        </w:tc>
        <w:tc>
          <w:tcPr>
            <w:tcW w:w="2600" w:type="dxa"/>
            <w:gridSpan w:val="2"/>
          </w:tcPr>
          <w:p w:rsidR="00000000" w:rsidRDefault="00000000">
            <w:pPr>
              <w:spacing w:after="0"/>
              <w:jc w:val="center"/>
            </w:pPr>
            <w:r>
              <w:t>Underweight</w:t>
            </w:r>
          </w:p>
        </w:tc>
      </w:tr>
      <w:tr w:rsidR="00000000">
        <w:tblPrEx>
          <w:tblCellMar>
            <w:top w:w="0" w:type="dxa"/>
            <w:bottom w:w="0" w:type="dxa"/>
          </w:tblCellMar>
        </w:tblPrEx>
        <w:trPr>
          <w:cantSplit/>
        </w:trPr>
        <w:tc>
          <w:tcPr>
            <w:tcW w:w="1560" w:type="dxa"/>
            <w:vMerge/>
            <w:tcBorders>
              <w:bottom w:val="single" w:sz="4" w:space="0" w:color="auto"/>
            </w:tcBorders>
          </w:tcPr>
          <w:p w:rsidR="00000000" w:rsidRDefault="00000000">
            <w:pPr>
              <w:spacing w:after="0"/>
            </w:pPr>
          </w:p>
        </w:tc>
        <w:tc>
          <w:tcPr>
            <w:tcW w:w="1300" w:type="dxa"/>
            <w:tcBorders>
              <w:bottom w:val="single" w:sz="4" w:space="0" w:color="auto"/>
            </w:tcBorders>
          </w:tcPr>
          <w:p w:rsidR="00000000" w:rsidRDefault="00000000">
            <w:pPr>
              <w:spacing w:after="0"/>
              <w:jc w:val="center"/>
            </w:pPr>
            <w:r>
              <w:t>Moderate</w:t>
            </w:r>
          </w:p>
        </w:tc>
        <w:tc>
          <w:tcPr>
            <w:tcW w:w="1300" w:type="dxa"/>
            <w:tcBorders>
              <w:bottom w:val="single" w:sz="4" w:space="0" w:color="auto"/>
            </w:tcBorders>
          </w:tcPr>
          <w:p w:rsidR="00000000" w:rsidRDefault="00000000">
            <w:pPr>
              <w:spacing w:after="0"/>
              <w:jc w:val="center"/>
            </w:pPr>
            <w:r>
              <w:t>Extreme</w:t>
            </w:r>
          </w:p>
        </w:tc>
        <w:tc>
          <w:tcPr>
            <w:tcW w:w="1300" w:type="dxa"/>
            <w:tcBorders>
              <w:bottom w:val="single" w:sz="4" w:space="0" w:color="auto"/>
            </w:tcBorders>
          </w:tcPr>
          <w:p w:rsidR="00000000" w:rsidRDefault="00000000">
            <w:pPr>
              <w:spacing w:after="0"/>
              <w:jc w:val="center"/>
            </w:pPr>
            <w:r>
              <w:t>Moderate</w:t>
            </w:r>
          </w:p>
        </w:tc>
        <w:tc>
          <w:tcPr>
            <w:tcW w:w="1300" w:type="dxa"/>
            <w:tcBorders>
              <w:bottom w:val="single" w:sz="4" w:space="0" w:color="auto"/>
            </w:tcBorders>
          </w:tcPr>
          <w:p w:rsidR="00000000" w:rsidRDefault="00000000">
            <w:pPr>
              <w:spacing w:after="0"/>
              <w:jc w:val="center"/>
            </w:pPr>
            <w:r>
              <w:t>Extreme</w:t>
            </w:r>
          </w:p>
        </w:tc>
        <w:tc>
          <w:tcPr>
            <w:tcW w:w="1300" w:type="dxa"/>
            <w:tcBorders>
              <w:bottom w:val="single" w:sz="4" w:space="0" w:color="auto"/>
            </w:tcBorders>
          </w:tcPr>
          <w:p w:rsidR="00000000" w:rsidRDefault="00000000">
            <w:pPr>
              <w:spacing w:after="0"/>
              <w:jc w:val="center"/>
            </w:pPr>
            <w:r>
              <w:t>Moderate</w:t>
            </w:r>
          </w:p>
        </w:tc>
        <w:tc>
          <w:tcPr>
            <w:tcW w:w="1300" w:type="dxa"/>
            <w:tcBorders>
              <w:bottom w:val="single" w:sz="4" w:space="0" w:color="auto"/>
            </w:tcBorders>
          </w:tcPr>
          <w:p w:rsidR="00000000" w:rsidRDefault="00000000">
            <w:pPr>
              <w:spacing w:after="0"/>
              <w:jc w:val="center"/>
            </w:pPr>
            <w:r>
              <w:t>Extreme</w:t>
            </w:r>
          </w:p>
        </w:tc>
      </w:tr>
      <w:tr w:rsidR="00000000">
        <w:tblPrEx>
          <w:tblCellMar>
            <w:top w:w="0" w:type="dxa"/>
            <w:bottom w:w="0" w:type="dxa"/>
          </w:tblCellMar>
        </w:tblPrEx>
        <w:tc>
          <w:tcPr>
            <w:tcW w:w="1560" w:type="dxa"/>
            <w:tcBorders>
              <w:bottom w:val="nil"/>
            </w:tcBorders>
          </w:tcPr>
          <w:p w:rsidR="00000000" w:rsidRDefault="00000000">
            <w:pPr>
              <w:pStyle w:val="Header"/>
              <w:tabs>
                <w:tab w:val="clear" w:pos="4320"/>
                <w:tab w:val="clear" w:pos="8640"/>
              </w:tabs>
              <w:spacing w:after="0"/>
            </w:pPr>
            <w:r>
              <w:t>Areas</w:t>
            </w:r>
          </w:p>
        </w:tc>
        <w:tc>
          <w:tcPr>
            <w:tcW w:w="1300" w:type="dxa"/>
            <w:tcBorders>
              <w:bottom w:val="nil"/>
            </w:tcBorders>
          </w:tcPr>
          <w:p w:rsidR="00000000" w:rsidRDefault="00000000">
            <w:pPr>
              <w:spacing w:after="0"/>
              <w:jc w:val="center"/>
            </w:pPr>
          </w:p>
        </w:tc>
        <w:tc>
          <w:tcPr>
            <w:tcW w:w="1300" w:type="dxa"/>
            <w:tcBorders>
              <w:bottom w:val="nil"/>
            </w:tcBorders>
          </w:tcPr>
          <w:p w:rsidR="00000000" w:rsidRDefault="00000000">
            <w:pPr>
              <w:spacing w:after="0"/>
              <w:jc w:val="center"/>
            </w:pPr>
          </w:p>
        </w:tc>
        <w:tc>
          <w:tcPr>
            <w:tcW w:w="1300" w:type="dxa"/>
            <w:tcBorders>
              <w:bottom w:val="nil"/>
            </w:tcBorders>
          </w:tcPr>
          <w:p w:rsidR="00000000" w:rsidRDefault="00000000">
            <w:pPr>
              <w:spacing w:after="0"/>
              <w:jc w:val="center"/>
            </w:pPr>
          </w:p>
        </w:tc>
        <w:tc>
          <w:tcPr>
            <w:tcW w:w="1300" w:type="dxa"/>
            <w:tcBorders>
              <w:bottom w:val="nil"/>
            </w:tcBorders>
          </w:tcPr>
          <w:p w:rsidR="00000000" w:rsidRDefault="00000000">
            <w:pPr>
              <w:spacing w:after="0"/>
              <w:jc w:val="center"/>
            </w:pPr>
          </w:p>
        </w:tc>
        <w:tc>
          <w:tcPr>
            <w:tcW w:w="1300" w:type="dxa"/>
            <w:tcBorders>
              <w:bottom w:val="nil"/>
            </w:tcBorders>
          </w:tcPr>
          <w:p w:rsidR="00000000" w:rsidRDefault="00000000">
            <w:pPr>
              <w:spacing w:after="0"/>
              <w:jc w:val="center"/>
            </w:pPr>
          </w:p>
        </w:tc>
        <w:tc>
          <w:tcPr>
            <w:tcW w:w="1300" w:type="dxa"/>
            <w:tcBorders>
              <w:bottom w:val="nil"/>
            </w:tcBorders>
          </w:tcPr>
          <w:p w:rsidR="00000000" w:rsidRDefault="00000000">
            <w:pPr>
              <w:spacing w:after="0"/>
              <w:jc w:val="center"/>
            </w:pPr>
          </w:p>
        </w:tc>
      </w:tr>
      <w:tr w:rsidR="00000000">
        <w:tblPrEx>
          <w:tblCellMar>
            <w:top w:w="0" w:type="dxa"/>
            <w:bottom w:w="0" w:type="dxa"/>
          </w:tblCellMar>
        </w:tblPrEx>
        <w:tc>
          <w:tcPr>
            <w:tcW w:w="1560" w:type="dxa"/>
            <w:tcBorders>
              <w:top w:val="nil"/>
              <w:bottom w:val="nil"/>
            </w:tcBorders>
          </w:tcPr>
          <w:p w:rsidR="00000000" w:rsidRDefault="00000000">
            <w:pPr>
              <w:spacing w:after="0"/>
            </w:pPr>
            <w:r>
              <w:t xml:space="preserve">  Rural</w:t>
            </w:r>
          </w:p>
        </w:tc>
        <w:tc>
          <w:tcPr>
            <w:tcW w:w="1300" w:type="dxa"/>
            <w:tcBorders>
              <w:top w:val="nil"/>
              <w:bottom w:val="nil"/>
            </w:tcBorders>
          </w:tcPr>
          <w:p w:rsidR="00000000" w:rsidRDefault="00000000">
            <w:pPr>
              <w:spacing w:after="0"/>
              <w:jc w:val="center"/>
            </w:pPr>
            <w:r>
              <w:t>34.9</w:t>
            </w:r>
          </w:p>
        </w:tc>
        <w:tc>
          <w:tcPr>
            <w:tcW w:w="1300" w:type="dxa"/>
            <w:tcBorders>
              <w:top w:val="nil"/>
              <w:bottom w:val="nil"/>
            </w:tcBorders>
          </w:tcPr>
          <w:p w:rsidR="00000000" w:rsidRDefault="00000000">
            <w:pPr>
              <w:spacing w:after="0"/>
              <w:jc w:val="center"/>
            </w:pPr>
            <w:r>
              <w:t>18.6</w:t>
            </w:r>
          </w:p>
        </w:tc>
        <w:tc>
          <w:tcPr>
            <w:tcW w:w="1300" w:type="dxa"/>
            <w:tcBorders>
              <w:top w:val="nil"/>
              <w:bottom w:val="nil"/>
            </w:tcBorders>
          </w:tcPr>
          <w:p w:rsidR="00000000" w:rsidRDefault="00000000">
            <w:pPr>
              <w:pStyle w:val="Header"/>
              <w:tabs>
                <w:tab w:val="clear" w:pos="4320"/>
                <w:tab w:val="clear" w:pos="8640"/>
                <w:tab w:val="right" w:pos="719"/>
              </w:tabs>
              <w:spacing w:after="0"/>
            </w:pPr>
            <w:r>
              <w:tab/>
              <w:t>11.8</w:t>
            </w:r>
          </w:p>
        </w:tc>
        <w:tc>
          <w:tcPr>
            <w:tcW w:w="1300" w:type="dxa"/>
            <w:tcBorders>
              <w:top w:val="nil"/>
              <w:bottom w:val="nil"/>
            </w:tcBorders>
          </w:tcPr>
          <w:p w:rsidR="00000000" w:rsidRDefault="00000000">
            <w:pPr>
              <w:spacing w:after="0"/>
              <w:jc w:val="center"/>
            </w:pPr>
            <w:r>
              <w:t>2.9</w:t>
            </w:r>
          </w:p>
        </w:tc>
        <w:tc>
          <w:tcPr>
            <w:tcW w:w="1300" w:type="dxa"/>
            <w:tcBorders>
              <w:top w:val="nil"/>
              <w:bottom w:val="nil"/>
            </w:tcBorders>
          </w:tcPr>
          <w:p w:rsidR="00000000" w:rsidRDefault="00000000">
            <w:pPr>
              <w:pStyle w:val="Header"/>
              <w:tabs>
                <w:tab w:val="clear" w:pos="4320"/>
                <w:tab w:val="clear" w:pos="8640"/>
                <w:tab w:val="right" w:pos="820"/>
              </w:tabs>
              <w:spacing w:after="0"/>
            </w:pPr>
            <w:r>
              <w:tab/>
              <w:t>15.5</w:t>
            </w:r>
          </w:p>
        </w:tc>
        <w:tc>
          <w:tcPr>
            <w:tcW w:w="1300" w:type="dxa"/>
            <w:tcBorders>
              <w:top w:val="nil"/>
              <w:bottom w:val="nil"/>
            </w:tcBorders>
          </w:tcPr>
          <w:p w:rsidR="00000000" w:rsidRDefault="00000000">
            <w:pPr>
              <w:spacing w:after="0"/>
              <w:jc w:val="center"/>
            </w:pPr>
            <w:r>
              <w:t>1.7</w:t>
            </w:r>
          </w:p>
        </w:tc>
      </w:tr>
      <w:tr w:rsidR="00000000">
        <w:tblPrEx>
          <w:tblCellMar>
            <w:top w:w="0" w:type="dxa"/>
            <w:bottom w:w="0" w:type="dxa"/>
          </w:tblCellMar>
        </w:tblPrEx>
        <w:tc>
          <w:tcPr>
            <w:tcW w:w="1560" w:type="dxa"/>
            <w:tcBorders>
              <w:top w:val="nil"/>
              <w:bottom w:val="nil"/>
            </w:tcBorders>
          </w:tcPr>
          <w:p w:rsidR="00000000" w:rsidRDefault="00000000">
            <w:pPr>
              <w:spacing w:after="0"/>
            </w:pPr>
            <w:r>
              <w:t xml:space="preserve">  Urban</w:t>
            </w:r>
          </w:p>
        </w:tc>
        <w:tc>
          <w:tcPr>
            <w:tcW w:w="1300" w:type="dxa"/>
            <w:tcBorders>
              <w:top w:val="nil"/>
              <w:bottom w:val="nil"/>
            </w:tcBorders>
          </w:tcPr>
          <w:p w:rsidR="00000000" w:rsidRDefault="00000000">
            <w:pPr>
              <w:spacing w:after="0"/>
              <w:jc w:val="center"/>
            </w:pPr>
            <w:r>
              <w:t>31.4</w:t>
            </w:r>
          </w:p>
        </w:tc>
        <w:tc>
          <w:tcPr>
            <w:tcW w:w="1300" w:type="dxa"/>
            <w:tcBorders>
              <w:top w:val="nil"/>
              <w:bottom w:val="nil"/>
            </w:tcBorders>
          </w:tcPr>
          <w:p w:rsidR="00000000" w:rsidRDefault="00000000">
            <w:pPr>
              <w:spacing w:after="0"/>
              <w:jc w:val="center"/>
            </w:pPr>
            <w:r>
              <w:t>19.3</w:t>
            </w:r>
          </w:p>
        </w:tc>
        <w:tc>
          <w:tcPr>
            <w:tcW w:w="1300" w:type="dxa"/>
            <w:tcBorders>
              <w:top w:val="nil"/>
              <w:bottom w:val="nil"/>
            </w:tcBorders>
          </w:tcPr>
          <w:p w:rsidR="00000000" w:rsidRDefault="00000000">
            <w:pPr>
              <w:tabs>
                <w:tab w:val="right" w:pos="719"/>
              </w:tabs>
              <w:spacing w:after="0"/>
            </w:pPr>
            <w:r>
              <w:tab/>
              <w:t>8.3</w:t>
            </w:r>
          </w:p>
        </w:tc>
        <w:tc>
          <w:tcPr>
            <w:tcW w:w="1300" w:type="dxa"/>
            <w:tcBorders>
              <w:top w:val="nil"/>
              <w:bottom w:val="nil"/>
            </w:tcBorders>
          </w:tcPr>
          <w:p w:rsidR="00000000" w:rsidRDefault="00000000">
            <w:pPr>
              <w:spacing w:after="0"/>
              <w:jc w:val="center"/>
            </w:pPr>
            <w:r>
              <w:t>1.2</w:t>
            </w:r>
          </w:p>
        </w:tc>
        <w:tc>
          <w:tcPr>
            <w:tcW w:w="1300" w:type="dxa"/>
            <w:tcBorders>
              <w:top w:val="nil"/>
              <w:bottom w:val="nil"/>
            </w:tcBorders>
          </w:tcPr>
          <w:p w:rsidR="00000000" w:rsidRDefault="00000000">
            <w:pPr>
              <w:tabs>
                <w:tab w:val="right" w:pos="820"/>
              </w:tabs>
              <w:spacing w:after="0"/>
            </w:pPr>
            <w:r>
              <w:tab/>
              <w:t>11.3</w:t>
            </w:r>
          </w:p>
        </w:tc>
        <w:tc>
          <w:tcPr>
            <w:tcW w:w="1300" w:type="dxa"/>
            <w:tcBorders>
              <w:top w:val="nil"/>
              <w:bottom w:val="nil"/>
            </w:tcBorders>
          </w:tcPr>
          <w:p w:rsidR="00000000" w:rsidRDefault="00000000">
            <w:pPr>
              <w:spacing w:after="0"/>
              <w:jc w:val="center"/>
            </w:pPr>
            <w:r>
              <w:t>0.8</w:t>
            </w:r>
          </w:p>
        </w:tc>
      </w:tr>
      <w:tr w:rsidR="00000000">
        <w:tblPrEx>
          <w:tblCellMar>
            <w:top w:w="0" w:type="dxa"/>
            <w:bottom w:w="0" w:type="dxa"/>
          </w:tblCellMar>
        </w:tblPrEx>
        <w:tc>
          <w:tcPr>
            <w:tcW w:w="1560" w:type="dxa"/>
            <w:tcBorders>
              <w:top w:val="nil"/>
              <w:bottom w:val="nil"/>
            </w:tcBorders>
          </w:tcPr>
          <w:p w:rsidR="00000000" w:rsidRDefault="00000000">
            <w:pPr>
              <w:spacing w:after="0"/>
            </w:pPr>
            <w:r>
              <w:t>Gender</w:t>
            </w:r>
          </w:p>
        </w:tc>
        <w:tc>
          <w:tcPr>
            <w:tcW w:w="1300" w:type="dxa"/>
            <w:tcBorders>
              <w:top w:val="nil"/>
              <w:bottom w:val="nil"/>
            </w:tcBorders>
          </w:tcPr>
          <w:p w:rsidR="00000000" w:rsidRDefault="00000000">
            <w:pPr>
              <w:spacing w:after="0"/>
            </w:pPr>
          </w:p>
        </w:tc>
        <w:tc>
          <w:tcPr>
            <w:tcW w:w="1300" w:type="dxa"/>
            <w:tcBorders>
              <w:top w:val="nil"/>
              <w:bottom w:val="nil"/>
            </w:tcBorders>
          </w:tcPr>
          <w:p w:rsidR="00000000" w:rsidRDefault="00000000">
            <w:pPr>
              <w:spacing w:after="0"/>
            </w:pPr>
          </w:p>
        </w:tc>
        <w:tc>
          <w:tcPr>
            <w:tcW w:w="1300" w:type="dxa"/>
            <w:tcBorders>
              <w:top w:val="nil"/>
              <w:bottom w:val="nil"/>
            </w:tcBorders>
          </w:tcPr>
          <w:p w:rsidR="00000000" w:rsidRDefault="00000000">
            <w:pPr>
              <w:tabs>
                <w:tab w:val="right" w:pos="719"/>
              </w:tabs>
              <w:spacing w:after="0"/>
            </w:pPr>
          </w:p>
        </w:tc>
        <w:tc>
          <w:tcPr>
            <w:tcW w:w="1300" w:type="dxa"/>
            <w:tcBorders>
              <w:top w:val="nil"/>
              <w:bottom w:val="nil"/>
            </w:tcBorders>
          </w:tcPr>
          <w:p w:rsidR="00000000" w:rsidRDefault="00000000">
            <w:pPr>
              <w:spacing w:after="0"/>
            </w:pPr>
          </w:p>
        </w:tc>
        <w:tc>
          <w:tcPr>
            <w:tcW w:w="1300" w:type="dxa"/>
            <w:tcBorders>
              <w:top w:val="nil"/>
              <w:bottom w:val="nil"/>
            </w:tcBorders>
          </w:tcPr>
          <w:p w:rsidR="00000000" w:rsidRDefault="00000000">
            <w:pPr>
              <w:tabs>
                <w:tab w:val="right" w:pos="820"/>
              </w:tabs>
              <w:spacing w:after="0"/>
            </w:pPr>
          </w:p>
        </w:tc>
        <w:tc>
          <w:tcPr>
            <w:tcW w:w="1300" w:type="dxa"/>
            <w:tcBorders>
              <w:top w:val="nil"/>
              <w:bottom w:val="nil"/>
            </w:tcBorders>
          </w:tcPr>
          <w:p w:rsidR="00000000" w:rsidRDefault="00000000">
            <w:pPr>
              <w:spacing w:after="0"/>
            </w:pPr>
          </w:p>
        </w:tc>
      </w:tr>
      <w:tr w:rsidR="00000000">
        <w:tblPrEx>
          <w:tblCellMar>
            <w:top w:w="0" w:type="dxa"/>
            <w:bottom w:w="0" w:type="dxa"/>
          </w:tblCellMar>
        </w:tblPrEx>
        <w:tc>
          <w:tcPr>
            <w:tcW w:w="1560" w:type="dxa"/>
            <w:tcBorders>
              <w:top w:val="nil"/>
              <w:bottom w:val="nil"/>
            </w:tcBorders>
          </w:tcPr>
          <w:p w:rsidR="00000000" w:rsidRDefault="00000000">
            <w:pPr>
              <w:spacing w:after="0"/>
            </w:pPr>
            <w:r>
              <w:t xml:space="preserve">  Male</w:t>
            </w:r>
          </w:p>
        </w:tc>
        <w:tc>
          <w:tcPr>
            <w:tcW w:w="1300" w:type="dxa"/>
            <w:tcBorders>
              <w:top w:val="nil"/>
              <w:bottom w:val="nil"/>
            </w:tcBorders>
          </w:tcPr>
          <w:p w:rsidR="00000000" w:rsidRDefault="00000000">
            <w:pPr>
              <w:spacing w:after="0"/>
              <w:jc w:val="center"/>
            </w:pPr>
            <w:r>
              <w:t>34.4</w:t>
            </w:r>
          </w:p>
        </w:tc>
        <w:tc>
          <w:tcPr>
            <w:tcW w:w="1300" w:type="dxa"/>
            <w:tcBorders>
              <w:top w:val="nil"/>
              <w:bottom w:val="nil"/>
            </w:tcBorders>
          </w:tcPr>
          <w:p w:rsidR="00000000" w:rsidRDefault="00000000">
            <w:pPr>
              <w:spacing w:after="0"/>
              <w:jc w:val="center"/>
            </w:pPr>
            <w:r>
              <w:t>19.4</w:t>
            </w:r>
          </w:p>
        </w:tc>
        <w:tc>
          <w:tcPr>
            <w:tcW w:w="1300" w:type="dxa"/>
            <w:tcBorders>
              <w:top w:val="nil"/>
              <w:bottom w:val="nil"/>
            </w:tcBorders>
          </w:tcPr>
          <w:p w:rsidR="00000000" w:rsidRDefault="00000000">
            <w:pPr>
              <w:tabs>
                <w:tab w:val="right" w:pos="719"/>
              </w:tabs>
              <w:spacing w:after="0"/>
            </w:pPr>
            <w:r>
              <w:tab/>
              <w:t>12.2</w:t>
            </w:r>
          </w:p>
        </w:tc>
        <w:tc>
          <w:tcPr>
            <w:tcW w:w="1300" w:type="dxa"/>
            <w:tcBorders>
              <w:top w:val="nil"/>
              <w:bottom w:val="nil"/>
            </w:tcBorders>
          </w:tcPr>
          <w:p w:rsidR="00000000" w:rsidRDefault="00000000">
            <w:pPr>
              <w:spacing w:after="0"/>
              <w:jc w:val="center"/>
            </w:pPr>
            <w:r>
              <w:t>2.8</w:t>
            </w:r>
          </w:p>
        </w:tc>
        <w:tc>
          <w:tcPr>
            <w:tcW w:w="1300" w:type="dxa"/>
            <w:tcBorders>
              <w:top w:val="nil"/>
              <w:bottom w:val="nil"/>
            </w:tcBorders>
          </w:tcPr>
          <w:p w:rsidR="00000000" w:rsidRDefault="00000000">
            <w:pPr>
              <w:tabs>
                <w:tab w:val="right" w:pos="820"/>
              </w:tabs>
              <w:spacing w:after="0"/>
            </w:pPr>
            <w:r>
              <w:tab/>
              <w:t>17.4</w:t>
            </w:r>
          </w:p>
        </w:tc>
        <w:tc>
          <w:tcPr>
            <w:tcW w:w="1300" w:type="dxa"/>
            <w:tcBorders>
              <w:top w:val="nil"/>
              <w:bottom w:val="nil"/>
            </w:tcBorders>
          </w:tcPr>
          <w:p w:rsidR="00000000" w:rsidRDefault="00000000">
            <w:pPr>
              <w:spacing w:after="0"/>
              <w:jc w:val="center"/>
            </w:pPr>
            <w:r>
              <w:t>1.9</w:t>
            </w:r>
          </w:p>
        </w:tc>
      </w:tr>
      <w:tr w:rsidR="00000000">
        <w:tblPrEx>
          <w:tblCellMar>
            <w:top w:w="0" w:type="dxa"/>
            <w:bottom w:w="0" w:type="dxa"/>
          </w:tblCellMar>
        </w:tblPrEx>
        <w:tc>
          <w:tcPr>
            <w:tcW w:w="1560" w:type="dxa"/>
            <w:tcBorders>
              <w:top w:val="nil"/>
              <w:bottom w:val="single" w:sz="4" w:space="0" w:color="auto"/>
            </w:tcBorders>
          </w:tcPr>
          <w:p w:rsidR="00000000" w:rsidRDefault="00000000">
            <w:pPr>
              <w:spacing w:after="0"/>
            </w:pPr>
            <w:r>
              <w:t xml:space="preserve">  Female</w:t>
            </w:r>
          </w:p>
        </w:tc>
        <w:tc>
          <w:tcPr>
            <w:tcW w:w="1300" w:type="dxa"/>
            <w:tcBorders>
              <w:top w:val="nil"/>
              <w:bottom w:val="single" w:sz="4" w:space="0" w:color="auto"/>
            </w:tcBorders>
          </w:tcPr>
          <w:p w:rsidR="00000000" w:rsidRDefault="00000000">
            <w:pPr>
              <w:spacing w:after="0"/>
              <w:jc w:val="center"/>
            </w:pPr>
            <w:r>
              <w:t>32.9</w:t>
            </w:r>
          </w:p>
        </w:tc>
        <w:tc>
          <w:tcPr>
            <w:tcW w:w="1300" w:type="dxa"/>
            <w:tcBorders>
              <w:top w:val="nil"/>
              <w:bottom w:val="single" w:sz="4" w:space="0" w:color="auto"/>
            </w:tcBorders>
          </w:tcPr>
          <w:p w:rsidR="00000000" w:rsidRDefault="00000000">
            <w:pPr>
              <w:spacing w:after="0"/>
              <w:jc w:val="center"/>
            </w:pPr>
            <w:r>
              <w:t>18.1</w:t>
            </w:r>
          </w:p>
        </w:tc>
        <w:tc>
          <w:tcPr>
            <w:tcW w:w="1300" w:type="dxa"/>
            <w:tcBorders>
              <w:top w:val="nil"/>
              <w:bottom w:val="single" w:sz="4" w:space="0" w:color="auto"/>
            </w:tcBorders>
          </w:tcPr>
          <w:p w:rsidR="00000000" w:rsidRDefault="00000000">
            <w:pPr>
              <w:tabs>
                <w:tab w:val="right" w:pos="719"/>
              </w:tabs>
              <w:spacing w:after="0"/>
            </w:pPr>
            <w:r>
              <w:tab/>
              <w:t>8.5</w:t>
            </w:r>
          </w:p>
        </w:tc>
        <w:tc>
          <w:tcPr>
            <w:tcW w:w="1300" w:type="dxa"/>
            <w:tcBorders>
              <w:top w:val="nil"/>
              <w:bottom w:val="single" w:sz="4" w:space="0" w:color="auto"/>
            </w:tcBorders>
          </w:tcPr>
          <w:p w:rsidR="00000000" w:rsidRDefault="00000000">
            <w:pPr>
              <w:spacing w:after="0"/>
              <w:jc w:val="center"/>
            </w:pPr>
            <w:r>
              <w:t>1.7</w:t>
            </w:r>
          </w:p>
        </w:tc>
        <w:tc>
          <w:tcPr>
            <w:tcW w:w="1300" w:type="dxa"/>
            <w:tcBorders>
              <w:top w:val="nil"/>
              <w:bottom w:val="single" w:sz="4" w:space="0" w:color="auto"/>
            </w:tcBorders>
          </w:tcPr>
          <w:p w:rsidR="00000000" w:rsidRDefault="00000000">
            <w:pPr>
              <w:tabs>
                <w:tab w:val="right" w:pos="820"/>
              </w:tabs>
              <w:spacing w:after="0"/>
            </w:pPr>
            <w:r>
              <w:tab/>
              <w:t>9.6</w:t>
            </w:r>
          </w:p>
        </w:tc>
        <w:tc>
          <w:tcPr>
            <w:tcW w:w="1300" w:type="dxa"/>
            <w:tcBorders>
              <w:top w:val="nil"/>
              <w:bottom w:val="single" w:sz="4" w:space="0" w:color="auto"/>
            </w:tcBorders>
          </w:tcPr>
          <w:p w:rsidR="00000000" w:rsidRDefault="00000000">
            <w:pPr>
              <w:spacing w:after="0"/>
              <w:jc w:val="center"/>
            </w:pPr>
            <w:r>
              <w:t>0.6</w:t>
            </w:r>
          </w:p>
        </w:tc>
      </w:tr>
      <w:tr w:rsidR="00000000">
        <w:tblPrEx>
          <w:tblCellMar>
            <w:top w:w="0" w:type="dxa"/>
            <w:bottom w:w="0" w:type="dxa"/>
          </w:tblCellMar>
        </w:tblPrEx>
        <w:tc>
          <w:tcPr>
            <w:tcW w:w="1560" w:type="dxa"/>
            <w:tcBorders>
              <w:top w:val="single" w:sz="4" w:space="0" w:color="auto"/>
            </w:tcBorders>
          </w:tcPr>
          <w:p w:rsidR="00000000" w:rsidRDefault="00000000">
            <w:pPr>
              <w:pStyle w:val="Header"/>
              <w:tabs>
                <w:tab w:val="clear" w:pos="4320"/>
                <w:tab w:val="clear" w:pos="8640"/>
              </w:tabs>
              <w:spacing w:after="0"/>
            </w:pPr>
            <w:r>
              <w:t xml:space="preserve">     Total</w:t>
            </w:r>
          </w:p>
        </w:tc>
        <w:tc>
          <w:tcPr>
            <w:tcW w:w="1300" w:type="dxa"/>
            <w:tcBorders>
              <w:top w:val="single" w:sz="4" w:space="0" w:color="auto"/>
            </w:tcBorders>
          </w:tcPr>
          <w:p w:rsidR="00000000" w:rsidRDefault="00000000">
            <w:pPr>
              <w:spacing w:after="0"/>
              <w:jc w:val="center"/>
            </w:pPr>
            <w:r>
              <w:t>33.7</w:t>
            </w:r>
          </w:p>
        </w:tc>
        <w:tc>
          <w:tcPr>
            <w:tcW w:w="1300" w:type="dxa"/>
            <w:tcBorders>
              <w:top w:val="single" w:sz="4" w:space="0" w:color="auto"/>
            </w:tcBorders>
          </w:tcPr>
          <w:p w:rsidR="00000000" w:rsidRDefault="00000000">
            <w:pPr>
              <w:spacing w:after="0"/>
              <w:jc w:val="center"/>
            </w:pPr>
            <w:r>
              <w:t>17.3</w:t>
            </w:r>
          </w:p>
        </w:tc>
        <w:tc>
          <w:tcPr>
            <w:tcW w:w="1300" w:type="dxa"/>
            <w:tcBorders>
              <w:top w:val="single" w:sz="4" w:space="0" w:color="auto"/>
            </w:tcBorders>
          </w:tcPr>
          <w:p w:rsidR="00000000" w:rsidRDefault="00000000">
            <w:pPr>
              <w:tabs>
                <w:tab w:val="right" w:pos="719"/>
              </w:tabs>
              <w:spacing w:after="0"/>
            </w:pPr>
            <w:r>
              <w:tab/>
              <w:t>10.6</w:t>
            </w:r>
          </w:p>
        </w:tc>
        <w:tc>
          <w:tcPr>
            <w:tcW w:w="1300" w:type="dxa"/>
            <w:tcBorders>
              <w:top w:val="single" w:sz="4" w:space="0" w:color="auto"/>
            </w:tcBorders>
          </w:tcPr>
          <w:p w:rsidR="00000000" w:rsidRDefault="00000000">
            <w:pPr>
              <w:spacing w:after="0"/>
              <w:jc w:val="center"/>
            </w:pPr>
            <w:r>
              <w:t>2.3</w:t>
            </w:r>
          </w:p>
        </w:tc>
        <w:tc>
          <w:tcPr>
            <w:tcW w:w="1300" w:type="dxa"/>
            <w:tcBorders>
              <w:top w:val="single" w:sz="4" w:space="0" w:color="auto"/>
            </w:tcBorders>
          </w:tcPr>
          <w:p w:rsidR="00000000" w:rsidRDefault="00000000">
            <w:pPr>
              <w:tabs>
                <w:tab w:val="right" w:pos="820"/>
              </w:tabs>
              <w:spacing w:after="0"/>
            </w:pPr>
            <w:r>
              <w:tab/>
              <w:t>14.0</w:t>
            </w:r>
          </w:p>
        </w:tc>
        <w:tc>
          <w:tcPr>
            <w:tcW w:w="1300" w:type="dxa"/>
            <w:tcBorders>
              <w:top w:val="single" w:sz="4" w:space="0" w:color="auto"/>
            </w:tcBorders>
          </w:tcPr>
          <w:p w:rsidR="00000000" w:rsidRDefault="00000000">
            <w:pPr>
              <w:spacing w:after="0"/>
              <w:jc w:val="center"/>
            </w:pPr>
            <w:r>
              <w:t>1.4</w:t>
            </w:r>
          </w:p>
        </w:tc>
      </w:tr>
    </w:tbl>
    <w:p w:rsidR="00000000" w:rsidRDefault="00000000">
      <w:pPr>
        <w:pStyle w:val="Heading2"/>
        <w:spacing w:before="240"/>
      </w:pPr>
      <w:r>
        <w:t>Table 31</w:t>
      </w:r>
    </w:p>
    <w:p w:rsidR="00000000" w:rsidRDefault="00000000">
      <w:pPr>
        <w:pStyle w:val="Heading2"/>
      </w:pPr>
      <w:r>
        <w:t>Poverty, living conditions and access to services (percentage)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600"/>
        <w:gridCol w:w="822"/>
        <w:gridCol w:w="822"/>
        <w:gridCol w:w="822"/>
        <w:gridCol w:w="822"/>
        <w:gridCol w:w="822"/>
        <w:gridCol w:w="822"/>
        <w:gridCol w:w="822"/>
      </w:tblGrid>
      <w:tr w:rsidR="00000000">
        <w:tblPrEx>
          <w:tblCellMar>
            <w:top w:w="0" w:type="dxa"/>
            <w:bottom w:w="0" w:type="dxa"/>
          </w:tblCellMar>
        </w:tblPrEx>
        <w:trPr>
          <w:cantSplit/>
        </w:trPr>
        <w:tc>
          <w:tcPr>
            <w:tcW w:w="3600" w:type="dxa"/>
            <w:vMerge w:val="restart"/>
          </w:tcPr>
          <w:p w:rsidR="00000000" w:rsidRDefault="00000000">
            <w:pPr>
              <w:spacing w:after="0"/>
              <w:rPr>
                <w:sz w:val="22"/>
              </w:rPr>
            </w:pPr>
          </w:p>
        </w:tc>
        <w:tc>
          <w:tcPr>
            <w:tcW w:w="822" w:type="dxa"/>
            <w:gridSpan w:val="3"/>
          </w:tcPr>
          <w:p w:rsidR="00000000" w:rsidRDefault="00000000">
            <w:pPr>
              <w:spacing w:after="0"/>
              <w:jc w:val="center"/>
              <w:rPr>
                <w:sz w:val="22"/>
              </w:rPr>
            </w:pPr>
            <w:r>
              <w:rPr>
                <w:sz w:val="22"/>
              </w:rPr>
              <w:t>Not poor</w:t>
            </w:r>
          </w:p>
        </w:tc>
        <w:tc>
          <w:tcPr>
            <w:tcW w:w="822" w:type="dxa"/>
            <w:gridSpan w:val="3"/>
          </w:tcPr>
          <w:p w:rsidR="00000000" w:rsidRDefault="00000000">
            <w:pPr>
              <w:spacing w:after="0"/>
              <w:jc w:val="center"/>
              <w:rPr>
                <w:sz w:val="22"/>
              </w:rPr>
            </w:pPr>
            <w:r>
              <w:rPr>
                <w:sz w:val="22"/>
              </w:rPr>
              <w:t>Poor</w:t>
            </w:r>
          </w:p>
        </w:tc>
        <w:tc>
          <w:tcPr>
            <w:tcW w:w="822" w:type="dxa"/>
            <w:vMerge w:val="restart"/>
          </w:tcPr>
          <w:p w:rsidR="00000000" w:rsidRDefault="00000000">
            <w:pPr>
              <w:pStyle w:val="Header"/>
              <w:tabs>
                <w:tab w:val="clear" w:pos="4320"/>
                <w:tab w:val="clear" w:pos="8640"/>
              </w:tabs>
              <w:spacing w:after="0"/>
              <w:rPr>
                <w:sz w:val="22"/>
              </w:rPr>
            </w:pPr>
            <w:r>
              <w:rPr>
                <w:sz w:val="22"/>
              </w:rPr>
              <w:t xml:space="preserve"> Total</w:t>
            </w:r>
          </w:p>
        </w:tc>
      </w:tr>
      <w:tr w:rsidR="00000000">
        <w:tblPrEx>
          <w:tblCellMar>
            <w:top w:w="0" w:type="dxa"/>
            <w:bottom w:w="0" w:type="dxa"/>
          </w:tblCellMar>
        </w:tblPrEx>
        <w:trPr>
          <w:cantSplit/>
        </w:trPr>
        <w:tc>
          <w:tcPr>
            <w:tcW w:w="3600" w:type="dxa"/>
            <w:vMerge/>
            <w:tcBorders>
              <w:bottom w:val="single" w:sz="4" w:space="0" w:color="auto"/>
            </w:tcBorders>
          </w:tcPr>
          <w:p w:rsidR="00000000" w:rsidRDefault="00000000">
            <w:pPr>
              <w:spacing w:after="0"/>
              <w:rPr>
                <w:sz w:val="22"/>
              </w:rPr>
            </w:pPr>
          </w:p>
        </w:tc>
        <w:tc>
          <w:tcPr>
            <w:tcW w:w="822" w:type="dxa"/>
            <w:tcBorders>
              <w:bottom w:val="single" w:sz="4" w:space="0" w:color="auto"/>
            </w:tcBorders>
          </w:tcPr>
          <w:p w:rsidR="00000000" w:rsidRDefault="00000000">
            <w:pPr>
              <w:spacing w:after="0"/>
              <w:jc w:val="center"/>
              <w:rPr>
                <w:sz w:val="22"/>
              </w:rPr>
            </w:pPr>
            <w:r>
              <w:rPr>
                <w:sz w:val="22"/>
              </w:rPr>
              <w:t>Urban</w:t>
            </w:r>
          </w:p>
        </w:tc>
        <w:tc>
          <w:tcPr>
            <w:tcW w:w="822" w:type="dxa"/>
            <w:tcBorders>
              <w:bottom w:val="single" w:sz="4" w:space="0" w:color="auto"/>
            </w:tcBorders>
          </w:tcPr>
          <w:p w:rsidR="00000000" w:rsidRDefault="00000000">
            <w:pPr>
              <w:spacing w:after="0"/>
              <w:jc w:val="center"/>
              <w:rPr>
                <w:sz w:val="22"/>
              </w:rPr>
            </w:pPr>
            <w:r>
              <w:rPr>
                <w:sz w:val="22"/>
              </w:rPr>
              <w:t>Rural</w:t>
            </w:r>
          </w:p>
        </w:tc>
        <w:tc>
          <w:tcPr>
            <w:tcW w:w="822" w:type="dxa"/>
            <w:tcBorders>
              <w:bottom w:val="single" w:sz="4" w:space="0" w:color="auto"/>
            </w:tcBorders>
          </w:tcPr>
          <w:p w:rsidR="00000000" w:rsidRDefault="00000000">
            <w:pPr>
              <w:spacing w:after="0"/>
              <w:jc w:val="center"/>
              <w:rPr>
                <w:sz w:val="22"/>
              </w:rPr>
            </w:pPr>
            <w:r>
              <w:rPr>
                <w:sz w:val="22"/>
              </w:rPr>
              <w:t>Total</w:t>
            </w:r>
          </w:p>
        </w:tc>
        <w:tc>
          <w:tcPr>
            <w:tcW w:w="822" w:type="dxa"/>
            <w:tcBorders>
              <w:bottom w:val="single" w:sz="4" w:space="0" w:color="auto"/>
            </w:tcBorders>
          </w:tcPr>
          <w:p w:rsidR="00000000" w:rsidRDefault="00000000">
            <w:pPr>
              <w:spacing w:after="0"/>
              <w:jc w:val="center"/>
              <w:rPr>
                <w:sz w:val="22"/>
              </w:rPr>
            </w:pPr>
            <w:r>
              <w:rPr>
                <w:sz w:val="22"/>
              </w:rPr>
              <w:t>Urban</w:t>
            </w:r>
          </w:p>
        </w:tc>
        <w:tc>
          <w:tcPr>
            <w:tcW w:w="822" w:type="dxa"/>
            <w:tcBorders>
              <w:bottom w:val="single" w:sz="4" w:space="0" w:color="auto"/>
            </w:tcBorders>
          </w:tcPr>
          <w:p w:rsidR="00000000" w:rsidRDefault="00000000">
            <w:pPr>
              <w:spacing w:after="0"/>
              <w:jc w:val="center"/>
              <w:rPr>
                <w:sz w:val="22"/>
              </w:rPr>
            </w:pPr>
            <w:r>
              <w:rPr>
                <w:sz w:val="22"/>
              </w:rPr>
              <w:t>Rural</w:t>
            </w:r>
          </w:p>
        </w:tc>
        <w:tc>
          <w:tcPr>
            <w:tcW w:w="822" w:type="dxa"/>
            <w:tcBorders>
              <w:bottom w:val="single" w:sz="4" w:space="0" w:color="auto"/>
            </w:tcBorders>
          </w:tcPr>
          <w:p w:rsidR="00000000" w:rsidRDefault="00000000">
            <w:pPr>
              <w:spacing w:after="0"/>
              <w:jc w:val="center"/>
              <w:rPr>
                <w:sz w:val="22"/>
              </w:rPr>
            </w:pPr>
            <w:r>
              <w:rPr>
                <w:sz w:val="22"/>
              </w:rPr>
              <w:t>Total</w:t>
            </w:r>
          </w:p>
        </w:tc>
        <w:tc>
          <w:tcPr>
            <w:tcW w:w="822" w:type="dxa"/>
            <w:vMerge/>
            <w:tcBorders>
              <w:bottom w:val="single" w:sz="4" w:space="0" w:color="auto"/>
            </w:tcBorders>
          </w:tcPr>
          <w:p w:rsidR="00000000" w:rsidRDefault="00000000">
            <w:pPr>
              <w:spacing w:after="0"/>
              <w:rPr>
                <w:sz w:val="22"/>
              </w:rPr>
            </w:pPr>
          </w:p>
        </w:tc>
      </w:tr>
      <w:tr w:rsidR="00000000">
        <w:tblPrEx>
          <w:tblCellMar>
            <w:top w:w="0" w:type="dxa"/>
            <w:bottom w:w="0" w:type="dxa"/>
          </w:tblCellMar>
        </w:tblPrEx>
        <w:tc>
          <w:tcPr>
            <w:tcW w:w="3600" w:type="dxa"/>
            <w:tcBorders>
              <w:bottom w:val="nil"/>
            </w:tcBorders>
          </w:tcPr>
          <w:p w:rsidR="00000000" w:rsidRDefault="00000000">
            <w:pPr>
              <w:pStyle w:val="Header"/>
              <w:tabs>
                <w:tab w:val="clear" w:pos="4320"/>
                <w:tab w:val="clear" w:pos="8640"/>
              </w:tabs>
              <w:spacing w:after="0"/>
              <w:rPr>
                <w:sz w:val="22"/>
              </w:rPr>
            </w:pPr>
            <w:r>
              <w:rPr>
                <w:sz w:val="22"/>
              </w:rPr>
              <w:t>Water</w:t>
            </w:r>
          </w:p>
        </w:tc>
        <w:tc>
          <w:tcPr>
            <w:tcW w:w="822" w:type="dxa"/>
            <w:tcBorders>
              <w:bottom w:val="nil"/>
            </w:tcBorders>
          </w:tcPr>
          <w:p w:rsidR="00000000" w:rsidRDefault="00000000">
            <w:pPr>
              <w:pStyle w:val="Header"/>
              <w:tabs>
                <w:tab w:val="clear" w:pos="4320"/>
                <w:tab w:val="clear" w:pos="8640"/>
                <w:tab w:val="right" w:pos="522"/>
              </w:tabs>
              <w:spacing w:after="0"/>
              <w:rPr>
                <w:sz w:val="22"/>
              </w:rPr>
            </w:pPr>
          </w:p>
        </w:tc>
        <w:tc>
          <w:tcPr>
            <w:tcW w:w="822" w:type="dxa"/>
            <w:tcBorders>
              <w:bottom w:val="nil"/>
            </w:tcBorders>
          </w:tcPr>
          <w:p w:rsidR="00000000" w:rsidRDefault="00000000">
            <w:pPr>
              <w:tabs>
                <w:tab w:val="right" w:pos="516"/>
              </w:tabs>
              <w:spacing w:after="0"/>
              <w:rPr>
                <w:sz w:val="22"/>
              </w:rPr>
            </w:pPr>
          </w:p>
        </w:tc>
        <w:tc>
          <w:tcPr>
            <w:tcW w:w="822" w:type="dxa"/>
            <w:tcBorders>
              <w:bottom w:val="nil"/>
            </w:tcBorders>
          </w:tcPr>
          <w:p w:rsidR="00000000" w:rsidRDefault="00000000">
            <w:pPr>
              <w:pStyle w:val="Header"/>
              <w:tabs>
                <w:tab w:val="clear" w:pos="4320"/>
                <w:tab w:val="clear" w:pos="8640"/>
                <w:tab w:val="right" w:pos="508"/>
              </w:tabs>
              <w:spacing w:after="0"/>
              <w:rPr>
                <w:sz w:val="22"/>
              </w:rPr>
            </w:pPr>
          </w:p>
        </w:tc>
        <w:tc>
          <w:tcPr>
            <w:tcW w:w="822" w:type="dxa"/>
            <w:tcBorders>
              <w:bottom w:val="nil"/>
            </w:tcBorders>
          </w:tcPr>
          <w:p w:rsidR="00000000" w:rsidRDefault="00000000">
            <w:pPr>
              <w:pStyle w:val="Header"/>
              <w:tabs>
                <w:tab w:val="clear" w:pos="4320"/>
                <w:tab w:val="clear" w:pos="8640"/>
                <w:tab w:val="right" w:pos="501"/>
              </w:tabs>
              <w:spacing w:after="0"/>
              <w:rPr>
                <w:sz w:val="22"/>
              </w:rPr>
            </w:pPr>
          </w:p>
        </w:tc>
        <w:tc>
          <w:tcPr>
            <w:tcW w:w="822" w:type="dxa"/>
            <w:tcBorders>
              <w:bottom w:val="nil"/>
            </w:tcBorders>
          </w:tcPr>
          <w:p w:rsidR="00000000" w:rsidRDefault="00000000">
            <w:pPr>
              <w:pStyle w:val="Header"/>
              <w:tabs>
                <w:tab w:val="clear" w:pos="4320"/>
                <w:tab w:val="clear" w:pos="8640"/>
                <w:tab w:val="right" w:pos="494"/>
              </w:tabs>
              <w:spacing w:after="0"/>
              <w:rPr>
                <w:sz w:val="22"/>
              </w:rPr>
            </w:pPr>
          </w:p>
        </w:tc>
        <w:tc>
          <w:tcPr>
            <w:tcW w:w="822" w:type="dxa"/>
            <w:tcBorders>
              <w:bottom w:val="nil"/>
            </w:tcBorders>
          </w:tcPr>
          <w:p w:rsidR="00000000" w:rsidRDefault="00000000">
            <w:pPr>
              <w:tabs>
                <w:tab w:val="right" w:pos="487"/>
              </w:tabs>
              <w:spacing w:after="0"/>
              <w:rPr>
                <w:sz w:val="22"/>
              </w:rPr>
            </w:pPr>
          </w:p>
        </w:tc>
        <w:tc>
          <w:tcPr>
            <w:tcW w:w="822" w:type="dxa"/>
            <w:tcBorders>
              <w:bottom w:val="nil"/>
            </w:tcBorders>
          </w:tcPr>
          <w:p w:rsidR="00000000" w:rsidRDefault="00000000">
            <w:pPr>
              <w:pStyle w:val="Header"/>
              <w:tabs>
                <w:tab w:val="clear" w:pos="4320"/>
                <w:tab w:val="clear" w:pos="8640"/>
                <w:tab w:val="right" w:pos="479"/>
              </w:tabs>
              <w:spacing w:after="0"/>
              <w:rPr>
                <w:sz w:val="22"/>
              </w:rPr>
            </w:pP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Flowing water in housing</w:t>
            </w:r>
          </w:p>
        </w:tc>
        <w:tc>
          <w:tcPr>
            <w:tcW w:w="822" w:type="dxa"/>
            <w:tcBorders>
              <w:top w:val="nil"/>
              <w:bottom w:val="nil"/>
            </w:tcBorders>
          </w:tcPr>
          <w:p w:rsidR="00000000" w:rsidRDefault="00000000">
            <w:pPr>
              <w:tabs>
                <w:tab w:val="right" w:pos="522"/>
              </w:tabs>
              <w:spacing w:after="0"/>
              <w:rPr>
                <w:sz w:val="22"/>
              </w:rPr>
            </w:pPr>
            <w:r>
              <w:rPr>
                <w:sz w:val="22"/>
              </w:rPr>
              <w:tab/>
              <w:t>90.3</w:t>
            </w:r>
          </w:p>
        </w:tc>
        <w:tc>
          <w:tcPr>
            <w:tcW w:w="822" w:type="dxa"/>
            <w:tcBorders>
              <w:top w:val="nil"/>
              <w:bottom w:val="nil"/>
            </w:tcBorders>
          </w:tcPr>
          <w:p w:rsidR="00000000" w:rsidRDefault="00000000">
            <w:pPr>
              <w:tabs>
                <w:tab w:val="right" w:pos="516"/>
              </w:tabs>
              <w:spacing w:after="0"/>
              <w:rPr>
                <w:sz w:val="22"/>
              </w:rPr>
            </w:pPr>
            <w:r>
              <w:rPr>
                <w:sz w:val="22"/>
              </w:rPr>
              <w:tab/>
              <w:t>27.4</w:t>
            </w:r>
          </w:p>
        </w:tc>
        <w:tc>
          <w:tcPr>
            <w:tcW w:w="822" w:type="dxa"/>
            <w:tcBorders>
              <w:top w:val="nil"/>
              <w:bottom w:val="nil"/>
            </w:tcBorders>
          </w:tcPr>
          <w:p w:rsidR="00000000" w:rsidRDefault="00000000">
            <w:pPr>
              <w:tabs>
                <w:tab w:val="right" w:pos="508"/>
              </w:tabs>
              <w:spacing w:after="0"/>
              <w:rPr>
                <w:sz w:val="22"/>
              </w:rPr>
            </w:pPr>
            <w:r>
              <w:rPr>
                <w:sz w:val="22"/>
              </w:rPr>
              <w:tab/>
              <w:t>55.7</w:t>
            </w:r>
          </w:p>
        </w:tc>
        <w:tc>
          <w:tcPr>
            <w:tcW w:w="822" w:type="dxa"/>
            <w:tcBorders>
              <w:top w:val="nil"/>
              <w:bottom w:val="nil"/>
            </w:tcBorders>
          </w:tcPr>
          <w:p w:rsidR="00000000" w:rsidRDefault="00000000">
            <w:pPr>
              <w:tabs>
                <w:tab w:val="right" w:pos="501"/>
              </w:tabs>
              <w:spacing w:after="0"/>
              <w:rPr>
                <w:sz w:val="22"/>
              </w:rPr>
            </w:pPr>
            <w:r>
              <w:rPr>
                <w:sz w:val="22"/>
              </w:rPr>
              <w:tab/>
              <w:t>73.6</w:t>
            </w:r>
          </w:p>
        </w:tc>
        <w:tc>
          <w:tcPr>
            <w:tcW w:w="822" w:type="dxa"/>
            <w:tcBorders>
              <w:top w:val="nil"/>
              <w:bottom w:val="nil"/>
            </w:tcBorders>
          </w:tcPr>
          <w:p w:rsidR="00000000" w:rsidRDefault="00000000">
            <w:pPr>
              <w:tabs>
                <w:tab w:val="right" w:pos="494"/>
              </w:tabs>
              <w:spacing w:after="0"/>
              <w:rPr>
                <w:sz w:val="22"/>
              </w:rPr>
            </w:pPr>
            <w:r>
              <w:rPr>
                <w:sz w:val="22"/>
              </w:rPr>
              <w:tab/>
              <w:t>13.4</w:t>
            </w:r>
          </w:p>
        </w:tc>
        <w:tc>
          <w:tcPr>
            <w:tcW w:w="822" w:type="dxa"/>
            <w:tcBorders>
              <w:top w:val="nil"/>
              <w:bottom w:val="nil"/>
            </w:tcBorders>
          </w:tcPr>
          <w:p w:rsidR="00000000" w:rsidRDefault="00000000">
            <w:pPr>
              <w:pStyle w:val="Header"/>
              <w:tabs>
                <w:tab w:val="clear" w:pos="4320"/>
                <w:tab w:val="clear" w:pos="8640"/>
                <w:tab w:val="right" w:pos="487"/>
              </w:tabs>
              <w:spacing w:after="0"/>
              <w:rPr>
                <w:sz w:val="22"/>
              </w:rPr>
            </w:pPr>
            <w:r>
              <w:rPr>
                <w:sz w:val="22"/>
              </w:rPr>
              <w:tab/>
              <w:t>32.7</w:t>
            </w:r>
          </w:p>
        </w:tc>
        <w:tc>
          <w:tcPr>
            <w:tcW w:w="822" w:type="dxa"/>
            <w:tcBorders>
              <w:top w:val="nil"/>
              <w:bottom w:val="nil"/>
            </w:tcBorders>
          </w:tcPr>
          <w:p w:rsidR="00000000" w:rsidRDefault="00000000">
            <w:pPr>
              <w:tabs>
                <w:tab w:val="right" w:pos="479"/>
              </w:tabs>
              <w:spacing w:after="0"/>
              <w:rPr>
                <w:sz w:val="22"/>
              </w:rPr>
            </w:pPr>
            <w:r>
              <w:rPr>
                <w:sz w:val="22"/>
              </w:rPr>
              <w:tab/>
              <w:t>49.8</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Flowing water out of housing</w:t>
            </w:r>
          </w:p>
        </w:tc>
        <w:tc>
          <w:tcPr>
            <w:tcW w:w="822" w:type="dxa"/>
            <w:tcBorders>
              <w:top w:val="nil"/>
              <w:bottom w:val="nil"/>
            </w:tcBorders>
          </w:tcPr>
          <w:p w:rsidR="00000000" w:rsidRDefault="00000000">
            <w:pPr>
              <w:tabs>
                <w:tab w:val="right" w:pos="522"/>
              </w:tabs>
              <w:spacing w:after="0"/>
              <w:rPr>
                <w:sz w:val="22"/>
              </w:rPr>
            </w:pPr>
            <w:r>
              <w:rPr>
                <w:sz w:val="22"/>
              </w:rPr>
              <w:tab/>
              <w:t>5.1</w:t>
            </w:r>
          </w:p>
        </w:tc>
        <w:tc>
          <w:tcPr>
            <w:tcW w:w="822" w:type="dxa"/>
            <w:tcBorders>
              <w:top w:val="nil"/>
              <w:bottom w:val="nil"/>
            </w:tcBorders>
          </w:tcPr>
          <w:p w:rsidR="00000000" w:rsidRDefault="00000000">
            <w:pPr>
              <w:tabs>
                <w:tab w:val="right" w:pos="516"/>
              </w:tabs>
              <w:spacing w:after="0"/>
              <w:rPr>
                <w:sz w:val="22"/>
              </w:rPr>
            </w:pPr>
            <w:r>
              <w:rPr>
                <w:sz w:val="22"/>
              </w:rPr>
              <w:tab/>
              <w:t>21.2</w:t>
            </w:r>
          </w:p>
        </w:tc>
        <w:tc>
          <w:tcPr>
            <w:tcW w:w="822" w:type="dxa"/>
            <w:tcBorders>
              <w:top w:val="nil"/>
              <w:bottom w:val="nil"/>
            </w:tcBorders>
          </w:tcPr>
          <w:p w:rsidR="00000000" w:rsidRDefault="00000000">
            <w:pPr>
              <w:tabs>
                <w:tab w:val="right" w:pos="508"/>
              </w:tabs>
              <w:spacing w:after="0"/>
              <w:rPr>
                <w:sz w:val="22"/>
              </w:rPr>
            </w:pPr>
            <w:r>
              <w:rPr>
                <w:sz w:val="22"/>
              </w:rPr>
              <w:tab/>
              <w:t>14.0</w:t>
            </w:r>
          </w:p>
        </w:tc>
        <w:tc>
          <w:tcPr>
            <w:tcW w:w="822" w:type="dxa"/>
            <w:tcBorders>
              <w:top w:val="nil"/>
              <w:bottom w:val="nil"/>
            </w:tcBorders>
          </w:tcPr>
          <w:p w:rsidR="00000000" w:rsidRDefault="00000000">
            <w:pPr>
              <w:tabs>
                <w:tab w:val="right" w:pos="501"/>
              </w:tabs>
              <w:spacing w:after="0"/>
              <w:rPr>
                <w:sz w:val="22"/>
              </w:rPr>
            </w:pPr>
            <w:r>
              <w:rPr>
                <w:sz w:val="22"/>
              </w:rPr>
              <w:tab/>
              <w:t>11.4</w:t>
            </w:r>
          </w:p>
        </w:tc>
        <w:tc>
          <w:tcPr>
            <w:tcW w:w="822" w:type="dxa"/>
            <w:tcBorders>
              <w:top w:val="nil"/>
              <w:bottom w:val="nil"/>
            </w:tcBorders>
          </w:tcPr>
          <w:p w:rsidR="00000000" w:rsidRDefault="00000000">
            <w:pPr>
              <w:tabs>
                <w:tab w:val="right" w:pos="494"/>
              </w:tabs>
              <w:spacing w:after="0"/>
              <w:rPr>
                <w:sz w:val="22"/>
              </w:rPr>
            </w:pPr>
            <w:r>
              <w:rPr>
                <w:sz w:val="22"/>
              </w:rPr>
              <w:tab/>
              <w:t>30.3</w:t>
            </w:r>
          </w:p>
        </w:tc>
        <w:tc>
          <w:tcPr>
            <w:tcW w:w="822" w:type="dxa"/>
            <w:tcBorders>
              <w:top w:val="nil"/>
              <w:bottom w:val="nil"/>
            </w:tcBorders>
          </w:tcPr>
          <w:p w:rsidR="00000000" w:rsidRDefault="00000000">
            <w:pPr>
              <w:tabs>
                <w:tab w:val="right" w:pos="487"/>
              </w:tabs>
              <w:spacing w:after="0"/>
              <w:rPr>
                <w:sz w:val="22"/>
              </w:rPr>
            </w:pPr>
            <w:r>
              <w:rPr>
                <w:sz w:val="22"/>
              </w:rPr>
              <w:tab/>
              <w:t>24.2</w:t>
            </w:r>
          </w:p>
        </w:tc>
        <w:tc>
          <w:tcPr>
            <w:tcW w:w="822" w:type="dxa"/>
            <w:tcBorders>
              <w:top w:val="nil"/>
              <w:bottom w:val="nil"/>
            </w:tcBorders>
          </w:tcPr>
          <w:p w:rsidR="00000000" w:rsidRDefault="00000000">
            <w:pPr>
              <w:tabs>
                <w:tab w:val="right" w:pos="479"/>
              </w:tabs>
              <w:spacing w:after="0"/>
              <w:rPr>
                <w:sz w:val="22"/>
              </w:rPr>
            </w:pPr>
            <w:r>
              <w:rPr>
                <w:sz w:val="22"/>
              </w:rPr>
              <w:tab/>
              <w:t>16.5</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Without flowing water</w:t>
            </w:r>
          </w:p>
        </w:tc>
        <w:tc>
          <w:tcPr>
            <w:tcW w:w="822" w:type="dxa"/>
            <w:tcBorders>
              <w:top w:val="nil"/>
              <w:bottom w:val="nil"/>
            </w:tcBorders>
          </w:tcPr>
          <w:p w:rsidR="00000000" w:rsidRDefault="00000000">
            <w:pPr>
              <w:tabs>
                <w:tab w:val="right" w:pos="522"/>
              </w:tabs>
              <w:spacing w:after="0"/>
              <w:rPr>
                <w:sz w:val="22"/>
              </w:rPr>
            </w:pPr>
            <w:r>
              <w:rPr>
                <w:sz w:val="22"/>
              </w:rPr>
              <w:tab/>
              <w:t>4.7</w:t>
            </w:r>
          </w:p>
        </w:tc>
        <w:tc>
          <w:tcPr>
            <w:tcW w:w="822" w:type="dxa"/>
            <w:tcBorders>
              <w:top w:val="nil"/>
              <w:bottom w:val="nil"/>
            </w:tcBorders>
          </w:tcPr>
          <w:p w:rsidR="00000000" w:rsidRDefault="00000000">
            <w:pPr>
              <w:tabs>
                <w:tab w:val="right" w:pos="516"/>
              </w:tabs>
              <w:spacing w:after="0"/>
              <w:rPr>
                <w:sz w:val="22"/>
              </w:rPr>
            </w:pPr>
            <w:r>
              <w:rPr>
                <w:sz w:val="22"/>
              </w:rPr>
              <w:tab/>
              <w:t>51.5</w:t>
            </w:r>
          </w:p>
        </w:tc>
        <w:tc>
          <w:tcPr>
            <w:tcW w:w="822" w:type="dxa"/>
            <w:tcBorders>
              <w:top w:val="nil"/>
              <w:bottom w:val="nil"/>
            </w:tcBorders>
          </w:tcPr>
          <w:p w:rsidR="00000000" w:rsidRDefault="00000000">
            <w:pPr>
              <w:tabs>
                <w:tab w:val="right" w:pos="508"/>
              </w:tabs>
              <w:spacing w:after="0"/>
              <w:rPr>
                <w:sz w:val="22"/>
              </w:rPr>
            </w:pPr>
            <w:r>
              <w:rPr>
                <w:sz w:val="22"/>
              </w:rPr>
              <w:tab/>
              <w:t>30.4</w:t>
            </w:r>
          </w:p>
        </w:tc>
        <w:tc>
          <w:tcPr>
            <w:tcW w:w="822" w:type="dxa"/>
            <w:tcBorders>
              <w:top w:val="nil"/>
              <w:bottom w:val="nil"/>
            </w:tcBorders>
          </w:tcPr>
          <w:p w:rsidR="00000000" w:rsidRDefault="00000000">
            <w:pPr>
              <w:tabs>
                <w:tab w:val="right" w:pos="501"/>
              </w:tabs>
              <w:spacing w:after="0"/>
              <w:rPr>
                <w:sz w:val="22"/>
              </w:rPr>
            </w:pPr>
            <w:r>
              <w:rPr>
                <w:sz w:val="22"/>
              </w:rPr>
              <w:tab/>
              <w:t>15.1</w:t>
            </w:r>
          </w:p>
        </w:tc>
        <w:tc>
          <w:tcPr>
            <w:tcW w:w="822" w:type="dxa"/>
            <w:tcBorders>
              <w:top w:val="nil"/>
              <w:bottom w:val="nil"/>
            </w:tcBorders>
          </w:tcPr>
          <w:p w:rsidR="00000000" w:rsidRDefault="00000000">
            <w:pPr>
              <w:tabs>
                <w:tab w:val="right" w:pos="494"/>
              </w:tabs>
              <w:spacing w:after="0"/>
              <w:rPr>
                <w:sz w:val="22"/>
              </w:rPr>
            </w:pPr>
            <w:r>
              <w:rPr>
                <w:sz w:val="22"/>
              </w:rPr>
              <w:tab/>
              <w:t>56.4</w:t>
            </w:r>
          </w:p>
        </w:tc>
        <w:tc>
          <w:tcPr>
            <w:tcW w:w="822" w:type="dxa"/>
            <w:tcBorders>
              <w:top w:val="nil"/>
              <w:bottom w:val="nil"/>
            </w:tcBorders>
          </w:tcPr>
          <w:p w:rsidR="00000000" w:rsidRDefault="00000000">
            <w:pPr>
              <w:tabs>
                <w:tab w:val="right" w:pos="487"/>
              </w:tabs>
              <w:spacing w:after="0"/>
              <w:rPr>
                <w:sz w:val="22"/>
              </w:rPr>
            </w:pPr>
            <w:r>
              <w:rPr>
                <w:sz w:val="22"/>
              </w:rPr>
              <w:tab/>
              <w:t>43.1</w:t>
            </w:r>
          </w:p>
        </w:tc>
        <w:tc>
          <w:tcPr>
            <w:tcW w:w="822" w:type="dxa"/>
            <w:tcBorders>
              <w:top w:val="nil"/>
              <w:bottom w:val="nil"/>
            </w:tcBorders>
          </w:tcPr>
          <w:p w:rsidR="00000000" w:rsidRDefault="00000000">
            <w:pPr>
              <w:tabs>
                <w:tab w:val="right" w:pos="479"/>
              </w:tabs>
              <w:spacing w:after="0"/>
              <w:rPr>
                <w:sz w:val="22"/>
              </w:rPr>
            </w:pPr>
            <w:r>
              <w:rPr>
                <w:sz w:val="22"/>
              </w:rPr>
              <w:tab/>
              <w:t>33.6</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Hygiene</w:t>
            </w:r>
          </w:p>
        </w:tc>
        <w:tc>
          <w:tcPr>
            <w:tcW w:w="822" w:type="dxa"/>
            <w:tcBorders>
              <w:top w:val="nil"/>
              <w:bottom w:val="nil"/>
            </w:tcBorders>
          </w:tcPr>
          <w:p w:rsidR="00000000" w:rsidRDefault="00000000">
            <w:pPr>
              <w:tabs>
                <w:tab w:val="right" w:pos="522"/>
              </w:tabs>
              <w:spacing w:after="0"/>
              <w:rPr>
                <w:sz w:val="22"/>
              </w:rPr>
            </w:pPr>
          </w:p>
        </w:tc>
        <w:tc>
          <w:tcPr>
            <w:tcW w:w="822" w:type="dxa"/>
            <w:tcBorders>
              <w:top w:val="nil"/>
              <w:bottom w:val="nil"/>
            </w:tcBorders>
          </w:tcPr>
          <w:p w:rsidR="00000000" w:rsidRDefault="00000000">
            <w:pPr>
              <w:tabs>
                <w:tab w:val="right" w:pos="516"/>
              </w:tabs>
              <w:spacing w:after="0"/>
              <w:rPr>
                <w:sz w:val="22"/>
              </w:rPr>
            </w:pPr>
          </w:p>
        </w:tc>
        <w:tc>
          <w:tcPr>
            <w:tcW w:w="822" w:type="dxa"/>
            <w:tcBorders>
              <w:top w:val="nil"/>
              <w:bottom w:val="nil"/>
            </w:tcBorders>
          </w:tcPr>
          <w:p w:rsidR="00000000" w:rsidRDefault="00000000">
            <w:pPr>
              <w:tabs>
                <w:tab w:val="right" w:pos="508"/>
              </w:tabs>
              <w:spacing w:after="0"/>
              <w:rPr>
                <w:sz w:val="22"/>
              </w:rPr>
            </w:pPr>
          </w:p>
        </w:tc>
        <w:tc>
          <w:tcPr>
            <w:tcW w:w="822" w:type="dxa"/>
            <w:tcBorders>
              <w:top w:val="nil"/>
              <w:bottom w:val="nil"/>
            </w:tcBorders>
          </w:tcPr>
          <w:p w:rsidR="00000000" w:rsidRDefault="00000000">
            <w:pPr>
              <w:tabs>
                <w:tab w:val="right" w:pos="501"/>
              </w:tabs>
              <w:spacing w:after="0"/>
              <w:rPr>
                <w:sz w:val="22"/>
              </w:rPr>
            </w:pPr>
          </w:p>
        </w:tc>
        <w:tc>
          <w:tcPr>
            <w:tcW w:w="822" w:type="dxa"/>
            <w:tcBorders>
              <w:top w:val="nil"/>
              <w:bottom w:val="nil"/>
            </w:tcBorders>
          </w:tcPr>
          <w:p w:rsidR="00000000" w:rsidRDefault="00000000">
            <w:pPr>
              <w:tabs>
                <w:tab w:val="right" w:pos="494"/>
              </w:tabs>
              <w:spacing w:after="0"/>
              <w:rPr>
                <w:sz w:val="22"/>
              </w:rPr>
            </w:pPr>
          </w:p>
        </w:tc>
        <w:tc>
          <w:tcPr>
            <w:tcW w:w="822" w:type="dxa"/>
            <w:tcBorders>
              <w:top w:val="nil"/>
              <w:bottom w:val="nil"/>
            </w:tcBorders>
          </w:tcPr>
          <w:p w:rsidR="00000000" w:rsidRDefault="00000000">
            <w:pPr>
              <w:tabs>
                <w:tab w:val="right" w:pos="487"/>
              </w:tabs>
              <w:spacing w:after="0"/>
              <w:rPr>
                <w:sz w:val="22"/>
              </w:rPr>
            </w:pPr>
          </w:p>
        </w:tc>
        <w:tc>
          <w:tcPr>
            <w:tcW w:w="822" w:type="dxa"/>
            <w:tcBorders>
              <w:top w:val="nil"/>
              <w:bottom w:val="nil"/>
            </w:tcBorders>
          </w:tcPr>
          <w:p w:rsidR="00000000" w:rsidRDefault="00000000">
            <w:pPr>
              <w:tabs>
                <w:tab w:val="right" w:pos="479"/>
              </w:tabs>
              <w:spacing w:after="0"/>
              <w:rPr>
                <w:sz w:val="22"/>
              </w:rPr>
            </w:pP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WC in the house</w:t>
            </w:r>
          </w:p>
        </w:tc>
        <w:tc>
          <w:tcPr>
            <w:tcW w:w="822" w:type="dxa"/>
            <w:tcBorders>
              <w:top w:val="nil"/>
              <w:bottom w:val="nil"/>
            </w:tcBorders>
          </w:tcPr>
          <w:p w:rsidR="00000000" w:rsidRDefault="00000000">
            <w:pPr>
              <w:tabs>
                <w:tab w:val="right" w:pos="522"/>
              </w:tabs>
              <w:spacing w:after="0"/>
              <w:rPr>
                <w:sz w:val="22"/>
              </w:rPr>
            </w:pPr>
            <w:r>
              <w:rPr>
                <w:sz w:val="22"/>
              </w:rPr>
              <w:tab/>
              <w:t>92.0</w:t>
            </w:r>
          </w:p>
        </w:tc>
        <w:tc>
          <w:tcPr>
            <w:tcW w:w="822" w:type="dxa"/>
            <w:tcBorders>
              <w:top w:val="nil"/>
              <w:bottom w:val="nil"/>
            </w:tcBorders>
          </w:tcPr>
          <w:p w:rsidR="00000000" w:rsidRDefault="00000000">
            <w:pPr>
              <w:tabs>
                <w:tab w:val="right" w:pos="516"/>
              </w:tabs>
              <w:spacing w:after="0"/>
              <w:rPr>
                <w:sz w:val="22"/>
              </w:rPr>
            </w:pPr>
            <w:r>
              <w:rPr>
                <w:sz w:val="22"/>
              </w:rPr>
              <w:tab/>
              <w:t>48.3</w:t>
            </w:r>
          </w:p>
        </w:tc>
        <w:tc>
          <w:tcPr>
            <w:tcW w:w="822" w:type="dxa"/>
            <w:tcBorders>
              <w:top w:val="nil"/>
              <w:bottom w:val="nil"/>
            </w:tcBorders>
          </w:tcPr>
          <w:p w:rsidR="00000000" w:rsidRDefault="00000000">
            <w:pPr>
              <w:tabs>
                <w:tab w:val="right" w:pos="508"/>
              </w:tabs>
              <w:spacing w:after="0"/>
              <w:rPr>
                <w:sz w:val="22"/>
              </w:rPr>
            </w:pPr>
            <w:r>
              <w:rPr>
                <w:sz w:val="22"/>
              </w:rPr>
              <w:tab/>
              <w:t>68.0</w:t>
            </w:r>
          </w:p>
        </w:tc>
        <w:tc>
          <w:tcPr>
            <w:tcW w:w="822" w:type="dxa"/>
            <w:tcBorders>
              <w:top w:val="nil"/>
              <w:bottom w:val="nil"/>
            </w:tcBorders>
          </w:tcPr>
          <w:p w:rsidR="00000000" w:rsidRDefault="00000000">
            <w:pPr>
              <w:tabs>
                <w:tab w:val="right" w:pos="501"/>
              </w:tabs>
              <w:spacing w:after="0"/>
              <w:rPr>
                <w:sz w:val="22"/>
              </w:rPr>
            </w:pPr>
            <w:r>
              <w:rPr>
                <w:sz w:val="22"/>
              </w:rPr>
              <w:tab/>
              <w:t>80.7</w:t>
            </w:r>
          </w:p>
        </w:tc>
        <w:tc>
          <w:tcPr>
            <w:tcW w:w="822" w:type="dxa"/>
            <w:tcBorders>
              <w:top w:val="nil"/>
              <w:bottom w:val="nil"/>
            </w:tcBorders>
          </w:tcPr>
          <w:p w:rsidR="00000000" w:rsidRDefault="00000000">
            <w:pPr>
              <w:tabs>
                <w:tab w:val="right" w:pos="494"/>
              </w:tabs>
              <w:spacing w:after="0"/>
              <w:rPr>
                <w:sz w:val="22"/>
              </w:rPr>
            </w:pPr>
            <w:r>
              <w:rPr>
                <w:sz w:val="22"/>
              </w:rPr>
              <w:tab/>
              <w:t>22.9</w:t>
            </w:r>
          </w:p>
        </w:tc>
        <w:tc>
          <w:tcPr>
            <w:tcW w:w="822" w:type="dxa"/>
            <w:tcBorders>
              <w:top w:val="nil"/>
              <w:bottom w:val="nil"/>
            </w:tcBorders>
          </w:tcPr>
          <w:p w:rsidR="00000000" w:rsidRDefault="00000000">
            <w:pPr>
              <w:tabs>
                <w:tab w:val="right" w:pos="487"/>
              </w:tabs>
              <w:spacing w:after="0"/>
              <w:rPr>
                <w:sz w:val="22"/>
              </w:rPr>
            </w:pPr>
            <w:r>
              <w:rPr>
                <w:sz w:val="22"/>
              </w:rPr>
              <w:tab/>
              <w:t>41.4</w:t>
            </w:r>
          </w:p>
        </w:tc>
        <w:tc>
          <w:tcPr>
            <w:tcW w:w="822" w:type="dxa"/>
            <w:tcBorders>
              <w:top w:val="nil"/>
              <w:bottom w:val="nil"/>
            </w:tcBorders>
          </w:tcPr>
          <w:p w:rsidR="00000000" w:rsidRDefault="00000000">
            <w:pPr>
              <w:tabs>
                <w:tab w:val="right" w:pos="479"/>
              </w:tabs>
              <w:spacing w:after="0"/>
              <w:rPr>
                <w:sz w:val="22"/>
              </w:rPr>
            </w:pPr>
            <w:r>
              <w:rPr>
                <w:sz w:val="22"/>
              </w:rPr>
              <w:tab/>
              <w:t>61.2</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Outside WC, with sewerage</w:t>
            </w:r>
          </w:p>
        </w:tc>
        <w:tc>
          <w:tcPr>
            <w:tcW w:w="822" w:type="dxa"/>
            <w:tcBorders>
              <w:top w:val="nil"/>
              <w:bottom w:val="nil"/>
            </w:tcBorders>
          </w:tcPr>
          <w:p w:rsidR="00000000" w:rsidRDefault="00000000">
            <w:pPr>
              <w:tabs>
                <w:tab w:val="right" w:pos="522"/>
              </w:tabs>
              <w:spacing w:after="0"/>
              <w:rPr>
                <w:sz w:val="22"/>
              </w:rPr>
            </w:pPr>
            <w:r>
              <w:rPr>
                <w:sz w:val="22"/>
              </w:rPr>
              <w:tab/>
              <w:t>5.6</w:t>
            </w:r>
          </w:p>
        </w:tc>
        <w:tc>
          <w:tcPr>
            <w:tcW w:w="822" w:type="dxa"/>
            <w:tcBorders>
              <w:top w:val="nil"/>
              <w:bottom w:val="nil"/>
            </w:tcBorders>
          </w:tcPr>
          <w:p w:rsidR="00000000" w:rsidRDefault="00000000">
            <w:pPr>
              <w:tabs>
                <w:tab w:val="right" w:pos="516"/>
              </w:tabs>
              <w:spacing w:after="0"/>
              <w:rPr>
                <w:sz w:val="22"/>
              </w:rPr>
            </w:pPr>
            <w:r>
              <w:rPr>
                <w:sz w:val="22"/>
              </w:rPr>
              <w:tab/>
              <w:t>13.1</w:t>
            </w:r>
          </w:p>
        </w:tc>
        <w:tc>
          <w:tcPr>
            <w:tcW w:w="822" w:type="dxa"/>
            <w:tcBorders>
              <w:top w:val="nil"/>
              <w:bottom w:val="nil"/>
            </w:tcBorders>
          </w:tcPr>
          <w:p w:rsidR="00000000" w:rsidRDefault="00000000">
            <w:pPr>
              <w:tabs>
                <w:tab w:val="right" w:pos="508"/>
              </w:tabs>
              <w:spacing w:after="0"/>
              <w:rPr>
                <w:sz w:val="22"/>
              </w:rPr>
            </w:pPr>
            <w:r>
              <w:rPr>
                <w:sz w:val="22"/>
              </w:rPr>
              <w:tab/>
              <w:t>9.7</w:t>
            </w:r>
          </w:p>
        </w:tc>
        <w:tc>
          <w:tcPr>
            <w:tcW w:w="822" w:type="dxa"/>
            <w:tcBorders>
              <w:top w:val="nil"/>
              <w:bottom w:val="nil"/>
            </w:tcBorders>
          </w:tcPr>
          <w:p w:rsidR="00000000" w:rsidRDefault="00000000">
            <w:pPr>
              <w:tabs>
                <w:tab w:val="right" w:pos="501"/>
              </w:tabs>
              <w:spacing w:after="0"/>
              <w:rPr>
                <w:sz w:val="22"/>
              </w:rPr>
            </w:pPr>
            <w:r>
              <w:rPr>
                <w:sz w:val="22"/>
              </w:rPr>
              <w:tab/>
              <w:t>10.4</w:t>
            </w:r>
          </w:p>
        </w:tc>
        <w:tc>
          <w:tcPr>
            <w:tcW w:w="822" w:type="dxa"/>
            <w:tcBorders>
              <w:top w:val="nil"/>
              <w:bottom w:val="nil"/>
            </w:tcBorders>
          </w:tcPr>
          <w:p w:rsidR="00000000" w:rsidRDefault="00000000">
            <w:pPr>
              <w:tabs>
                <w:tab w:val="right" w:pos="494"/>
              </w:tabs>
              <w:spacing w:after="0"/>
              <w:rPr>
                <w:sz w:val="22"/>
              </w:rPr>
            </w:pPr>
            <w:r>
              <w:rPr>
                <w:sz w:val="22"/>
              </w:rPr>
              <w:tab/>
              <w:t>14.4</w:t>
            </w:r>
          </w:p>
        </w:tc>
        <w:tc>
          <w:tcPr>
            <w:tcW w:w="822" w:type="dxa"/>
            <w:tcBorders>
              <w:top w:val="nil"/>
              <w:bottom w:val="nil"/>
            </w:tcBorders>
          </w:tcPr>
          <w:p w:rsidR="00000000" w:rsidRDefault="00000000">
            <w:pPr>
              <w:tabs>
                <w:tab w:val="right" w:pos="487"/>
              </w:tabs>
              <w:spacing w:after="0"/>
              <w:rPr>
                <w:sz w:val="22"/>
              </w:rPr>
            </w:pPr>
            <w:r>
              <w:rPr>
                <w:sz w:val="22"/>
              </w:rPr>
              <w:tab/>
              <w:t>13.1</w:t>
            </w:r>
          </w:p>
        </w:tc>
        <w:tc>
          <w:tcPr>
            <w:tcW w:w="822" w:type="dxa"/>
            <w:tcBorders>
              <w:top w:val="nil"/>
              <w:bottom w:val="nil"/>
            </w:tcBorders>
          </w:tcPr>
          <w:p w:rsidR="00000000" w:rsidRDefault="00000000">
            <w:pPr>
              <w:tabs>
                <w:tab w:val="right" w:pos="479"/>
              </w:tabs>
              <w:spacing w:after="0"/>
              <w:rPr>
                <w:sz w:val="22"/>
              </w:rPr>
            </w:pPr>
            <w:r>
              <w:rPr>
                <w:sz w:val="22"/>
              </w:rPr>
              <w:tab/>
              <w:t>10.6</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Outside WC, without sewerage</w:t>
            </w:r>
          </w:p>
        </w:tc>
        <w:tc>
          <w:tcPr>
            <w:tcW w:w="822" w:type="dxa"/>
            <w:tcBorders>
              <w:top w:val="nil"/>
              <w:bottom w:val="nil"/>
            </w:tcBorders>
          </w:tcPr>
          <w:p w:rsidR="00000000" w:rsidRDefault="00000000">
            <w:pPr>
              <w:tabs>
                <w:tab w:val="right" w:pos="522"/>
              </w:tabs>
              <w:spacing w:after="0"/>
              <w:rPr>
                <w:sz w:val="22"/>
              </w:rPr>
            </w:pPr>
            <w:r>
              <w:rPr>
                <w:sz w:val="22"/>
              </w:rPr>
              <w:tab/>
              <w:t>2.2</w:t>
            </w:r>
          </w:p>
        </w:tc>
        <w:tc>
          <w:tcPr>
            <w:tcW w:w="822" w:type="dxa"/>
            <w:tcBorders>
              <w:top w:val="nil"/>
              <w:bottom w:val="nil"/>
            </w:tcBorders>
          </w:tcPr>
          <w:p w:rsidR="00000000" w:rsidRDefault="00000000">
            <w:pPr>
              <w:tabs>
                <w:tab w:val="right" w:pos="516"/>
              </w:tabs>
              <w:spacing w:after="0"/>
              <w:rPr>
                <w:sz w:val="22"/>
              </w:rPr>
            </w:pPr>
            <w:r>
              <w:rPr>
                <w:sz w:val="22"/>
              </w:rPr>
              <w:tab/>
              <w:t>38.4</w:t>
            </w:r>
          </w:p>
        </w:tc>
        <w:tc>
          <w:tcPr>
            <w:tcW w:w="822" w:type="dxa"/>
            <w:tcBorders>
              <w:top w:val="nil"/>
              <w:bottom w:val="nil"/>
            </w:tcBorders>
          </w:tcPr>
          <w:p w:rsidR="00000000" w:rsidRDefault="00000000">
            <w:pPr>
              <w:tabs>
                <w:tab w:val="right" w:pos="508"/>
              </w:tabs>
              <w:spacing w:after="0"/>
              <w:rPr>
                <w:sz w:val="22"/>
              </w:rPr>
            </w:pPr>
            <w:r>
              <w:rPr>
                <w:sz w:val="22"/>
              </w:rPr>
              <w:tab/>
              <w:t>22.1</w:t>
            </w:r>
          </w:p>
        </w:tc>
        <w:tc>
          <w:tcPr>
            <w:tcW w:w="822" w:type="dxa"/>
            <w:tcBorders>
              <w:top w:val="nil"/>
              <w:bottom w:val="nil"/>
            </w:tcBorders>
          </w:tcPr>
          <w:p w:rsidR="00000000" w:rsidRDefault="00000000">
            <w:pPr>
              <w:tabs>
                <w:tab w:val="right" w:pos="501"/>
              </w:tabs>
              <w:spacing w:after="0"/>
              <w:rPr>
                <w:sz w:val="22"/>
              </w:rPr>
            </w:pPr>
            <w:r>
              <w:rPr>
                <w:sz w:val="22"/>
              </w:rPr>
              <w:tab/>
              <w:t>8.6</w:t>
            </w:r>
          </w:p>
        </w:tc>
        <w:tc>
          <w:tcPr>
            <w:tcW w:w="822" w:type="dxa"/>
            <w:tcBorders>
              <w:top w:val="nil"/>
              <w:bottom w:val="nil"/>
            </w:tcBorders>
          </w:tcPr>
          <w:p w:rsidR="00000000" w:rsidRDefault="00000000">
            <w:pPr>
              <w:tabs>
                <w:tab w:val="right" w:pos="494"/>
              </w:tabs>
              <w:spacing w:after="0"/>
              <w:rPr>
                <w:sz w:val="22"/>
              </w:rPr>
            </w:pPr>
            <w:r>
              <w:rPr>
                <w:sz w:val="22"/>
              </w:rPr>
              <w:tab/>
              <w:t>62.4</w:t>
            </w:r>
          </w:p>
        </w:tc>
        <w:tc>
          <w:tcPr>
            <w:tcW w:w="822" w:type="dxa"/>
            <w:tcBorders>
              <w:top w:val="nil"/>
              <w:bottom w:val="nil"/>
            </w:tcBorders>
          </w:tcPr>
          <w:p w:rsidR="00000000" w:rsidRDefault="00000000">
            <w:pPr>
              <w:tabs>
                <w:tab w:val="right" w:pos="487"/>
              </w:tabs>
              <w:spacing w:after="0"/>
              <w:rPr>
                <w:sz w:val="22"/>
              </w:rPr>
            </w:pPr>
            <w:r>
              <w:rPr>
                <w:sz w:val="22"/>
              </w:rPr>
              <w:tab/>
              <w:t>45.2</w:t>
            </w:r>
          </w:p>
        </w:tc>
        <w:tc>
          <w:tcPr>
            <w:tcW w:w="822" w:type="dxa"/>
            <w:tcBorders>
              <w:top w:val="nil"/>
              <w:bottom w:val="nil"/>
            </w:tcBorders>
          </w:tcPr>
          <w:p w:rsidR="00000000" w:rsidRDefault="00000000">
            <w:pPr>
              <w:tabs>
                <w:tab w:val="right" w:pos="479"/>
              </w:tabs>
              <w:spacing w:after="0"/>
              <w:rPr>
                <w:sz w:val="22"/>
              </w:rPr>
            </w:pPr>
            <w:r>
              <w:rPr>
                <w:sz w:val="22"/>
              </w:rPr>
              <w:tab/>
              <w:t>28.0</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Phone access</w:t>
            </w:r>
          </w:p>
        </w:tc>
        <w:tc>
          <w:tcPr>
            <w:tcW w:w="822" w:type="dxa"/>
            <w:tcBorders>
              <w:top w:val="nil"/>
              <w:bottom w:val="nil"/>
            </w:tcBorders>
          </w:tcPr>
          <w:p w:rsidR="00000000" w:rsidRDefault="00000000">
            <w:pPr>
              <w:tabs>
                <w:tab w:val="right" w:pos="522"/>
              </w:tabs>
              <w:spacing w:after="0"/>
              <w:rPr>
                <w:sz w:val="22"/>
              </w:rPr>
            </w:pPr>
          </w:p>
        </w:tc>
        <w:tc>
          <w:tcPr>
            <w:tcW w:w="822" w:type="dxa"/>
            <w:tcBorders>
              <w:top w:val="nil"/>
              <w:bottom w:val="nil"/>
            </w:tcBorders>
          </w:tcPr>
          <w:p w:rsidR="00000000" w:rsidRDefault="00000000">
            <w:pPr>
              <w:tabs>
                <w:tab w:val="right" w:pos="516"/>
              </w:tabs>
              <w:spacing w:after="0"/>
              <w:rPr>
                <w:sz w:val="22"/>
              </w:rPr>
            </w:pPr>
          </w:p>
        </w:tc>
        <w:tc>
          <w:tcPr>
            <w:tcW w:w="822" w:type="dxa"/>
            <w:tcBorders>
              <w:top w:val="nil"/>
              <w:bottom w:val="nil"/>
            </w:tcBorders>
          </w:tcPr>
          <w:p w:rsidR="00000000" w:rsidRDefault="00000000">
            <w:pPr>
              <w:tabs>
                <w:tab w:val="right" w:pos="508"/>
              </w:tabs>
              <w:spacing w:after="0"/>
              <w:rPr>
                <w:sz w:val="22"/>
              </w:rPr>
            </w:pPr>
          </w:p>
        </w:tc>
        <w:tc>
          <w:tcPr>
            <w:tcW w:w="822" w:type="dxa"/>
            <w:tcBorders>
              <w:top w:val="nil"/>
              <w:bottom w:val="nil"/>
            </w:tcBorders>
          </w:tcPr>
          <w:p w:rsidR="00000000" w:rsidRDefault="00000000">
            <w:pPr>
              <w:tabs>
                <w:tab w:val="right" w:pos="501"/>
              </w:tabs>
              <w:spacing w:after="0"/>
              <w:rPr>
                <w:sz w:val="22"/>
              </w:rPr>
            </w:pPr>
          </w:p>
        </w:tc>
        <w:tc>
          <w:tcPr>
            <w:tcW w:w="822" w:type="dxa"/>
            <w:tcBorders>
              <w:top w:val="nil"/>
              <w:bottom w:val="nil"/>
            </w:tcBorders>
          </w:tcPr>
          <w:p w:rsidR="00000000" w:rsidRDefault="00000000">
            <w:pPr>
              <w:tabs>
                <w:tab w:val="right" w:pos="494"/>
              </w:tabs>
              <w:spacing w:after="0"/>
              <w:rPr>
                <w:sz w:val="22"/>
              </w:rPr>
            </w:pPr>
          </w:p>
        </w:tc>
        <w:tc>
          <w:tcPr>
            <w:tcW w:w="822" w:type="dxa"/>
            <w:tcBorders>
              <w:top w:val="nil"/>
              <w:bottom w:val="nil"/>
            </w:tcBorders>
          </w:tcPr>
          <w:p w:rsidR="00000000" w:rsidRDefault="00000000">
            <w:pPr>
              <w:tabs>
                <w:tab w:val="right" w:pos="487"/>
              </w:tabs>
              <w:spacing w:after="0"/>
              <w:rPr>
                <w:sz w:val="22"/>
              </w:rPr>
            </w:pPr>
          </w:p>
        </w:tc>
        <w:tc>
          <w:tcPr>
            <w:tcW w:w="822" w:type="dxa"/>
            <w:tcBorders>
              <w:top w:val="nil"/>
              <w:bottom w:val="nil"/>
            </w:tcBorders>
          </w:tcPr>
          <w:p w:rsidR="00000000" w:rsidRDefault="00000000">
            <w:pPr>
              <w:tabs>
                <w:tab w:val="right" w:pos="479"/>
              </w:tabs>
              <w:spacing w:after="0"/>
              <w:rPr>
                <w:sz w:val="22"/>
              </w:rPr>
            </w:pP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Fixed and mobile phones</w:t>
            </w:r>
          </w:p>
        </w:tc>
        <w:tc>
          <w:tcPr>
            <w:tcW w:w="822" w:type="dxa"/>
            <w:tcBorders>
              <w:top w:val="nil"/>
              <w:bottom w:val="nil"/>
            </w:tcBorders>
          </w:tcPr>
          <w:p w:rsidR="00000000" w:rsidRDefault="00000000">
            <w:pPr>
              <w:tabs>
                <w:tab w:val="right" w:pos="522"/>
              </w:tabs>
              <w:spacing w:after="0"/>
              <w:rPr>
                <w:sz w:val="22"/>
              </w:rPr>
            </w:pPr>
            <w:r>
              <w:rPr>
                <w:sz w:val="22"/>
              </w:rPr>
              <w:tab/>
              <w:t>24.5</w:t>
            </w:r>
          </w:p>
        </w:tc>
        <w:tc>
          <w:tcPr>
            <w:tcW w:w="822" w:type="dxa"/>
            <w:tcBorders>
              <w:top w:val="nil"/>
              <w:bottom w:val="nil"/>
            </w:tcBorders>
          </w:tcPr>
          <w:p w:rsidR="00000000" w:rsidRDefault="00000000">
            <w:pPr>
              <w:tabs>
                <w:tab w:val="right" w:pos="516"/>
              </w:tabs>
              <w:spacing w:after="0"/>
              <w:rPr>
                <w:sz w:val="22"/>
              </w:rPr>
            </w:pPr>
            <w:r>
              <w:rPr>
                <w:sz w:val="22"/>
              </w:rPr>
              <w:tab/>
              <w:t>1.4</w:t>
            </w:r>
          </w:p>
        </w:tc>
        <w:tc>
          <w:tcPr>
            <w:tcW w:w="822" w:type="dxa"/>
            <w:tcBorders>
              <w:top w:val="nil"/>
              <w:bottom w:val="nil"/>
            </w:tcBorders>
          </w:tcPr>
          <w:p w:rsidR="00000000" w:rsidRDefault="00000000">
            <w:pPr>
              <w:tabs>
                <w:tab w:val="right" w:pos="508"/>
              </w:tabs>
              <w:spacing w:after="0"/>
              <w:rPr>
                <w:sz w:val="22"/>
              </w:rPr>
            </w:pPr>
            <w:r>
              <w:rPr>
                <w:sz w:val="22"/>
              </w:rPr>
              <w:tab/>
              <w:t>11.8</w:t>
            </w:r>
          </w:p>
        </w:tc>
        <w:tc>
          <w:tcPr>
            <w:tcW w:w="822" w:type="dxa"/>
            <w:tcBorders>
              <w:top w:val="nil"/>
              <w:bottom w:val="nil"/>
            </w:tcBorders>
          </w:tcPr>
          <w:p w:rsidR="00000000" w:rsidRDefault="00000000">
            <w:pPr>
              <w:tabs>
                <w:tab w:val="right" w:pos="501"/>
              </w:tabs>
              <w:spacing w:after="0"/>
              <w:rPr>
                <w:sz w:val="22"/>
              </w:rPr>
            </w:pPr>
            <w:r>
              <w:rPr>
                <w:sz w:val="22"/>
              </w:rPr>
              <w:tab/>
              <w:t>3.9</w:t>
            </w:r>
          </w:p>
        </w:tc>
        <w:tc>
          <w:tcPr>
            <w:tcW w:w="822" w:type="dxa"/>
            <w:tcBorders>
              <w:top w:val="nil"/>
              <w:bottom w:val="nil"/>
            </w:tcBorders>
          </w:tcPr>
          <w:p w:rsidR="00000000" w:rsidRDefault="00000000">
            <w:pPr>
              <w:tabs>
                <w:tab w:val="right" w:pos="494"/>
              </w:tabs>
              <w:spacing w:after="0"/>
              <w:rPr>
                <w:sz w:val="22"/>
              </w:rPr>
            </w:pPr>
            <w:r>
              <w:rPr>
                <w:sz w:val="22"/>
              </w:rPr>
              <w:tab/>
              <w:t>0.4</w:t>
            </w:r>
          </w:p>
        </w:tc>
        <w:tc>
          <w:tcPr>
            <w:tcW w:w="822" w:type="dxa"/>
            <w:tcBorders>
              <w:top w:val="nil"/>
              <w:bottom w:val="nil"/>
            </w:tcBorders>
          </w:tcPr>
          <w:p w:rsidR="00000000" w:rsidRDefault="00000000">
            <w:pPr>
              <w:tabs>
                <w:tab w:val="right" w:pos="487"/>
              </w:tabs>
              <w:spacing w:after="0"/>
              <w:rPr>
                <w:sz w:val="22"/>
              </w:rPr>
            </w:pPr>
            <w:r>
              <w:rPr>
                <w:sz w:val="22"/>
              </w:rPr>
              <w:tab/>
              <w:t>1.6</w:t>
            </w:r>
          </w:p>
        </w:tc>
        <w:tc>
          <w:tcPr>
            <w:tcW w:w="822" w:type="dxa"/>
            <w:tcBorders>
              <w:top w:val="nil"/>
              <w:bottom w:val="nil"/>
            </w:tcBorders>
          </w:tcPr>
          <w:p w:rsidR="00000000" w:rsidRDefault="00000000">
            <w:pPr>
              <w:tabs>
                <w:tab w:val="right" w:pos="479"/>
              </w:tabs>
              <w:spacing w:after="0"/>
              <w:rPr>
                <w:sz w:val="22"/>
              </w:rPr>
            </w:pPr>
            <w:r>
              <w:rPr>
                <w:sz w:val="22"/>
              </w:rPr>
              <w:tab/>
              <w:t>9.2</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Fixed phones only</w:t>
            </w:r>
          </w:p>
        </w:tc>
        <w:tc>
          <w:tcPr>
            <w:tcW w:w="822" w:type="dxa"/>
            <w:tcBorders>
              <w:top w:val="nil"/>
              <w:bottom w:val="nil"/>
            </w:tcBorders>
          </w:tcPr>
          <w:p w:rsidR="00000000" w:rsidRDefault="00000000">
            <w:pPr>
              <w:tabs>
                <w:tab w:val="right" w:pos="522"/>
              </w:tabs>
              <w:spacing w:after="0"/>
              <w:rPr>
                <w:sz w:val="22"/>
              </w:rPr>
            </w:pPr>
            <w:r>
              <w:rPr>
                <w:sz w:val="22"/>
              </w:rPr>
              <w:tab/>
              <w:t>27.6</w:t>
            </w:r>
          </w:p>
        </w:tc>
        <w:tc>
          <w:tcPr>
            <w:tcW w:w="822" w:type="dxa"/>
            <w:tcBorders>
              <w:top w:val="nil"/>
              <w:bottom w:val="nil"/>
            </w:tcBorders>
          </w:tcPr>
          <w:p w:rsidR="00000000" w:rsidRDefault="00000000">
            <w:pPr>
              <w:tabs>
                <w:tab w:val="right" w:pos="516"/>
              </w:tabs>
              <w:spacing w:after="0"/>
              <w:rPr>
                <w:sz w:val="22"/>
              </w:rPr>
            </w:pPr>
            <w:r>
              <w:rPr>
                <w:sz w:val="22"/>
              </w:rPr>
              <w:tab/>
              <w:t>1.7</w:t>
            </w:r>
          </w:p>
        </w:tc>
        <w:tc>
          <w:tcPr>
            <w:tcW w:w="822" w:type="dxa"/>
            <w:tcBorders>
              <w:top w:val="nil"/>
              <w:bottom w:val="nil"/>
            </w:tcBorders>
          </w:tcPr>
          <w:p w:rsidR="00000000" w:rsidRDefault="00000000">
            <w:pPr>
              <w:tabs>
                <w:tab w:val="right" w:pos="508"/>
              </w:tabs>
              <w:spacing w:after="0"/>
              <w:rPr>
                <w:sz w:val="22"/>
              </w:rPr>
            </w:pPr>
            <w:r>
              <w:rPr>
                <w:sz w:val="22"/>
              </w:rPr>
              <w:tab/>
              <w:t>13.4</w:t>
            </w:r>
          </w:p>
        </w:tc>
        <w:tc>
          <w:tcPr>
            <w:tcW w:w="822" w:type="dxa"/>
            <w:tcBorders>
              <w:top w:val="nil"/>
              <w:bottom w:val="nil"/>
            </w:tcBorders>
          </w:tcPr>
          <w:p w:rsidR="00000000" w:rsidRDefault="00000000">
            <w:pPr>
              <w:tabs>
                <w:tab w:val="right" w:pos="501"/>
              </w:tabs>
              <w:spacing w:after="0"/>
              <w:rPr>
                <w:sz w:val="22"/>
              </w:rPr>
            </w:pPr>
            <w:r>
              <w:rPr>
                <w:sz w:val="22"/>
              </w:rPr>
              <w:tab/>
              <w:t>17.1</w:t>
            </w:r>
          </w:p>
        </w:tc>
        <w:tc>
          <w:tcPr>
            <w:tcW w:w="822" w:type="dxa"/>
            <w:tcBorders>
              <w:top w:val="nil"/>
              <w:bottom w:val="nil"/>
            </w:tcBorders>
          </w:tcPr>
          <w:p w:rsidR="00000000" w:rsidRDefault="00000000">
            <w:pPr>
              <w:tabs>
                <w:tab w:val="right" w:pos="494"/>
              </w:tabs>
              <w:spacing w:after="0"/>
              <w:rPr>
                <w:sz w:val="22"/>
              </w:rPr>
            </w:pPr>
            <w:r>
              <w:rPr>
                <w:sz w:val="22"/>
              </w:rPr>
              <w:tab/>
              <w:t>0.0</w:t>
            </w:r>
          </w:p>
        </w:tc>
        <w:tc>
          <w:tcPr>
            <w:tcW w:w="822" w:type="dxa"/>
            <w:tcBorders>
              <w:top w:val="nil"/>
              <w:bottom w:val="nil"/>
            </w:tcBorders>
          </w:tcPr>
          <w:p w:rsidR="00000000" w:rsidRDefault="00000000">
            <w:pPr>
              <w:tabs>
                <w:tab w:val="right" w:pos="487"/>
              </w:tabs>
              <w:spacing w:after="0"/>
              <w:rPr>
                <w:sz w:val="22"/>
              </w:rPr>
            </w:pPr>
            <w:r>
              <w:rPr>
                <w:sz w:val="22"/>
              </w:rPr>
              <w:tab/>
              <w:t>5.5</w:t>
            </w:r>
          </w:p>
        </w:tc>
        <w:tc>
          <w:tcPr>
            <w:tcW w:w="822" w:type="dxa"/>
            <w:tcBorders>
              <w:top w:val="nil"/>
              <w:bottom w:val="nil"/>
            </w:tcBorders>
          </w:tcPr>
          <w:p w:rsidR="00000000" w:rsidRDefault="00000000">
            <w:pPr>
              <w:tabs>
                <w:tab w:val="right" w:pos="479"/>
              </w:tabs>
              <w:spacing w:after="0"/>
              <w:rPr>
                <w:sz w:val="22"/>
              </w:rPr>
            </w:pPr>
            <w:r>
              <w:rPr>
                <w:sz w:val="22"/>
              </w:rPr>
              <w:tab/>
              <w:t>11.3</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Mobile phones only</w:t>
            </w:r>
          </w:p>
        </w:tc>
        <w:tc>
          <w:tcPr>
            <w:tcW w:w="822" w:type="dxa"/>
            <w:tcBorders>
              <w:top w:val="nil"/>
              <w:bottom w:val="nil"/>
            </w:tcBorders>
          </w:tcPr>
          <w:p w:rsidR="00000000" w:rsidRDefault="00000000">
            <w:pPr>
              <w:tabs>
                <w:tab w:val="right" w:pos="522"/>
              </w:tabs>
              <w:spacing w:after="0"/>
              <w:rPr>
                <w:sz w:val="22"/>
              </w:rPr>
            </w:pPr>
            <w:r>
              <w:rPr>
                <w:sz w:val="22"/>
              </w:rPr>
              <w:tab/>
              <w:t>25.1</w:t>
            </w:r>
          </w:p>
        </w:tc>
        <w:tc>
          <w:tcPr>
            <w:tcW w:w="822" w:type="dxa"/>
            <w:tcBorders>
              <w:top w:val="nil"/>
              <w:bottom w:val="nil"/>
            </w:tcBorders>
          </w:tcPr>
          <w:p w:rsidR="00000000" w:rsidRDefault="00000000">
            <w:pPr>
              <w:tabs>
                <w:tab w:val="right" w:pos="516"/>
              </w:tabs>
              <w:spacing w:after="0"/>
              <w:rPr>
                <w:sz w:val="22"/>
              </w:rPr>
            </w:pPr>
            <w:r>
              <w:rPr>
                <w:sz w:val="22"/>
              </w:rPr>
              <w:tab/>
              <w:t>43.3</w:t>
            </w:r>
          </w:p>
        </w:tc>
        <w:tc>
          <w:tcPr>
            <w:tcW w:w="822" w:type="dxa"/>
            <w:tcBorders>
              <w:top w:val="nil"/>
              <w:bottom w:val="nil"/>
            </w:tcBorders>
          </w:tcPr>
          <w:p w:rsidR="00000000" w:rsidRDefault="00000000">
            <w:pPr>
              <w:tabs>
                <w:tab w:val="right" w:pos="508"/>
              </w:tabs>
              <w:spacing w:after="0"/>
              <w:rPr>
                <w:sz w:val="22"/>
              </w:rPr>
            </w:pPr>
            <w:r>
              <w:rPr>
                <w:sz w:val="22"/>
              </w:rPr>
              <w:tab/>
              <w:t>35.1</w:t>
            </w:r>
          </w:p>
        </w:tc>
        <w:tc>
          <w:tcPr>
            <w:tcW w:w="822" w:type="dxa"/>
            <w:tcBorders>
              <w:top w:val="nil"/>
              <w:bottom w:val="nil"/>
            </w:tcBorders>
          </w:tcPr>
          <w:p w:rsidR="00000000" w:rsidRDefault="00000000">
            <w:pPr>
              <w:tabs>
                <w:tab w:val="right" w:pos="501"/>
              </w:tabs>
              <w:spacing w:after="0"/>
              <w:rPr>
                <w:sz w:val="22"/>
              </w:rPr>
            </w:pPr>
            <w:r>
              <w:rPr>
                <w:sz w:val="22"/>
              </w:rPr>
              <w:tab/>
              <w:t>22.3</w:t>
            </w:r>
          </w:p>
        </w:tc>
        <w:tc>
          <w:tcPr>
            <w:tcW w:w="822" w:type="dxa"/>
            <w:tcBorders>
              <w:top w:val="nil"/>
              <w:bottom w:val="nil"/>
            </w:tcBorders>
          </w:tcPr>
          <w:p w:rsidR="00000000" w:rsidRDefault="00000000">
            <w:pPr>
              <w:tabs>
                <w:tab w:val="right" w:pos="494"/>
              </w:tabs>
              <w:spacing w:after="0"/>
              <w:rPr>
                <w:sz w:val="22"/>
              </w:rPr>
            </w:pPr>
            <w:r>
              <w:rPr>
                <w:sz w:val="22"/>
              </w:rPr>
              <w:tab/>
              <w:t>10.6</w:t>
            </w:r>
          </w:p>
        </w:tc>
        <w:tc>
          <w:tcPr>
            <w:tcW w:w="822" w:type="dxa"/>
            <w:tcBorders>
              <w:top w:val="nil"/>
              <w:bottom w:val="nil"/>
            </w:tcBorders>
          </w:tcPr>
          <w:p w:rsidR="00000000" w:rsidRDefault="00000000">
            <w:pPr>
              <w:tabs>
                <w:tab w:val="right" w:pos="487"/>
              </w:tabs>
              <w:spacing w:after="0"/>
              <w:rPr>
                <w:sz w:val="22"/>
              </w:rPr>
            </w:pPr>
            <w:r>
              <w:rPr>
                <w:sz w:val="22"/>
              </w:rPr>
              <w:tab/>
              <w:t>14.3</w:t>
            </w:r>
          </w:p>
        </w:tc>
        <w:tc>
          <w:tcPr>
            <w:tcW w:w="822" w:type="dxa"/>
            <w:tcBorders>
              <w:top w:val="nil"/>
              <w:bottom w:val="nil"/>
            </w:tcBorders>
          </w:tcPr>
          <w:p w:rsidR="00000000" w:rsidRDefault="00000000">
            <w:pPr>
              <w:tabs>
                <w:tab w:val="right" w:pos="479"/>
              </w:tabs>
              <w:spacing w:after="0"/>
              <w:rPr>
                <w:sz w:val="22"/>
              </w:rPr>
            </w:pPr>
            <w:r>
              <w:rPr>
                <w:sz w:val="22"/>
              </w:rPr>
              <w:tab/>
              <w:t>29.8</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Without phones</w:t>
            </w:r>
          </w:p>
        </w:tc>
        <w:tc>
          <w:tcPr>
            <w:tcW w:w="822" w:type="dxa"/>
            <w:tcBorders>
              <w:top w:val="nil"/>
              <w:bottom w:val="nil"/>
            </w:tcBorders>
          </w:tcPr>
          <w:p w:rsidR="00000000" w:rsidRDefault="00000000">
            <w:pPr>
              <w:tabs>
                <w:tab w:val="right" w:pos="522"/>
              </w:tabs>
              <w:spacing w:after="0"/>
              <w:rPr>
                <w:sz w:val="22"/>
              </w:rPr>
            </w:pPr>
            <w:r>
              <w:rPr>
                <w:sz w:val="22"/>
              </w:rPr>
              <w:tab/>
              <w:t>22.8</w:t>
            </w:r>
          </w:p>
        </w:tc>
        <w:tc>
          <w:tcPr>
            <w:tcW w:w="822" w:type="dxa"/>
            <w:tcBorders>
              <w:top w:val="nil"/>
              <w:bottom w:val="nil"/>
            </w:tcBorders>
          </w:tcPr>
          <w:p w:rsidR="00000000" w:rsidRDefault="00000000">
            <w:pPr>
              <w:tabs>
                <w:tab w:val="right" w:pos="516"/>
              </w:tabs>
              <w:spacing w:after="0"/>
              <w:rPr>
                <w:sz w:val="22"/>
              </w:rPr>
            </w:pPr>
            <w:r>
              <w:rPr>
                <w:sz w:val="22"/>
              </w:rPr>
              <w:tab/>
              <w:t>53.6</w:t>
            </w:r>
          </w:p>
        </w:tc>
        <w:tc>
          <w:tcPr>
            <w:tcW w:w="822" w:type="dxa"/>
            <w:tcBorders>
              <w:top w:val="nil"/>
              <w:bottom w:val="nil"/>
            </w:tcBorders>
          </w:tcPr>
          <w:p w:rsidR="00000000" w:rsidRDefault="00000000">
            <w:pPr>
              <w:tabs>
                <w:tab w:val="right" w:pos="508"/>
              </w:tabs>
              <w:spacing w:after="0"/>
              <w:rPr>
                <w:sz w:val="22"/>
              </w:rPr>
            </w:pPr>
            <w:r>
              <w:rPr>
                <w:sz w:val="22"/>
              </w:rPr>
              <w:tab/>
              <w:t>39.7</w:t>
            </w:r>
          </w:p>
        </w:tc>
        <w:tc>
          <w:tcPr>
            <w:tcW w:w="822" w:type="dxa"/>
            <w:tcBorders>
              <w:top w:val="nil"/>
              <w:bottom w:val="nil"/>
            </w:tcBorders>
          </w:tcPr>
          <w:p w:rsidR="00000000" w:rsidRDefault="00000000">
            <w:pPr>
              <w:tabs>
                <w:tab w:val="right" w:pos="501"/>
              </w:tabs>
              <w:spacing w:after="0"/>
              <w:rPr>
                <w:sz w:val="22"/>
              </w:rPr>
            </w:pPr>
            <w:r>
              <w:rPr>
                <w:sz w:val="22"/>
              </w:rPr>
              <w:tab/>
              <w:t>56.7</w:t>
            </w:r>
          </w:p>
        </w:tc>
        <w:tc>
          <w:tcPr>
            <w:tcW w:w="822" w:type="dxa"/>
            <w:tcBorders>
              <w:top w:val="nil"/>
              <w:bottom w:val="nil"/>
            </w:tcBorders>
          </w:tcPr>
          <w:p w:rsidR="00000000" w:rsidRDefault="00000000">
            <w:pPr>
              <w:tabs>
                <w:tab w:val="right" w:pos="494"/>
              </w:tabs>
              <w:spacing w:after="0"/>
              <w:rPr>
                <w:sz w:val="22"/>
              </w:rPr>
            </w:pPr>
            <w:r>
              <w:rPr>
                <w:sz w:val="22"/>
              </w:rPr>
              <w:tab/>
              <w:t>89.0</w:t>
            </w:r>
          </w:p>
        </w:tc>
        <w:tc>
          <w:tcPr>
            <w:tcW w:w="822" w:type="dxa"/>
            <w:tcBorders>
              <w:top w:val="nil"/>
              <w:bottom w:val="nil"/>
            </w:tcBorders>
          </w:tcPr>
          <w:p w:rsidR="00000000" w:rsidRDefault="00000000">
            <w:pPr>
              <w:tabs>
                <w:tab w:val="right" w:pos="487"/>
              </w:tabs>
              <w:spacing w:after="0"/>
              <w:rPr>
                <w:sz w:val="22"/>
              </w:rPr>
            </w:pPr>
            <w:r>
              <w:rPr>
                <w:sz w:val="22"/>
              </w:rPr>
              <w:tab/>
              <w:t>78.6</w:t>
            </w:r>
          </w:p>
        </w:tc>
        <w:tc>
          <w:tcPr>
            <w:tcW w:w="822" w:type="dxa"/>
            <w:tcBorders>
              <w:top w:val="nil"/>
              <w:bottom w:val="nil"/>
            </w:tcBorders>
          </w:tcPr>
          <w:p w:rsidR="00000000" w:rsidRDefault="00000000">
            <w:pPr>
              <w:tabs>
                <w:tab w:val="right" w:pos="479"/>
              </w:tabs>
              <w:spacing w:after="0"/>
              <w:rPr>
                <w:sz w:val="22"/>
              </w:rPr>
            </w:pPr>
            <w:r>
              <w:rPr>
                <w:sz w:val="22"/>
              </w:rPr>
              <w:tab/>
              <w:t>46.6</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Electric power (hours of power interruption)</w:t>
            </w:r>
          </w:p>
        </w:tc>
        <w:tc>
          <w:tcPr>
            <w:tcW w:w="822" w:type="dxa"/>
            <w:tcBorders>
              <w:top w:val="nil"/>
              <w:bottom w:val="nil"/>
            </w:tcBorders>
          </w:tcPr>
          <w:p w:rsidR="00000000" w:rsidRDefault="00000000">
            <w:pPr>
              <w:tabs>
                <w:tab w:val="right" w:pos="522"/>
              </w:tabs>
              <w:spacing w:after="0"/>
              <w:rPr>
                <w:sz w:val="22"/>
              </w:rPr>
            </w:pPr>
          </w:p>
        </w:tc>
        <w:tc>
          <w:tcPr>
            <w:tcW w:w="822" w:type="dxa"/>
            <w:tcBorders>
              <w:top w:val="nil"/>
              <w:bottom w:val="nil"/>
            </w:tcBorders>
          </w:tcPr>
          <w:p w:rsidR="00000000" w:rsidRDefault="00000000">
            <w:pPr>
              <w:tabs>
                <w:tab w:val="right" w:pos="516"/>
              </w:tabs>
              <w:spacing w:after="0"/>
              <w:rPr>
                <w:sz w:val="22"/>
              </w:rPr>
            </w:pPr>
          </w:p>
        </w:tc>
        <w:tc>
          <w:tcPr>
            <w:tcW w:w="822" w:type="dxa"/>
            <w:tcBorders>
              <w:top w:val="nil"/>
              <w:bottom w:val="nil"/>
            </w:tcBorders>
          </w:tcPr>
          <w:p w:rsidR="00000000" w:rsidRDefault="00000000">
            <w:pPr>
              <w:tabs>
                <w:tab w:val="right" w:pos="508"/>
              </w:tabs>
              <w:spacing w:after="0"/>
              <w:rPr>
                <w:sz w:val="22"/>
              </w:rPr>
            </w:pPr>
          </w:p>
        </w:tc>
        <w:tc>
          <w:tcPr>
            <w:tcW w:w="822" w:type="dxa"/>
            <w:tcBorders>
              <w:top w:val="nil"/>
              <w:bottom w:val="nil"/>
            </w:tcBorders>
          </w:tcPr>
          <w:p w:rsidR="00000000" w:rsidRDefault="00000000">
            <w:pPr>
              <w:tabs>
                <w:tab w:val="right" w:pos="501"/>
              </w:tabs>
              <w:spacing w:after="0"/>
              <w:rPr>
                <w:sz w:val="22"/>
              </w:rPr>
            </w:pPr>
          </w:p>
        </w:tc>
        <w:tc>
          <w:tcPr>
            <w:tcW w:w="822" w:type="dxa"/>
            <w:tcBorders>
              <w:top w:val="nil"/>
              <w:bottom w:val="nil"/>
            </w:tcBorders>
          </w:tcPr>
          <w:p w:rsidR="00000000" w:rsidRDefault="00000000">
            <w:pPr>
              <w:tabs>
                <w:tab w:val="right" w:pos="494"/>
              </w:tabs>
              <w:spacing w:after="0"/>
              <w:rPr>
                <w:sz w:val="22"/>
              </w:rPr>
            </w:pPr>
          </w:p>
        </w:tc>
        <w:tc>
          <w:tcPr>
            <w:tcW w:w="822" w:type="dxa"/>
            <w:tcBorders>
              <w:top w:val="nil"/>
              <w:bottom w:val="nil"/>
            </w:tcBorders>
          </w:tcPr>
          <w:p w:rsidR="00000000" w:rsidRDefault="00000000">
            <w:pPr>
              <w:tabs>
                <w:tab w:val="right" w:pos="487"/>
              </w:tabs>
              <w:spacing w:after="0"/>
              <w:rPr>
                <w:sz w:val="22"/>
              </w:rPr>
            </w:pPr>
          </w:p>
        </w:tc>
        <w:tc>
          <w:tcPr>
            <w:tcW w:w="822" w:type="dxa"/>
            <w:tcBorders>
              <w:top w:val="nil"/>
              <w:bottom w:val="nil"/>
            </w:tcBorders>
          </w:tcPr>
          <w:p w:rsidR="00000000" w:rsidRDefault="00000000">
            <w:pPr>
              <w:tabs>
                <w:tab w:val="right" w:pos="479"/>
              </w:tabs>
              <w:spacing w:after="0"/>
              <w:rPr>
                <w:sz w:val="22"/>
              </w:rPr>
            </w:pP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Never</w:t>
            </w:r>
          </w:p>
        </w:tc>
        <w:tc>
          <w:tcPr>
            <w:tcW w:w="822" w:type="dxa"/>
            <w:tcBorders>
              <w:top w:val="nil"/>
              <w:bottom w:val="nil"/>
            </w:tcBorders>
          </w:tcPr>
          <w:p w:rsidR="00000000" w:rsidRDefault="00000000">
            <w:pPr>
              <w:tabs>
                <w:tab w:val="right" w:pos="522"/>
              </w:tabs>
              <w:spacing w:after="0"/>
              <w:rPr>
                <w:sz w:val="22"/>
              </w:rPr>
            </w:pPr>
            <w:r>
              <w:rPr>
                <w:sz w:val="22"/>
              </w:rPr>
              <w:tab/>
              <w:t>20.5</w:t>
            </w:r>
          </w:p>
        </w:tc>
        <w:tc>
          <w:tcPr>
            <w:tcW w:w="822" w:type="dxa"/>
            <w:tcBorders>
              <w:top w:val="nil"/>
              <w:bottom w:val="nil"/>
            </w:tcBorders>
          </w:tcPr>
          <w:p w:rsidR="00000000" w:rsidRDefault="00000000">
            <w:pPr>
              <w:tabs>
                <w:tab w:val="right" w:pos="516"/>
              </w:tabs>
              <w:spacing w:after="0"/>
              <w:rPr>
                <w:sz w:val="22"/>
              </w:rPr>
            </w:pPr>
            <w:r>
              <w:rPr>
                <w:sz w:val="22"/>
              </w:rPr>
              <w:tab/>
              <w:t>7.1</w:t>
            </w:r>
          </w:p>
        </w:tc>
        <w:tc>
          <w:tcPr>
            <w:tcW w:w="822" w:type="dxa"/>
            <w:tcBorders>
              <w:top w:val="nil"/>
              <w:bottom w:val="nil"/>
            </w:tcBorders>
          </w:tcPr>
          <w:p w:rsidR="00000000" w:rsidRDefault="00000000">
            <w:pPr>
              <w:tabs>
                <w:tab w:val="right" w:pos="508"/>
              </w:tabs>
              <w:spacing w:after="0"/>
              <w:rPr>
                <w:sz w:val="22"/>
              </w:rPr>
            </w:pPr>
            <w:r>
              <w:rPr>
                <w:sz w:val="22"/>
              </w:rPr>
              <w:tab/>
              <w:t>13.1</w:t>
            </w:r>
          </w:p>
        </w:tc>
        <w:tc>
          <w:tcPr>
            <w:tcW w:w="822" w:type="dxa"/>
            <w:tcBorders>
              <w:top w:val="nil"/>
              <w:bottom w:val="nil"/>
            </w:tcBorders>
          </w:tcPr>
          <w:p w:rsidR="00000000" w:rsidRDefault="00000000">
            <w:pPr>
              <w:tabs>
                <w:tab w:val="right" w:pos="501"/>
              </w:tabs>
              <w:spacing w:after="0"/>
              <w:rPr>
                <w:sz w:val="22"/>
              </w:rPr>
            </w:pPr>
            <w:r>
              <w:rPr>
                <w:sz w:val="22"/>
              </w:rPr>
              <w:tab/>
              <w:t>36.3</w:t>
            </w:r>
          </w:p>
        </w:tc>
        <w:tc>
          <w:tcPr>
            <w:tcW w:w="822" w:type="dxa"/>
            <w:tcBorders>
              <w:top w:val="nil"/>
              <w:bottom w:val="nil"/>
            </w:tcBorders>
          </w:tcPr>
          <w:p w:rsidR="00000000" w:rsidRDefault="00000000">
            <w:pPr>
              <w:tabs>
                <w:tab w:val="right" w:pos="494"/>
              </w:tabs>
              <w:spacing w:after="0"/>
              <w:rPr>
                <w:sz w:val="22"/>
              </w:rPr>
            </w:pPr>
            <w:r>
              <w:rPr>
                <w:sz w:val="22"/>
              </w:rPr>
              <w:tab/>
              <w:t>5.9</w:t>
            </w:r>
          </w:p>
        </w:tc>
        <w:tc>
          <w:tcPr>
            <w:tcW w:w="822" w:type="dxa"/>
            <w:tcBorders>
              <w:top w:val="nil"/>
              <w:bottom w:val="nil"/>
            </w:tcBorders>
          </w:tcPr>
          <w:p w:rsidR="00000000" w:rsidRDefault="00000000">
            <w:pPr>
              <w:tabs>
                <w:tab w:val="right" w:pos="487"/>
              </w:tabs>
              <w:spacing w:after="0"/>
              <w:rPr>
                <w:sz w:val="22"/>
              </w:rPr>
            </w:pPr>
            <w:r>
              <w:rPr>
                <w:sz w:val="22"/>
              </w:rPr>
              <w:tab/>
              <w:t>15.6</w:t>
            </w:r>
          </w:p>
        </w:tc>
        <w:tc>
          <w:tcPr>
            <w:tcW w:w="822" w:type="dxa"/>
            <w:tcBorders>
              <w:top w:val="nil"/>
              <w:bottom w:val="nil"/>
            </w:tcBorders>
          </w:tcPr>
          <w:p w:rsidR="00000000" w:rsidRDefault="00000000">
            <w:pPr>
              <w:tabs>
                <w:tab w:val="right" w:pos="479"/>
              </w:tabs>
              <w:spacing w:after="0"/>
              <w:rPr>
                <w:sz w:val="22"/>
              </w:rPr>
            </w:pPr>
            <w:r>
              <w:rPr>
                <w:sz w:val="22"/>
              </w:rPr>
              <w:tab/>
              <w:t>13.8</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1-5 hours</w:t>
            </w:r>
          </w:p>
        </w:tc>
        <w:tc>
          <w:tcPr>
            <w:tcW w:w="822" w:type="dxa"/>
            <w:tcBorders>
              <w:top w:val="nil"/>
              <w:bottom w:val="nil"/>
            </w:tcBorders>
          </w:tcPr>
          <w:p w:rsidR="00000000" w:rsidRDefault="00000000">
            <w:pPr>
              <w:tabs>
                <w:tab w:val="right" w:pos="522"/>
              </w:tabs>
              <w:spacing w:after="0"/>
              <w:rPr>
                <w:sz w:val="22"/>
              </w:rPr>
            </w:pPr>
            <w:r>
              <w:rPr>
                <w:sz w:val="22"/>
              </w:rPr>
              <w:tab/>
              <w:t>34.6</w:t>
            </w:r>
          </w:p>
        </w:tc>
        <w:tc>
          <w:tcPr>
            <w:tcW w:w="822" w:type="dxa"/>
            <w:tcBorders>
              <w:top w:val="nil"/>
              <w:bottom w:val="nil"/>
            </w:tcBorders>
          </w:tcPr>
          <w:p w:rsidR="00000000" w:rsidRDefault="00000000">
            <w:pPr>
              <w:tabs>
                <w:tab w:val="right" w:pos="516"/>
              </w:tabs>
              <w:spacing w:after="0"/>
              <w:rPr>
                <w:sz w:val="22"/>
              </w:rPr>
            </w:pPr>
            <w:r>
              <w:rPr>
                <w:sz w:val="22"/>
              </w:rPr>
              <w:tab/>
              <w:t>19.0</w:t>
            </w:r>
          </w:p>
        </w:tc>
        <w:tc>
          <w:tcPr>
            <w:tcW w:w="822" w:type="dxa"/>
            <w:tcBorders>
              <w:top w:val="nil"/>
              <w:bottom w:val="nil"/>
            </w:tcBorders>
          </w:tcPr>
          <w:p w:rsidR="00000000" w:rsidRDefault="00000000">
            <w:pPr>
              <w:tabs>
                <w:tab w:val="right" w:pos="508"/>
              </w:tabs>
              <w:spacing w:after="0"/>
              <w:rPr>
                <w:sz w:val="22"/>
              </w:rPr>
            </w:pPr>
            <w:r>
              <w:rPr>
                <w:sz w:val="22"/>
              </w:rPr>
              <w:tab/>
              <w:t>26.0</w:t>
            </w:r>
          </w:p>
        </w:tc>
        <w:tc>
          <w:tcPr>
            <w:tcW w:w="822" w:type="dxa"/>
            <w:tcBorders>
              <w:top w:val="nil"/>
              <w:bottom w:val="nil"/>
            </w:tcBorders>
          </w:tcPr>
          <w:p w:rsidR="00000000" w:rsidRDefault="00000000">
            <w:pPr>
              <w:tabs>
                <w:tab w:val="right" w:pos="501"/>
              </w:tabs>
              <w:spacing w:after="0"/>
              <w:rPr>
                <w:sz w:val="22"/>
              </w:rPr>
            </w:pPr>
            <w:r>
              <w:rPr>
                <w:sz w:val="22"/>
              </w:rPr>
              <w:tab/>
              <w:t>29.7</w:t>
            </w:r>
          </w:p>
        </w:tc>
        <w:tc>
          <w:tcPr>
            <w:tcW w:w="822" w:type="dxa"/>
            <w:tcBorders>
              <w:top w:val="nil"/>
              <w:bottom w:val="nil"/>
            </w:tcBorders>
          </w:tcPr>
          <w:p w:rsidR="00000000" w:rsidRDefault="00000000">
            <w:pPr>
              <w:tabs>
                <w:tab w:val="right" w:pos="494"/>
              </w:tabs>
              <w:spacing w:after="0"/>
              <w:rPr>
                <w:sz w:val="22"/>
              </w:rPr>
            </w:pPr>
            <w:r>
              <w:rPr>
                <w:sz w:val="22"/>
              </w:rPr>
              <w:tab/>
              <w:t>19.4</w:t>
            </w:r>
          </w:p>
        </w:tc>
        <w:tc>
          <w:tcPr>
            <w:tcW w:w="822" w:type="dxa"/>
            <w:tcBorders>
              <w:top w:val="nil"/>
              <w:bottom w:val="nil"/>
            </w:tcBorders>
          </w:tcPr>
          <w:p w:rsidR="00000000" w:rsidRDefault="00000000">
            <w:pPr>
              <w:tabs>
                <w:tab w:val="right" w:pos="487"/>
              </w:tabs>
              <w:spacing w:after="0"/>
              <w:rPr>
                <w:sz w:val="22"/>
              </w:rPr>
            </w:pPr>
            <w:r>
              <w:rPr>
                <w:sz w:val="22"/>
              </w:rPr>
              <w:tab/>
              <w:t>22.7</w:t>
            </w:r>
          </w:p>
        </w:tc>
        <w:tc>
          <w:tcPr>
            <w:tcW w:w="822" w:type="dxa"/>
            <w:tcBorders>
              <w:top w:val="nil"/>
              <w:bottom w:val="nil"/>
            </w:tcBorders>
          </w:tcPr>
          <w:p w:rsidR="00000000" w:rsidRDefault="00000000">
            <w:pPr>
              <w:tabs>
                <w:tab w:val="right" w:pos="479"/>
              </w:tabs>
              <w:spacing w:after="0"/>
              <w:rPr>
                <w:sz w:val="22"/>
              </w:rPr>
            </w:pPr>
            <w:r>
              <w:rPr>
                <w:sz w:val="22"/>
              </w:rPr>
              <w:tab/>
              <w:t>25.2</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6-12 hours</w:t>
            </w:r>
          </w:p>
        </w:tc>
        <w:tc>
          <w:tcPr>
            <w:tcW w:w="822" w:type="dxa"/>
            <w:tcBorders>
              <w:top w:val="nil"/>
              <w:bottom w:val="nil"/>
            </w:tcBorders>
          </w:tcPr>
          <w:p w:rsidR="00000000" w:rsidRDefault="00000000">
            <w:pPr>
              <w:tabs>
                <w:tab w:val="right" w:pos="522"/>
              </w:tabs>
              <w:spacing w:after="0"/>
              <w:rPr>
                <w:sz w:val="22"/>
              </w:rPr>
            </w:pPr>
            <w:r>
              <w:rPr>
                <w:sz w:val="22"/>
              </w:rPr>
              <w:tab/>
              <w:t>37.8</w:t>
            </w:r>
          </w:p>
        </w:tc>
        <w:tc>
          <w:tcPr>
            <w:tcW w:w="822" w:type="dxa"/>
            <w:tcBorders>
              <w:top w:val="nil"/>
              <w:bottom w:val="nil"/>
            </w:tcBorders>
          </w:tcPr>
          <w:p w:rsidR="00000000" w:rsidRDefault="00000000">
            <w:pPr>
              <w:tabs>
                <w:tab w:val="right" w:pos="516"/>
              </w:tabs>
              <w:spacing w:after="0"/>
              <w:rPr>
                <w:sz w:val="22"/>
              </w:rPr>
            </w:pPr>
            <w:r>
              <w:rPr>
                <w:sz w:val="22"/>
              </w:rPr>
              <w:tab/>
              <w:t>57.0</w:t>
            </w:r>
          </w:p>
        </w:tc>
        <w:tc>
          <w:tcPr>
            <w:tcW w:w="822" w:type="dxa"/>
            <w:tcBorders>
              <w:top w:val="nil"/>
              <w:bottom w:val="nil"/>
            </w:tcBorders>
          </w:tcPr>
          <w:p w:rsidR="00000000" w:rsidRDefault="00000000">
            <w:pPr>
              <w:tabs>
                <w:tab w:val="right" w:pos="508"/>
              </w:tabs>
              <w:spacing w:after="0"/>
              <w:rPr>
                <w:sz w:val="22"/>
              </w:rPr>
            </w:pPr>
            <w:r>
              <w:rPr>
                <w:sz w:val="22"/>
              </w:rPr>
              <w:tab/>
              <w:t>48.3</w:t>
            </w:r>
          </w:p>
        </w:tc>
        <w:tc>
          <w:tcPr>
            <w:tcW w:w="822" w:type="dxa"/>
            <w:tcBorders>
              <w:top w:val="nil"/>
              <w:bottom w:val="nil"/>
            </w:tcBorders>
          </w:tcPr>
          <w:p w:rsidR="00000000" w:rsidRDefault="00000000">
            <w:pPr>
              <w:tabs>
                <w:tab w:val="right" w:pos="501"/>
              </w:tabs>
              <w:spacing w:after="0"/>
              <w:rPr>
                <w:sz w:val="22"/>
              </w:rPr>
            </w:pPr>
            <w:r>
              <w:rPr>
                <w:sz w:val="22"/>
              </w:rPr>
              <w:tab/>
              <w:t>27.5</w:t>
            </w:r>
          </w:p>
        </w:tc>
        <w:tc>
          <w:tcPr>
            <w:tcW w:w="822" w:type="dxa"/>
            <w:tcBorders>
              <w:top w:val="nil"/>
              <w:bottom w:val="nil"/>
            </w:tcBorders>
          </w:tcPr>
          <w:p w:rsidR="00000000" w:rsidRDefault="00000000">
            <w:pPr>
              <w:tabs>
                <w:tab w:val="right" w:pos="494"/>
              </w:tabs>
              <w:spacing w:after="0"/>
              <w:rPr>
                <w:sz w:val="22"/>
              </w:rPr>
            </w:pPr>
            <w:r>
              <w:rPr>
                <w:sz w:val="22"/>
              </w:rPr>
              <w:tab/>
              <w:t>54.2</w:t>
            </w:r>
          </w:p>
        </w:tc>
        <w:tc>
          <w:tcPr>
            <w:tcW w:w="822" w:type="dxa"/>
            <w:tcBorders>
              <w:top w:val="nil"/>
              <w:bottom w:val="nil"/>
            </w:tcBorders>
          </w:tcPr>
          <w:p w:rsidR="00000000" w:rsidRDefault="00000000">
            <w:pPr>
              <w:tabs>
                <w:tab w:val="right" w:pos="487"/>
              </w:tabs>
              <w:spacing w:after="0"/>
              <w:rPr>
                <w:sz w:val="22"/>
              </w:rPr>
            </w:pPr>
            <w:r>
              <w:rPr>
                <w:sz w:val="22"/>
              </w:rPr>
              <w:tab/>
              <w:t>45.6</w:t>
            </w:r>
          </w:p>
        </w:tc>
        <w:tc>
          <w:tcPr>
            <w:tcW w:w="822" w:type="dxa"/>
            <w:tcBorders>
              <w:top w:val="nil"/>
              <w:bottom w:val="nil"/>
            </w:tcBorders>
          </w:tcPr>
          <w:p w:rsidR="00000000" w:rsidRDefault="00000000">
            <w:pPr>
              <w:tabs>
                <w:tab w:val="right" w:pos="479"/>
              </w:tabs>
              <w:spacing w:after="0"/>
              <w:rPr>
                <w:sz w:val="22"/>
              </w:rPr>
            </w:pPr>
            <w:r>
              <w:rPr>
                <w:sz w:val="22"/>
              </w:rPr>
              <w:tab/>
              <w:t>47.7</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More than 12 hours</w:t>
            </w:r>
          </w:p>
        </w:tc>
        <w:tc>
          <w:tcPr>
            <w:tcW w:w="822" w:type="dxa"/>
            <w:tcBorders>
              <w:top w:val="nil"/>
              <w:bottom w:val="nil"/>
            </w:tcBorders>
          </w:tcPr>
          <w:p w:rsidR="00000000" w:rsidRDefault="00000000">
            <w:pPr>
              <w:tabs>
                <w:tab w:val="right" w:pos="522"/>
              </w:tabs>
              <w:spacing w:after="0"/>
              <w:rPr>
                <w:sz w:val="22"/>
              </w:rPr>
            </w:pPr>
            <w:r>
              <w:rPr>
                <w:sz w:val="22"/>
              </w:rPr>
              <w:tab/>
              <w:t>7.1</w:t>
            </w:r>
          </w:p>
        </w:tc>
        <w:tc>
          <w:tcPr>
            <w:tcW w:w="822" w:type="dxa"/>
            <w:tcBorders>
              <w:top w:val="nil"/>
              <w:bottom w:val="nil"/>
            </w:tcBorders>
          </w:tcPr>
          <w:p w:rsidR="00000000" w:rsidRDefault="00000000">
            <w:pPr>
              <w:tabs>
                <w:tab w:val="right" w:pos="516"/>
              </w:tabs>
              <w:spacing w:after="0"/>
              <w:rPr>
                <w:sz w:val="22"/>
              </w:rPr>
            </w:pPr>
            <w:r>
              <w:rPr>
                <w:sz w:val="22"/>
              </w:rPr>
              <w:tab/>
              <w:t>17.0</w:t>
            </w:r>
          </w:p>
        </w:tc>
        <w:tc>
          <w:tcPr>
            <w:tcW w:w="822" w:type="dxa"/>
            <w:tcBorders>
              <w:top w:val="nil"/>
              <w:bottom w:val="nil"/>
            </w:tcBorders>
          </w:tcPr>
          <w:p w:rsidR="00000000" w:rsidRDefault="00000000">
            <w:pPr>
              <w:tabs>
                <w:tab w:val="right" w:pos="508"/>
              </w:tabs>
              <w:spacing w:after="0"/>
              <w:rPr>
                <w:sz w:val="22"/>
              </w:rPr>
            </w:pPr>
            <w:r>
              <w:rPr>
                <w:sz w:val="22"/>
              </w:rPr>
              <w:tab/>
              <w:t>12.5</w:t>
            </w:r>
          </w:p>
        </w:tc>
        <w:tc>
          <w:tcPr>
            <w:tcW w:w="822" w:type="dxa"/>
            <w:tcBorders>
              <w:top w:val="nil"/>
              <w:bottom w:val="nil"/>
            </w:tcBorders>
          </w:tcPr>
          <w:p w:rsidR="00000000" w:rsidRDefault="00000000">
            <w:pPr>
              <w:tabs>
                <w:tab w:val="right" w:pos="501"/>
              </w:tabs>
              <w:spacing w:after="0"/>
              <w:rPr>
                <w:sz w:val="22"/>
              </w:rPr>
            </w:pPr>
            <w:r>
              <w:rPr>
                <w:sz w:val="22"/>
              </w:rPr>
              <w:tab/>
              <w:t>6.6</w:t>
            </w:r>
          </w:p>
        </w:tc>
        <w:tc>
          <w:tcPr>
            <w:tcW w:w="822" w:type="dxa"/>
            <w:tcBorders>
              <w:top w:val="nil"/>
              <w:bottom w:val="nil"/>
            </w:tcBorders>
          </w:tcPr>
          <w:p w:rsidR="00000000" w:rsidRDefault="00000000">
            <w:pPr>
              <w:tabs>
                <w:tab w:val="right" w:pos="494"/>
              </w:tabs>
              <w:spacing w:after="0"/>
              <w:rPr>
                <w:sz w:val="22"/>
              </w:rPr>
            </w:pPr>
            <w:r>
              <w:rPr>
                <w:sz w:val="22"/>
              </w:rPr>
              <w:tab/>
              <w:t>20.5</w:t>
            </w:r>
          </w:p>
        </w:tc>
        <w:tc>
          <w:tcPr>
            <w:tcW w:w="822" w:type="dxa"/>
            <w:tcBorders>
              <w:top w:val="nil"/>
              <w:bottom w:val="nil"/>
            </w:tcBorders>
          </w:tcPr>
          <w:p w:rsidR="00000000" w:rsidRDefault="00000000">
            <w:pPr>
              <w:tabs>
                <w:tab w:val="right" w:pos="487"/>
              </w:tabs>
              <w:spacing w:after="0"/>
              <w:rPr>
                <w:sz w:val="22"/>
              </w:rPr>
            </w:pPr>
            <w:r>
              <w:rPr>
                <w:sz w:val="22"/>
              </w:rPr>
              <w:tab/>
              <w:t>16.1</w:t>
            </w:r>
          </w:p>
        </w:tc>
        <w:tc>
          <w:tcPr>
            <w:tcW w:w="822" w:type="dxa"/>
            <w:tcBorders>
              <w:top w:val="nil"/>
              <w:bottom w:val="nil"/>
            </w:tcBorders>
          </w:tcPr>
          <w:p w:rsidR="00000000" w:rsidRDefault="00000000">
            <w:pPr>
              <w:tabs>
                <w:tab w:val="right" w:pos="479"/>
              </w:tabs>
              <w:spacing w:after="0"/>
              <w:rPr>
                <w:sz w:val="22"/>
              </w:rPr>
            </w:pPr>
            <w:r>
              <w:rPr>
                <w:sz w:val="22"/>
              </w:rPr>
              <w:tab/>
              <w:t>13.4</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Number of persons living per room</w:t>
            </w:r>
          </w:p>
        </w:tc>
        <w:tc>
          <w:tcPr>
            <w:tcW w:w="822" w:type="dxa"/>
            <w:tcBorders>
              <w:top w:val="nil"/>
              <w:bottom w:val="nil"/>
            </w:tcBorders>
          </w:tcPr>
          <w:p w:rsidR="00000000" w:rsidRDefault="00000000">
            <w:pPr>
              <w:tabs>
                <w:tab w:val="right" w:pos="522"/>
              </w:tabs>
              <w:spacing w:after="0"/>
              <w:rPr>
                <w:sz w:val="22"/>
              </w:rPr>
            </w:pPr>
          </w:p>
        </w:tc>
        <w:tc>
          <w:tcPr>
            <w:tcW w:w="822" w:type="dxa"/>
            <w:tcBorders>
              <w:top w:val="nil"/>
              <w:bottom w:val="nil"/>
            </w:tcBorders>
          </w:tcPr>
          <w:p w:rsidR="00000000" w:rsidRDefault="00000000">
            <w:pPr>
              <w:tabs>
                <w:tab w:val="right" w:pos="516"/>
              </w:tabs>
              <w:spacing w:after="0"/>
              <w:rPr>
                <w:sz w:val="22"/>
              </w:rPr>
            </w:pPr>
          </w:p>
        </w:tc>
        <w:tc>
          <w:tcPr>
            <w:tcW w:w="822" w:type="dxa"/>
            <w:tcBorders>
              <w:top w:val="nil"/>
              <w:bottom w:val="nil"/>
            </w:tcBorders>
          </w:tcPr>
          <w:p w:rsidR="00000000" w:rsidRDefault="00000000">
            <w:pPr>
              <w:tabs>
                <w:tab w:val="right" w:pos="508"/>
              </w:tabs>
              <w:spacing w:after="0"/>
              <w:rPr>
                <w:sz w:val="22"/>
              </w:rPr>
            </w:pPr>
          </w:p>
        </w:tc>
        <w:tc>
          <w:tcPr>
            <w:tcW w:w="822" w:type="dxa"/>
            <w:tcBorders>
              <w:top w:val="nil"/>
              <w:bottom w:val="nil"/>
            </w:tcBorders>
          </w:tcPr>
          <w:p w:rsidR="00000000" w:rsidRDefault="00000000">
            <w:pPr>
              <w:tabs>
                <w:tab w:val="right" w:pos="501"/>
              </w:tabs>
              <w:spacing w:after="0"/>
              <w:rPr>
                <w:sz w:val="22"/>
              </w:rPr>
            </w:pPr>
          </w:p>
        </w:tc>
        <w:tc>
          <w:tcPr>
            <w:tcW w:w="822" w:type="dxa"/>
            <w:tcBorders>
              <w:top w:val="nil"/>
              <w:bottom w:val="nil"/>
            </w:tcBorders>
          </w:tcPr>
          <w:p w:rsidR="00000000" w:rsidRDefault="00000000">
            <w:pPr>
              <w:tabs>
                <w:tab w:val="right" w:pos="494"/>
              </w:tabs>
              <w:spacing w:after="0"/>
              <w:rPr>
                <w:sz w:val="22"/>
              </w:rPr>
            </w:pPr>
          </w:p>
        </w:tc>
        <w:tc>
          <w:tcPr>
            <w:tcW w:w="822" w:type="dxa"/>
            <w:tcBorders>
              <w:top w:val="nil"/>
              <w:bottom w:val="nil"/>
            </w:tcBorders>
          </w:tcPr>
          <w:p w:rsidR="00000000" w:rsidRDefault="00000000">
            <w:pPr>
              <w:tabs>
                <w:tab w:val="right" w:pos="487"/>
              </w:tabs>
              <w:spacing w:after="0"/>
              <w:rPr>
                <w:sz w:val="22"/>
              </w:rPr>
            </w:pPr>
          </w:p>
        </w:tc>
        <w:tc>
          <w:tcPr>
            <w:tcW w:w="822" w:type="dxa"/>
            <w:tcBorders>
              <w:top w:val="nil"/>
              <w:bottom w:val="nil"/>
            </w:tcBorders>
          </w:tcPr>
          <w:p w:rsidR="00000000" w:rsidRDefault="00000000">
            <w:pPr>
              <w:tabs>
                <w:tab w:val="right" w:pos="479"/>
              </w:tabs>
              <w:spacing w:after="0"/>
              <w:rPr>
                <w:sz w:val="22"/>
              </w:rPr>
            </w:pP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Less than one person</w:t>
            </w:r>
          </w:p>
        </w:tc>
        <w:tc>
          <w:tcPr>
            <w:tcW w:w="822" w:type="dxa"/>
            <w:tcBorders>
              <w:top w:val="nil"/>
              <w:bottom w:val="nil"/>
            </w:tcBorders>
          </w:tcPr>
          <w:p w:rsidR="00000000" w:rsidRDefault="00000000">
            <w:pPr>
              <w:tabs>
                <w:tab w:val="right" w:pos="522"/>
              </w:tabs>
              <w:spacing w:after="0"/>
              <w:rPr>
                <w:sz w:val="22"/>
              </w:rPr>
            </w:pPr>
            <w:r>
              <w:rPr>
                <w:sz w:val="22"/>
              </w:rPr>
              <w:tab/>
              <w:t>8.1</w:t>
            </w:r>
          </w:p>
        </w:tc>
        <w:tc>
          <w:tcPr>
            <w:tcW w:w="822" w:type="dxa"/>
            <w:tcBorders>
              <w:top w:val="nil"/>
              <w:bottom w:val="nil"/>
            </w:tcBorders>
          </w:tcPr>
          <w:p w:rsidR="00000000" w:rsidRDefault="00000000">
            <w:pPr>
              <w:tabs>
                <w:tab w:val="right" w:pos="516"/>
              </w:tabs>
              <w:spacing w:after="0"/>
              <w:rPr>
                <w:sz w:val="22"/>
              </w:rPr>
            </w:pPr>
            <w:r>
              <w:rPr>
                <w:sz w:val="22"/>
              </w:rPr>
              <w:tab/>
              <w:t>6.1</w:t>
            </w:r>
          </w:p>
        </w:tc>
        <w:tc>
          <w:tcPr>
            <w:tcW w:w="822" w:type="dxa"/>
            <w:tcBorders>
              <w:top w:val="nil"/>
              <w:bottom w:val="nil"/>
            </w:tcBorders>
          </w:tcPr>
          <w:p w:rsidR="00000000" w:rsidRDefault="00000000">
            <w:pPr>
              <w:tabs>
                <w:tab w:val="right" w:pos="508"/>
              </w:tabs>
              <w:spacing w:after="0"/>
              <w:rPr>
                <w:sz w:val="22"/>
              </w:rPr>
            </w:pPr>
            <w:r>
              <w:rPr>
                <w:sz w:val="22"/>
              </w:rPr>
              <w:tab/>
              <w:t>7.0</w:t>
            </w:r>
          </w:p>
        </w:tc>
        <w:tc>
          <w:tcPr>
            <w:tcW w:w="822" w:type="dxa"/>
            <w:tcBorders>
              <w:top w:val="nil"/>
              <w:bottom w:val="nil"/>
            </w:tcBorders>
          </w:tcPr>
          <w:p w:rsidR="00000000" w:rsidRDefault="00000000">
            <w:pPr>
              <w:tabs>
                <w:tab w:val="right" w:pos="501"/>
              </w:tabs>
              <w:spacing w:after="0"/>
              <w:rPr>
                <w:sz w:val="22"/>
              </w:rPr>
            </w:pPr>
            <w:r>
              <w:rPr>
                <w:sz w:val="22"/>
              </w:rPr>
              <w:tab/>
              <w:t>0.8</w:t>
            </w:r>
          </w:p>
        </w:tc>
        <w:tc>
          <w:tcPr>
            <w:tcW w:w="822" w:type="dxa"/>
            <w:tcBorders>
              <w:top w:val="nil"/>
              <w:bottom w:val="nil"/>
            </w:tcBorders>
          </w:tcPr>
          <w:p w:rsidR="00000000" w:rsidRDefault="00000000">
            <w:pPr>
              <w:tabs>
                <w:tab w:val="right" w:pos="494"/>
              </w:tabs>
              <w:spacing w:after="0"/>
              <w:rPr>
                <w:sz w:val="22"/>
              </w:rPr>
            </w:pPr>
            <w:r>
              <w:rPr>
                <w:sz w:val="22"/>
              </w:rPr>
              <w:tab/>
              <w:t>0.5</w:t>
            </w:r>
          </w:p>
        </w:tc>
        <w:tc>
          <w:tcPr>
            <w:tcW w:w="822" w:type="dxa"/>
            <w:tcBorders>
              <w:top w:val="nil"/>
              <w:bottom w:val="nil"/>
            </w:tcBorders>
          </w:tcPr>
          <w:p w:rsidR="00000000" w:rsidRDefault="00000000">
            <w:pPr>
              <w:tabs>
                <w:tab w:val="right" w:pos="487"/>
              </w:tabs>
              <w:spacing w:after="0"/>
              <w:rPr>
                <w:sz w:val="22"/>
              </w:rPr>
            </w:pPr>
            <w:r>
              <w:rPr>
                <w:sz w:val="22"/>
              </w:rPr>
              <w:tab/>
              <w:t>0.6</w:t>
            </w:r>
          </w:p>
        </w:tc>
        <w:tc>
          <w:tcPr>
            <w:tcW w:w="822" w:type="dxa"/>
            <w:tcBorders>
              <w:top w:val="nil"/>
              <w:bottom w:val="nil"/>
            </w:tcBorders>
          </w:tcPr>
          <w:p w:rsidR="00000000" w:rsidRDefault="00000000">
            <w:pPr>
              <w:tabs>
                <w:tab w:val="right" w:pos="479"/>
              </w:tabs>
              <w:spacing w:after="0"/>
              <w:rPr>
                <w:sz w:val="22"/>
              </w:rPr>
            </w:pPr>
            <w:r>
              <w:rPr>
                <w:sz w:val="22"/>
              </w:rPr>
              <w:tab/>
              <w:t>5.4</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One to three</w:t>
            </w:r>
          </w:p>
        </w:tc>
        <w:tc>
          <w:tcPr>
            <w:tcW w:w="822" w:type="dxa"/>
            <w:tcBorders>
              <w:top w:val="nil"/>
              <w:bottom w:val="nil"/>
            </w:tcBorders>
          </w:tcPr>
          <w:p w:rsidR="00000000" w:rsidRDefault="00000000">
            <w:pPr>
              <w:tabs>
                <w:tab w:val="right" w:pos="522"/>
              </w:tabs>
              <w:spacing w:after="0"/>
              <w:rPr>
                <w:sz w:val="22"/>
              </w:rPr>
            </w:pPr>
            <w:r>
              <w:rPr>
                <w:sz w:val="22"/>
              </w:rPr>
              <w:tab/>
              <w:t>76.2</w:t>
            </w:r>
          </w:p>
        </w:tc>
        <w:tc>
          <w:tcPr>
            <w:tcW w:w="822" w:type="dxa"/>
            <w:tcBorders>
              <w:top w:val="nil"/>
              <w:bottom w:val="nil"/>
            </w:tcBorders>
          </w:tcPr>
          <w:p w:rsidR="00000000" w:rsidRDefault="00000000">
            <w:pPr>
              <w:tabs>
                <w:tab w:val="right" w:pos="516"/>
              </w:tabs>
              <w:spacing w:after="0"/>
              <w:rPr>
                <w:sz w:val="22"/>
              </w:rPr>
            </w:pPr>
            <w:r>
              <w:rPr>
                <w:sz w:val="22"/>
              </w:rPr>
              <w:tab/>
              <w:t>69.9</w:t>
            </w:r>
          </w:p>
        </w:tc>
        <w:tc>
          <w:tcPr>
            <w:tcW w:w="822" w:type="dxa"/>
            <w:tcBorders>
              <w:top w:val="nil"/>
              <w:bottom w:val="nil"/>
            </w:tcBorders>
          </w:tcPr>
          <w:p w:rsidR="00000000" w:rsidRDefault="00000000">
            <w:pPr>
              <w:tabs>
                <w:tab w:val="right" w:pos="508"/>
              </w:tabs>
              <w:spacing w:after="0"/>
              <w:rPr>
                <w:sz w:val="22"/>
              </w:rPr>
            </w:pPr>
            <w:r>
              <w:rPr>
                <w:sz w:val="22"/>
              </w:rPr>
              <w:tab/>
              <w:t>72.6</w:t>
            </w:r>
          </w:p>
        </w:tc>
        <w:tc>
          <w:tcPr>
            <w:tcW w:w="822" w:type="dxa"/>
            <w:tcBorders>
              <w:top w:val="nil"/>
              <w:bottom w:val="nil"/>
            </w:tcBorders>
          </w:tcPr>
          <w:p w:rsidR="00000000" w:rsidRDefault="00000000">
            <w:pPr>
              <w:tabs>
                <w:tab w:val="right" w:pos="501"/>
              </w:tabs>
              <w:spacing w:after="0"/>
              <w:rPr>
                <w:sz w:val="22"/>
              </w:rPr>
            </w:pPr>
            <w:r>
              <w:rPr>
                <w:sz w:val="22"/>
              </w:rPr>
              <w:tab/>
              <w:t>51.0</w:t>
            </w:r>
          </w:p>
        </w:tc>
        <w:tc>
          <w:tcPr>
            <w:tcW w:w="822" w:type="dxa"/>
            <w:tcBorders>
              <w:top w:val="nil"/>
              <w:bottom w:val="nil"/>
            </w:tcBorders>
          </w:tcPr>
          <w:p w:rsidR="00000000" w:rsidRDefault="00000000">
            <w:pPr>
              <w:tabs>
                <w:tab w:val="right" w:pos="494"/>
              </w:tabs>
              <w:spacing w:after="0"/>
              <w:rPr>
                <w:sz w:val="22"/>
              </w:rPr>
            </w:pPr>
            <w:r>
              <w:rPr>
                <w:sz w:val="22"/>
              </w:rPr>
              <w:tab/>
              <w:t>50.7</w:t>
            </w:r>
          </w:p>
        </w:tc>
        <w:tc>
          <w:tcPr>
            <w:tcW w:w="822" w:type="dxa"/>
            <w:tcBorders>
              <w:top w:val="nil"/>
              <w:bottom w:val="nil"/>
            </w:tcBorders>
          </w:tcPr>
          <w:p w:rsidR="00000000" w:rsidRDefault="00000000">
            <w:pPr>
              <w:tabs>
                <w:tab w:val="right" w:pos="487"/>
              </w:tabs>
              <w:spacing w:after="0"/>
              <w:rPr>
                <w:sz w:val="22"/>
              </w:rPr>
            </w:pPr>
            <w:r>
              <w:rPr>
                <w:sz w:val="22"/>
              </w:rPr>
              <w:tab/>
              <w:t>50.8</w:t>
            </w:r>
          </w:p>
        </w:tc>
        <w:tc>
          <w:tcPr>
            <w:tcW w:w="822" w:type="dxa"/>
            <w:tcBorders>
              <w:top w:val="nil"/>
              <w:bottom w:val="nil"/>
            </w:tcBorders>
          </w:tcPr>
          <w:p w:rsidR="00000000" w:rsidRDefault="00000000">
            <w:pPr>
              <w:tabs>
                <w:tab w:val="right" w:pos="479"/>
              </w:tabs>
              <w:spacing w:after="0"/>
              <w:rPr>
                <w:sz w:val="22"/>
              </w:rPr>
            </w:pPr>
            <w:r>
              <w:rPr>
                <w:sz w:val="22"/>
              </w:rPr>
              <w:tab/>
              <w:t>67.2</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More than three</w:t>
            </w:r>
          </w:p>
        </w:tc>
        <w:tc>
          <w:tcPr>
            <w:tcW w:w="822" w:type="dxa"/>
            <w:tcBorders>
              <w:top w:val="nil"/>
              <w:bottom w:val="nil"/>
            </w:tcBorders>
          </w:tcPr>
          <w:p w:rsidR="00000000" w:rsidRDefault="00000000">
            <w:pPr>
              <w:tabs>
                <w:tab w:val="right" w:pos="522"/>
              </w:tabs>
              <w:spacing w:after="0"/>
              <w:rPr>
                <w:sz w:val="22"/>
              </w:rPr>
            </w:pPr>
            <w:r>
              <w:rPr>
                <w:sz w:val="22"/>
              </w:rPr>
              <w:tab/>
              <w:t>15.7</w:t>
            </w:r>
          </w:p>
        </w:tc>
        <w:tc>
          <w:tcPr>
            <w:tcW w:w="822" w:type="dxa"/>
            <w:tcBorders>
              <w:top w:val="nil"/>
              <w:bottom w:val="nil"/>
            </w:tcBorders>
          </w:tcPr>
          <w:p w:rsidR="00000000" w:rsidRDefault="00000000">
            <w:pPr>
              <w:tabs>
                <w:tab w:val="right" w:pos="516"/>
              </w:tabs>
              <w:spacing w:after="0"/>
              <w:rPr>
                <w:sz w:val="22"/>
              </w:rPr>
            </w:pPr>
            <w:r>
              <w:rPr>
                <w:sz w:val="22"/>
              </w:rPr>
              <w:tab/>
              <w:t>24.0</w:t>
            </w:r>
          </w:p>
        </w:tc>
        <w:tc>
          <w:tcPr>
            <w:tcW w:w="822" w:type="dxa"/>
            <w:tcBorders>
              <w:top w:val="nil"/>
              <w:bottom w:val="nil"/>
            </w:tcBorders>
          </w:tcPr>
          <w:p w:rsidR="00000000" w:rsidRDefault="00000000">
            <w:pPr>
              <w:pStyle w:val="Header"/>
              <w:tabs>
                <w:tab w:val="clear" w:pos="4320"/>
                <w:tab w:val="clear" w:pos="8640"/>
                <w:tab w:val="right" w:pos="508"/>
              </w:tabs>
              <w:spacing w:after="0"/>
              <w:rPr>
                <w:sz w:val="22"/>
              </w:rPr>
            </w:pPr>
            <w:r>
              <w:rPr>
                <w:sz w:val="22"/>
              </w:rPr>
              <w:tab/>
              <w:t>20.3</w:t>
            </w:r>
          </w:p>
        </w:tc>
        <w:tc>
          <w:tcPr>
            <w:tcW w:w="822" w:type="dxa"/>
            <w:tcBorders>
              <w:top w:val="nil"/>
              <w:bottom w:val="nil"/>
            </w:tcBorders>
          </w:tcPr>
          <w:p w:rsidR="00000000" w:rsidRDefault="00000000">
            <w:pPr>
              <w:tabs>
                <w:tab w:val="right" w:pos="501"/>
              </w:tabs>
              <w:spacing w:after="0"/>
              <w:rPr>
                <w:sz w:val="22"/>
              </w:rPr>
            </w:pPr>
            <w:r>
              <w:rPr>
                <w:sz w:val="22"/>
              </w:rPr>
              <w:tab/>
              <w:t>48.2</w:t>
            </w:r>
          </w:p>
        </w:tc>
        <w:tc>
          <w:tcPr>
            <w:tcW w:w="822" w:type="dxa"/>
            <w:tcBorders>
              <w:top w:val="nil"/>
              <w:bottom w:val="nil"/>
            </w:tcBorders>
          </w:tcPr>
          <w:p w:rsidR="00000000" w:rsidRDefault="00000000">
            <w:pPr>
              <w:tabs>
                <w:tab w:val="right" w:pos="494"/>
              </w:tabs>
              <w:spacing w:after="0"/>
              <w:rPr>
                <w:sz w:val="22"/>
              </w:rPr>
            </w:pPr>
            <w:r>
              <w:rPr>
                <w:sz w:val="22"/>
              </w:rPr>
              <w:tab/>
              <w:t>48.7</w:t>
            </w:r>
          </w:p>
        </w:tc>
        <w:tc>
          <w:tcPr>
            <w:tcW w:w="822" w:type="dxa"/>
            <w:tcBorders>
              <w:top w:val="nil"/>
              <w:bottom w:val="nil"/>
            </w:tcBorders>
          </w:tcPr>
          <w:p w:rsidR="00000000" w:rsidRDefault="00000000">
            <w:pPr>
              <w:tabs>
                <w:tab w:val="right" w:pos="487"/>
              </w:tabs>
              <w:spacing w:after="0"/>
              <w:rPr>
                <w:sz w:val="22"/>
              </w:rPr>
            </w:pPr>
            <w:r>
              <w:rPr>
                <w:sz w:val="22"/>
              </w:rPr>
              <w:tab/>
              <w:t>48.6</w:t>
            </w:r>
          </w:p>
        </w:tc>
        <w:tc>
          <w:tcPr>
            <w:tcW w:w="822" w:type="dxa"/>
            <w:tcBorders>
              <w:top w:val="nil"/>
              <w:bottom w:val="nil"/>
            </w:tcBorders>
          </w:tcPr>
          <w:p w:rsidR="00000000" w:rsidRDefault="00000000">
            <w:pPr>
              <w:tabs>
                <w:tab w:val="right" w:pos="479"/>
              </w:tabs>
              <w:spacing w:after="0"/>
              <w:rPr>
                <w:sz w:val="22"/>
              </w:rPr>
            </w:pPr>
            <w:r>
              <w:rPr>
                <w:sz w:val="22"/>
              </w:rPr>
              <w:tab/>
              <w:t>27.5</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Distance from the nearest medical centre</w:t>
            </w:r>
          </w:p>
        </w:tc>
        <w:tc>
          <w:tcPr>
            <w:tcW w:w="822" w:type="dxa"/>
            <w:tcBorders>
              <w:top w:val="nil"/>
              <w:bottom w:val="nil"/>
            </w:tcBorders>
          </w:tcPr>
          <w:p w:rsidR="00000000" w:rsidRDefault="00000000">
            <w:pPr>
              <w:tabs>
                <w:tab w:val="right" w:pos="522"/>
              </w:tabs>
              <w:spacing w:after="0"/>
              <w:rPr>
                <w:sz w:val="22"/>
              </w:rPr>
            </w:pPr>
          </w:p>
        </w:tc>
        <w:tc>
          <w:tcPr>
            <w:tcW w:w="822" w:type="dxa"/>
            <w:tcBorders>
              <w:top w:val="nil"/>
              <w:bottom w:val="nil"/>
            </w:tcBorders>
          </w:tcPr>
          <w:p w:rsidR="00000000" w:rsidRDefault="00000000">
            <w:pPr>
              <w:tabs>
                <w:tab w:val="right" w:pos="516"/>
              </w:tabs>
              <w:spacing w:after="0"/>
              <w:rPr>
                <w:sz w:val="22"/>
              </w:rPr>
            </w:pPr>
          </w:p>
        </w:tc>
        <w:tc>
          <w:tcPr>
            <w:tcW w:w="822" w:type="dxa"/>
            <w:tcBorders>
              <w:top w:val="nil"/>
              <w:bottom w:val="nil"/>
            </w:tcBorders>
          </w:tcPr>
          <w:p w:rsidR="00000000" w:rsidRDefault="00000000">
            <w:pPr>
              <w:tabs>
                <w:tab w:val="right" w:pos="508"/>
              </w:tabs>
              <w:spacing w:after="0"/>
              <w:rPr>
                <w:sz w:val="22"/>
              </w:rPr>
            </w:pPr>
          </w:p>
        </w:tc>
        <w:tc>
          <w:tcPr>
            <w:tcW w:w="822" w:type="dxa"/>
            <w:tcBorders>
              <w:top w:val="nil"/>
              <w:bottom w:val="nil"/>
            </w:tcBorders>
          </w:tcPr>
          <w:p w:rsidR="00000000" w:rsidRDefault="00000000">
            <w:pPr>
              <w:tabs>
                <w:tab w:val="right" w:pos="501"/>
              </w:tabs>
              <w:spacing w:after="0"/>
              <w:rPr>
                <w:sz w:val="22"/>
              </w:rPr>
            </w:pPr>
          </w:p>
        </w:tc>
        <w:tc>
          <w:tcPr>
            <w:tcW w:w="822" w:type="dxa"/>
            <w:tcBorders>
              <w:top w:val="nil"/>
              <w:bottom w:val="nil"/>
            </w:tcBorders>
          </w:tcPr>
          <w:p w:rsidR="00000000" w:rsidRDefault="00000000">
            <w:pPr>
              <w:tabs>
                <w:tab w:val="right" w:pos="494"/>
              </w:tabs>
              <w:spacing w:after="0"/>
              <w:rPr>
                <w:sz w:val="22"/>
              </w:rPr>
            </w:pPr>
          </w:p>
        </w:tc>
        <w:tc>
          <w:tcPr>
            <w:tcW w:w="822" w:type="dxa"/>
            <w:tcBorders>
              <w:top w:val="nil"/>
              <w:bottom w:val="nil"/>
            </w:tcBorders>
          </w:tcPr>
          <w:p w:rsidR="00000000" w:rsidRDefault="00000000">
            <w:pPr>
              <w:tabs>
                <w:tab w:val="right" w:pos="487"/>
              </w:tabs>
              <w:spacing w:after="0"/>
              <w:rPr>
                <w:sz w:val="22"/>
              </w:rPr>
            </w:pPr>
          </w:p>
        </w:tc>
        <w:tc>
          <w:tcPr>
            <w:tcW w:w="822" w:type="dxa"/>
            <w:tcBorders>
              <w:top w:val="nil"/>
              <w:bottom w:val="nil"/>
            </w:tcBorders>
          </w:tcPr>
          <w:p w:rsidR="00000000" w:rsidRDefault="00000000">
            <w:pPr>
              <w:tabs>
                <w:tab w:val="right" w:pos="479"/>
              </w:tabs>
              <w:spacing w:after="0"/>
              <w:rPr>
                <w:sz w:val="22"/>
              </w:rPr>
            </w:pP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10 minutes or less</w:t>
            </w:r>
          </w:p>
        </w:tc>
        <w:tc>
          <w:tcPr>
            <w:tcW w:w="822" w:type="dxa"/>
            <w:tcBorders>
              <w:top w:val="nil"/>
              <w:bottom w:val="nil"/>
            </w:tcBorders>
          </w:tcPr>
          <w:p w:rsidR="00000000" w:rsidRDefault="00000000">
            <w:pPr>
              <w:tabs>
                <w:tab w:val="right" w:pos="522"/>
              </w:tabs>
              <w:spacing w:after="0"/>
              <w:rPr>
                <w:sz w:val="22"/>
              </w:rPr>
            </w:pPr>
            <w:r>
              <w:rPr>
                <w:sz w:val="22"/>
              </w:rPr>
              <w:tab/>
              <w:t>60.5</w:t>
            </w:r>
          </w:p>
        </w:tc>
        <w:tc>
          <w:tcPr>
            <w:tcW w:w="822" w:type="dxa"/>
            <w:tcBorders>
              <w:top w:val="nil"/>
              <w:bottom w:val="nil"/>
            </w:tcBorders>
          </w:tcPr>
          <w:p w:rsidR="00000000" w:rsidRDefault="00000000">
            <w:pPr>
              <w:tabs>
                <w:tab w:val="right" w:pos="516"/>
              </w:tabs>
              <w:spacing w:after="0"/>
              <w:rPr>
                <w:sz w:val="22"/>
              </w:rPr>
            </w:pPr>
            <w:r>
              <w:rPr>
                <w:sz w:val="22"/>
              </w:rPr>
              <w:tab/>
              <w:t>44.0</w:t>
            </w:r>
          </w:p>
        </w:tc>
        <w:tc>
          <w:tcPr>
            <w:tcW w:w="822" w:type="dxa"/>
            <w:tcBorders>
              <w:top w:val="nil"/>
              <w:bottom w:val="nil"/>
            </w:tcBorders>
          </w:tcPr>
          <w:p w:rsidR="00000000" w:rsidRDefault="00000000">
            <w:pPr>
              <w:tabs>
                <w:tab w:val="right" w:pos="508"/>
              </w:tabs>
              <w:spacing w:after="0"/>
              <w:rPr>
                <w:sz w:val="22"/>
              </w:rPr>
            </w:pPr>
            <w:r>
              <w:rPr>
                <w:sz w:val="22"/>
              </w:rPr>
              <w:tab/>
              <w:t>51.4</w:t>
            </w:r>
          </w:p>
        </w:tc>
        <w:tc>
          <w:tcPr>
            <w:tcW w:w="822" w:type="dxa"/>
            <w:tcBorders>
              <w:top w:val="nil"/>
              <w:bottom w:val="nil"/>
            </w:tcBorders>
          </w:tcPr>
          <w:p w:rsidR="00000000" w:rsidRDefault="00000000">
            <w:pPr>
              <w:tabs>
                <w:tab w:val="right" w:pos="501"/>
              </w:tabs>
              <w:spacing w:after="0"/>
              <w:rPr>
                <w:sz w:val="22"/>
              </w:rPr>
            </w:pPr>
            <w:r>
              <w:rPr>
                <w:sz w:val="22"/>
              </w:rPr>
              <w:tab/>
              <w:t>49.0</w:t>
            </w:r>
          </w:p>
        </w:tc>
        <w:tc>
          <w:tcPr>
            <w:tcW w:w="822" w:type="dxa"/>
            <w:tcBorders>
              <w:top w:val="nil"/>
              <w:bottom w:val="nil"/>
            </w:tcBorders>
          </w:tcPr>
          <w:p w:rsidR="00000000" w:rsidRDefault="00000000">
            <w:pPr>
              <w:tabs>
                <w:tab w:val="right" w:pos="494"/>
              </w:tabs>
              <w:spacing w:after="0"/>
              <w:rPr>
                <w:sz w:val="22"/>
              </w:rPr>
            </w:pPr>
            <w:r>
              <w:rPr>
                <w:sz w:val="22"/>
              </w:rPr>
              <w:tab/>
              <w:t>29.7</w:t>
            </w:r>
          </w:p>
        </w:tc>
        <w:tc>
          <w:tcPr>
            <w:tcW w:w="822" w:type="dxa"/>
            <w:tcBorders>
              <w:top w:val="nil"/>
              <w:bottom w:val="nil"/>
            </w:tcBorders>
          </w:tcPr>
          <w:p w:rsidR="00000000" w:rsidRDefault="00000000">
            <w:pPr>
              <w:tabs>
                <w:tab w:val="right" w:pos="487"/>
              </w:tabs>
              <w:spacing w:after="0"/>
              <w:rPr>
                <w:sz w:val="22"/>
              </w:rPr>
            </w:pPr>
            <w:r>
              <w:rPr>
                <w:sz w:val="22"/>
              </w:rPr>
              <w:tab/>
              <w:t>35.8</w:t>
            </w:r>
          </w:p>
        </w:tc>
        <w:tc>
          <w:tcPr>
            <w:tcW w:w="822" w:type="dxa"/>
            <w:tcBorders>
              <w:top w:val="nil"/>
              <w:bottom w:val="nil"/>
            </w:tcBorders>
          </w:tcPr>
          <w:p w:rsidR="00000000" w:rsidRDefault="00000000">
            <w:pPr>
              <w:tabs>
                <w:tab w:val="right" w:pos="479"/>
              </w:tabs>
              <w:spacing w:after="0"/>
              <w:rPr>
                <w:sz w:val="22"/>
              </w:rPr>
            </w:pPr>
            <w:r>
              <w:rPr>
                <w:sz w:val="22"/>
              </w:rPr>
              <w:tab/>
              <w:t>47.4</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11-29 minutes</w:t>
            </w:r>
          </w:p>
        </w:tc>
        <w:tc>
          <w:tcPr>
            <w:tcW w:w="822" w:type="dxa"/>
            <w:tcBorders>
              <w:top w:val="nil"/>
              <w:bottom w:val="nil"/>
            </w:tcBorders>
          </w:tcPr>
          <w:p w:rsidR="00000000" w:rsidRDefault="00000000">
            <w:pPr>
              <w:tabs>
                <w:tab w:val="right" w:pos="522"/>
              </w:tabs>
              <w:spacing w:after="0"/>
              <w:rPr>
                <w:sz w:val="22"/>
              </w:rPr>
            </w:pPr>
            <w:r>
              <w:rPr>
                <w:sz w:val="22"/>
              </w:rPr>
              <w:tab/>
              <w:t>36.2</w:t>
            </w:r>
          </w:p>
        </w:tc>
        <w:tc>
          <w:tcPr>
            <w:tcW w:w="822" w:type="dxa"/>
            <w:tcBorders>
              <w:top w:val="nil"/>
              <w:bottom w:val="nil"/>
            </w:tcBorders>
          </w:tcPr>
          <w:p w:rsidR="00000000" w:rsidRDefault="00000000">
            <w:pPr>
              <w:tabs>
                <w:tab w:val="right" w:pos="516"/>
              </w:tabs>
              <w:spacing w:after="0"/>
              <w:rPr>
                <w:sz w:val="22"/>
              </w:rPr>
            </w:pPr>
            <w:r>
              <w:rPr>
                <w:sz w:val="22"/>
              </w:rPr>
              <w:tab/>
              <w:t>36.8</w:t>
            </w:r>
          </w:p>
        </w:tc>
        <w:tc>
          <w:tcPr>
            <w:tcW w:w="822" w:type="dxa"/>
            <w:tcBorders>
              <w:top w:val="nil"/>
              <w:bottom w:val="nil"/>
            </w:tcBorders>
          </w:tcPr>
          <w:p w:rsidR="00000000" w:rsidRDefault="00000000">
            <w:pPr>
              <w:tabs>
                <w:tab w:val="right" w:pos="508"/>
              </w:tabs>
              <w:spacing w:after="0"/>
              <w:rPr>
                <w:sz w:val="22"/>
              </w:rPr>
            </w:pPr>
            <w:r>
              <w:rPr>
                <w:sz w:val="22"/>
              </w:rPr>
              <w:tab/>
              <w:t>36.6</w:t>
            </w:r>
          </w:p>
        </w:tc>
        <w:tc>
          <w:tcPr>
            <w:tcW w:w="822" w:type="dxa"/>
            <w:tcBorders>
              <w:top w:val="nil"/>
              <w:bottom w:val="nil"/>
            </w:tcBorders>
          </w:tcPr>
          <w:p w:rsidR="00000000" w:rsidRDefault="00000000">
            <w:pPr>
              <w:tabs>
                <w:tab w:val="right" w:pos="501"/>
              </w:tabs>
              <w:spacing w:after="0"/>
              <w:rPr>
                <w:sz w:val="22"/>
              </w:rPr>
            </w:pPr>
            <w:r>
              <w:rPr>
                <w:sz w:val="22"/>
              </w:rPr>
              <w:tab/>
              <w:t>48.6</w:t>
            </w:r>
          </w:p>
        </w:tc>
        <w:tc>
          <w:tcPr>
            <w:tcW w:w="822" w:type="dxa"/>
            <w:tcBorders>
              <w:top w:val="nil"/>
              <w:bottom w:val="nil"/>
            </w:tcBorders>
          </w:tcPr>
          <w:p w:rsidR="00000000" w:rsidRDefault="00000000">
            <w:pPr>
              <w:tabs>
                <w:tab w:val="right" w:pos="494"/>
              </w:tabs>
              <w:spacing w:after="0"/>
              <w:rPr>
                <w:sz w:val="22"/>
              </w:rPr>
            </w:pPr>
            <w:r>
              <w:rPr>
                <w:sz w:val="22"/>
              </w:rPr>
              <w:tab/>
              <w:t>39.7</w:t>
            </w:r>
          </w:p>
        </w:tc>
        <w:tc>
          <w:tcPr>
            <w:tcW w:w="822" w:type="dxa"/>
            <w:tcBorders>
              <w:top w:val="nil"/>
              <w:bottom w:val="nil"/>
            </w:tcBorders>
          </w:tcPr>
          <w:p w:rsidR="00000000" w:rsidRDefault="00000000">
            <w:pPr>
              <w:tabs>
                <w:tab w:val="right" w:pos="487"/>
              </w:tabs>
              <w:spacing w:after="0"/>
              <w:rPr>
                <w:sz w:val="22"/>
              </w:rPr>
            </w:pPr>
            <w:r>
              <w:rPr>
                <w:sz w:val="22"/>
              </w:rPr>
              <w:tab/>
              <w:t>42.5</w:t>
            </w:r>
          </w:p>
        </w:tc>
        <w:tc>
          <w:tcPr>
            <w:tcW w:w="822" w:type="dxa"/>
            <w:tcBorders>
              <w:top w:val="nil"/>
              <w:bottom w:val="nil"/>
            </w:tcBorders>
          </w:tcPr>
          <w:p w:rsidR="00000000" w:rsidRDefault="00000000">
            <w:pPr>
              <w:tabs>
                <w:tab w:val="right" w:pos="479"/>
              </w:tabs>
              <w:spacing w:after="0"/>
              <w:rPr>
                <w:sz w:val="22"/>
              </w:rPr>
            </w:pPr>
            <w:r>
              <w:rPr>
                <w:sz w:val="22"/>
              </w:rPr>
              <w:tab/>
              <w:t>38.1</w:t>
            </w:r>
          </w:p>
        </w:tc>
      </w:tr>
      <w:tr w:rsidR="00000000">
        <w:tblPrEx>
          <w:tblCellMar>
            <w:top w:w="0" w:type="dxa"/>
            <w:bottom w:w="0" w:type="dxa"/>
          </w:tblCellMar>
        </w:tblPrEx>
        <w:tc>
          <w:tcPr>
            <w:tcW w:w="3600" w:type="dxa"/>
            <w:tcBorders>
              <w:top w:val="nil"/>
              <w:bottom w:val="nil"/>
            </w:tcBorders>
          </w:tcPr>
          <w:p w:rsidR="00000000" w:rsidRDefault="00000000">
            <w:pPr>
              <w:spacing w:after="0"/>
              <w:rPr>
                <w:sz w:val="22"/>
              </w:rPr>
            </w:pPr>
            <w:r>
              <w:rPr>
                <w:sz w:val="22"/>
              </w:rPr>
              <w:t xml:space="preserve">  30-59 minutes</w:t>
            </w:r>
          </w:p>
        </w:tc>
        <w:tc>
          <w:tcPr>
            <w:tcW w:w="822" w:type="dxa"/>
            <w:tcBorders>
              <w:top w:val="nil"/>
              <w:bottom w:val="nil"/>
            </w:tcBorders>
          </w:tcPr>
          <w:p w:rsidR="00000000" w:rsidRDefault="00000000">
            <w:pPr>
              <w:tabs>
                <w:tab w:val="right" w:pos="522"/>
              </w:tabs>
              <w:spacing w:after="0"/>
              <w:rPr>
                <w:sz w:val="22"/>
              </w:rPr>
            </w:pPr>
            <w:r>
              <w:rPr>
                <w:sz w:val="22"/>
              </w:rPr>
              <w:tab/>
              <w:t>1.9</w:t>
            </w:r>
          </w:p>
        </w:tc>
        <w:tc>
          <w:tcPr>
            <w:tcW w:w="822" w:type="dxa"/>
            <w:tcBorders>
              <w:top w:val="nil"/>
              <w:bottom w:val="nil"/>
            </w:tcBorders>
          </w:tcPr>
          <w:p w:rsidR="00000000" w:rsidRDefault="00000000">
            <w:pPr>
              <w:tabs>
                <w:tab w:val="right" w:pos="516"/>
              </w:tabs>
              <w:spacing w:after="0"/>
              <w:rPr>
                <w:sz w:val="22"/>
              </w:rPr>
            </w:pPr>
            <w:r>
              <w:rPr>
                <w:sz w:val="22"/>
              </w:rPr>
              <w:tab/>
              <w:t>7.0</w:t>
            </w:r>
          </w:p>
        </w:tc>
        <w:tc>
          <w:tcPr>
            <w:tcW w:w="822" w:type="dxa"/>
            <w:tcBorders>
              <w:top w:val="nil"/>
              <w:bottom w:val="nil"/>
            </w:tcBorders>
          </w:tcPr>
          <w:p w:rsidR="00000000" w:rsidRDefault="00000000">
            <w:pPr>
              <w:tabs>
                <w:tab w:val="right" w:pos="508"/>
              </w:tabs>
              <w:spacing w:after="0"/>
              <w:rPr>
                <w:sz w:val="22"/>
              </w:rPr>
            </w:pPr>
            <w:r>
              <w:rPr>
                <w:sz w:val="22"/>
              </w:rPr>
              <w:tab/>
              <w:t>4.7</w:t>
            </w:r>
          </w:p>
        </w:tc>
        <w:tc>
          <w:tcPr>
            <w:tcW w:w="822" w:type="dxa"/>
            <w:tcBorders>
              <w:top w:val="nil"/>
              <w:bottom w:val="nil"/>
            </w:tcBorders>
          </w:tcPr>
          <w:p w:rsidR="00000000" w:rsidRDefault="00000000">
            <w:pPr>
              <w:tabs>
                <w:tab w:val="right" w:pos="501"/>
              </w:tabs>
              <w:spacing w:after="0"/>
              <w:rPr>
                <w:sz w:val="22"/>
              </w:rPr>
            </w:pPr>
            <w:r>
              <w:rPr>
                <w:sz w:val="22"/>
              </w:rPr>
              <w:tab/>
              <w:t>1.5</w:t>
            </w:r>
          </w:p>
        </w:tc>
        <w:tc>
          <w:tcPr>
            <w:tcW w:w="822" w:type="dxa"/>
            <w:tcBorders>
              <w:top w:val="nil"/>
              <w:bottom w:val="nil"/>
            </w:tcBorders>
          </w:tcPr>
          <w:p w:rsidR="00000000" w:rsidRDefault="00000000">
            <w:pPr>
              <w:tabs>
                <w:tab w:val="right" w:pos="494"/>
              </w:tabs>
              <w:spacing w:after="0"/>
              <w:rPr>
                <w:sz w:val="22"/>
              </w:rPr>
            </w:pPr>
            <w:r>
              <w:rPr>
                <w:sz w:val="22"/>
              </w:rPr>
              <w:tab/>
              <w:t>9.6</w:t>
            </w:r>
          </w:p>
        </w:tc>
        <w:tc>
          <w:tcPr>
            <w:tcW w:w="822" w:type="dxa"/>
            <w:tcBorders>
              <w:top w:val="nil"/>
              <w:bottom w:val="nil"/>
            </w:tcBorders>
          </w:tcPr>
          <w:p w:rsidR="00000000" w:rsidRDefault="00000000">
            <w:pPr>
              <w:tabs>
                <w:tab w:val="right" w:pos="487"/>
              </w:tabs>
              <w:spacing w:after="0"/>
              <w:rPr>
                <w:sz w:val="22"/>
              </w:rPr>
            </w:pPr>
            <w:r>
              <w:rPr>
                <w:sz w:val="22"/>
              </w:rPr>
              <w:tab/>
              <w:t>7.0</w:t>
            </w:r>
          </w:p>
        </w:tc>
        <w:tc>
          <w:tcPr>
            <w:tcW w:w="822" w:type="dxa"/>
            <w:tcBorders>
              <w:top w:val="nil"/>
              <w:bottom w:val="nil"/>
            </w:tcBorders>
          </w:tcPr>
          <w:p w:rsidR="00000000" w:rsidRDefault="00000000">
            <w:pPr>
              <w:tabs>
                <w:tab w:val="right" w:pos="479"/>
              </w:tabs>
              <w:spacing w:after="0"/>
              <w:rPr>
                <w:sz w:val="22"/>
              </w:rPr>
            </w:pPr>
            <w:r>
              <w:rPr>
                <w:sz w:val="22"/>
              </w:rPr>
              <w:tab/>
              <w:t>5.3</w:t>
            </w:r>
          </w:p>
        </w:tc>
      </w:tr>
      <w:tr w:rsidR="00000000">
        <w:tblPrEx>
          <w:tblCellMar>
            <w:top w:w="0" w:type="dxa"/>
            <w:bottom w:w="0" w:type="dxa"/>
          </w:tblCellMar>
        </w:tblPrEx>
        <w:tc>
          <w:tcPr>
            <w:tcW w:w="3600" w:type="dxa"/>
            <w:tcBorders>
              <w:top w:val="nil"/>
            </w:tcBorders>
          </w:tcPr>
          <w:p w:rsidR="00000000" w:rsidRDefault="00000000">
            <w:pPr>
              <w:spacing w:after="0"/>
              <w:rPr>
                <w:sz w:val="22"/>
              </w:rPr>
            </w:pPr>
            <w:r>
              <w:rPr>
                <w:sz w:val="22"/>
              </w:rPr>
              <w:t xml:space="preserve">  One hour or more</w:t>
            </w:r>
          </w:p>
        </w:tc>
        <w:tc>
          <w:tcPr>
            <w:tcW w:w="822" w:type="dxa"/>
            <w:tcBorders>
              <w:top w:val="nil"/>
            </w:tcBorders>
          </w:tcPr>
          <w:p w:rsidR="00000000" w:rsidRDefault="00000000">
            <w:pPr>
              <w:tabs>
                <w:tab w:val="right" w:pos="522"/>
              </w:tabs>
              <w:spacing w:after="0"/>
              <w:rPr>
                <w:sz w:val="22"/>
              </w:rPr>
            </w:pPr>
            <w:r>
              <w:rPr>
                <w:sz w:val="22"/>
              </w:rPr>
              <w:tab/>
              <w:t>1.4</w:t>
            </w:r>
          </w:p>
        </w:tc>
        <w:tc>
          <w:tcPr>
            <w:tcW w:w="822" w:type="dxa"/>
            <w:tcBorders>
              <w:top w:val="nil"/>
            </w:tcBorders>
          </w:tcPr>
          <w:p w:rsidR="00000000" w:rsidRDefault="00000000">
            <w:pPr>
              <w:pStyle w:val="Header"/>
              <w:tabs>
                <w:tab w:val="clear" w:pos="4320"/>
                <w:tab w:val="clear" w:pos="8640"/>
                <w:tab w:val="right" w:pos="516"/>
              </w:tabs>
              <w:spacing w:after="0"/>
              <w:rPr>
                <w:sz w:val="22"/>
              </w:rPr>
            </w:pPr>
            <w:r>
              <w:rPr>
                <w:sz w:val="22"/>
              </w:rPr>
              <w:tab/>
              <w:t>12.2</w:t>
            </w:r>
          </w:p>
        </w:tc>
        <w:tc>
          <w:tcPr>
            <w:tcW w:w="822" w:type="dxa"/>
            <w:tcBorders>
              <w:top w:val="nil"/>
            </w:tcBorders>
          </w:tcPr>
          <w:p w:rsidR="00000000" w:rsidRDefault="00000000">
            <w:pPr>
              <w:tabs>
                <w:tab w:val="right" w:pos="508"/>
              </w:tabs>
              <w:spacing w:after="0"/>
              <w:rPr>
                <w:sz w:val="22"/>
              </w:rPr>
            </w:pPr>
            <w:r>
              <w:rPr>
                <w:sz w:val="22"/>
              </w:rPr>
              <w:tab/>
              <w:t>7.4</w:t>
            </w:r>
          </w:p>
        </w:tc>
        <w:tc>
          <w:tcPr>
            <w:tcW w:w="822" w:type="dxa"/>
            <w:tcBorders>
              <w:top w:val="nil"/>
            </w:tcBorders>
          </w:tcPr>
          <w:p w:rsidR="00000000" w:rsidRDefault="00000000">
            <w:pPr>
              <w:tabs>
                <w:tab w:val="right" w:pos="501"/>
              </w:tabs>
              <w:spacing w:after="0"/>
              <w:rPr>
                <w:sz w:val="22"/>
              </w:rPr>
            </w:pPr>
            <w:r>
              <w:rPr>
                <w:sz w:val="22"/>
              </w:rPr>
              <w:tab/>
              <w:t>1.0</w:t>
            </w:r>
          </w:p>
        </w:tc>
        <w:tc>
          <w:tcPr>
            <w:tcW w:w="822" w:type="dxa"/>
            <w:tcBorders>
              <w:top w:val="nil"/>
            </w:tcBorders>
          </w:tcPr>
          <w:p w:rsidR="00000000" w:rsidRDefault="00000000">
            <w:pPr>
              <w:tabs>
                <w:tab w:val="right" w:pos="494"/>
              </w:tabs>
              <w:spacing w:after="0"/>
              <w:rPr>
                <w:sz w:val="22"/>
              </w:rPr>
            </w:pPr>
            <w:r>
              <w:rPr>
                <w:sz w:val="22"/>
              </w:rPr>
              <w:tab/>
              <w:t>21.1</w:t>
            </w:r>
          </w:p>
        </w:tc>
        <w:tc>
          <w:tcPr>
            <w:tcW w:w="822" w:type="dxa"/>
            <w:tcBorders>
              <w:top w:val="nil"/>
            </w:tcBorders>
          </w:tcPr>
          <w:p w:rsidR="00000000" w:rsidRDefault="00000000">
            <w:pPr>
              <w:tabs>
                <w:tab w:val="right" w:pos="487"/>
              </w:tabs>
              <w:spacing w:after="0"/>
              <w:rPr>
                <w:sz w:val="22"/>
              </w:rPr>
            </w:pPr>
            <w:r>
              <w:rPr>
                <w:sz w:val="22"/>
              </w:rPr>
              <w:tab/>
              <w:t>14.7</w:t>
            </w:r>
          </w:p>
        </w:tc>
        <w:tc>
          <w:tcPr>
            <w:tcW w:w="822" w:type="dxa"/>
            <w:tcBorders>
              <w:top w:val="nil"/>
            </w:tcBorders>
          </w:tcPr>
          <w:p w:rsidR="00000000" w:rsidRDefault="00000000">
            <w:pPr>
              <w:tabs>
                <w:tab w:val="right" w:pos="479"/>
              </w:tabs>
              <w:spacing w:after="0"/>
              <w:rPr>
                <w:sz w:val="22"/>
              </w:rPr>
            </w:pPr>
            <w:r>
              <w:rPr>
                <w:sz w:val="22"/>
              </w:rPr>
              <w:tab/>
              <w:t>9.2</w:t>
            </w:r>
          </w:p>
        </w:tc>
      </w:tr>
    </w:tbl>
    <w:p w:rsidR="00000000" w:rsidRDefault="00000000">
      <w:pPr>
        <w:pStyle w:val="Heading2"/>
      </w:pPr>
      <w:r>
        <w:br w:type="page"/>
        <w:t>Table 32</w:t>
      </w:r>
    </w:p>
    <w:p w:rsidR="00000000" w:rsidRDefault="00000000">
      <w:pPr>
        <w:pStyle w:val="Heading2"/>
      </w:pPr>
      <w:r>
        <w:t>Family budget expenditure by areas (percentage)</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25"/>
        <w:gridCol w:w="963"/>
        <w:gridCol w:w="1337"/>
        <w:gridCol w:w="992"/>
        <w:gridCol w:w="953"/>
      </w:tblGrid>
      <w:tr w:rsidR="00000000">
        <w:trPr>
          <w:jc w:val="center"/>
        </w:trPr>
        <w:tc>
          <w:tcPr>
            <w:tcW w:w="2825"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p>
        </w:tc>
        <w:tc>
          <w:tcPr>
            <w:tcW w:w="9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Tirana</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Other urban areas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 xml:space="preserve"> Total</w:t>
            </w:r>
          </w:p>
        </w:tc>
      </w:tr>
      <w:tr w:rsidR="00000000">
        <w:trPr>
          <w:jc w:val="center"/>
        </w:trPr>
        <w:tc>
          <w:tcPr>
            <w:tcW w:w="2825" w:type="dxa"/>
            <w:tcBorders>
              <w:top w:val="single" w:sz="4" w:space="0" w:color="auto"/>
              <w:left w:val="single" w:sz="4" w:space="0" w:color="auto"/>
              <w:bottom w:val="nil"/>
              <w:right w:val="single" w:sz="4" w:space="0" w:color="auto"/>
            </w:tcBorders>
          </w:tcPr>
          <w:p w:rsidR="00000000" w:rsidRDefault="00000000">
            <w:pPr>
              <w:spacing w:after="0"/>
              <w:jc w:val="both"/>
            </w:pPr>
            <w:r>
              <w:t xml:space="preserve">Nutritive expenditures </w:t>
            </w:r>
          </w:p>
        </w:tc>
        <w:tc>
          <w:tcPr>
            <w:tcW w:w="96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right" w:pos="633"/>
              </w:tabs>
              <w:spacing w:after="0"/>
            </w:pPr>
            <w:r>
              <w:tab/>
              <w:t>58.5</w:t>
            </w:r>
          </w:p>
        </w:tc>
        <w:tc>
          <w:tcPr>
            <w:tcW w:w="1337" w:type="dxa"/>
            <w:tcBorders>
              <w:top w:val="single" w:sz="4" w:space="0" w:color="auto"/>
              <w:left w:val="single" w:sz="4" w:space="0" w:color="auto"/>
              <w:bottom w:val="nil"/>
              <w:right w:val="single" w:sz="4" w:space="0" w:color="auto"/>
            </w:tcBorders>
          </w:tcPr>
          <w:p w:rsidR="00000000" w:rsidRDefault="00000000">
            <w:pPr>
              <w:tabs>
                <w:tab w:val="right" w:pos="804"/>
              </w:tabs>
              <w:spacing w:after="0"/>
              <w:jc w:val="both"/>
            </w:pPr>
            <w:r>
              <w:tab/>
              <w:t>59.1</w:t>
            </w:r>
          </w:p>
        </w:tc>
        <w:tc>
          <w:tcPr>
            <w:tcW w:w="992" w:type="dxa"/>
            <w:tcBorders>
              <w:top w:val="single" w:sz="4" w:space="0" w:color="auto"/>
              <w:left w:val="single" w:sz="4" w:space="0" w:color="auto"/>
              <w:bottom w:val="nil"/>
              <w:right w:val="single" w:sz="4" w:space="0" w:color="auto"/>
            </w:tcBorders>
          </w:tcPr>
          <w:p w:rsidR="00000000" w:rsidRDefault="00000000">
            <w:pPr>
              <w:tabs>
                <w:tab w:val="right" w:pos="689"/>
              </w:tabs>
              <w:spacing w:after="0"/>
              <w:jc w:val="both"/>
            </w:pPr>
            <w:r>
              <w:tab/>
              <w:t>66.3</w:t>
            </w:r>
          </w:p>
        </w:tc>
        <w:tc>
          <w:tcPr>
            <w:tcW w:w="953" w:type="dxa"/>
            <w:tcBorders>
              <w:top w:val="single" w:sz="4" w:space="0" w:color="auto"/>
              <w:left w:val="single" w:sz="4" w:space="0" w:color="auto"/>
              <w:bottom w:val="nil"/>
              <w:right w:val="single" w:sz="4" w:space="0" w:color="auto"/>
            </w:tcBorders>
          </w:tcPr>
          <w:p w:rsidR="00000000" w:rsidRDefault="00000000">
            <w:pPr>
              <w:tabs>
                <w:tab w:val="right" w:pos="547"/>
              </w:tabs>
              <w:spacing w:after="0"/>
              <w:jc w:val="both"/>
            </w:pPr>
            <w:r>
              <w:tab/>
              <w:t>62.8</w:t>
            </w:r>
          </w:p>
        </w:tc>
      </w:tr>
      <w:tr w:rsidR="00000000">
        <w:trPr>
          <w:jc w:val="center"/>
        </w:trPr>
        <w:tc>
          <w:tcPr>
            <w:tcW w:w="2825" w:type="dxa"/>
            <w:tcBorders>
              <w:top w:val="nil"/>
              <w:left w:val="single" w:sz="4" w:space="0" w:color="auto"/>
              <w:bottom w:val="nil"/>
              <w:right w:val="single" w:sz="4" w:space="0" w:color="auto"/>
            </w:tcBorders>
          </w:tcPr>
          <w:p w:rsidR="00000000" w:rsidRDefault="00000000">
            <w:pPr>
              <w:spacing w:after="0"/>
              <w:jc w:val="both"/>
            </w:pPr>
            <w:r>
              <w:t xml:space="preserve">Non-nutritive expenditures </w:t>
            </w:r>
          </w:p>
        </w:tc>
        <w:tc>
          <w:tcPr>
            <w:tcW w:w="963" w:type="dxa"/>
            <w:tcBorders>
              <w:top w:val="nil"/>
              <w:left w:val="single" w:sz="4" w:space="0" w:color="auto"/>
              <w:bottom w:val="nil"/>
              <w:right w:val="single" w:sz="4" w:space="0" w:color="auto"/>
            </w:tcBorders>
          </w:tcPr>
          <w:p w:rsidR="00000000" w:rsidRDefault="00000000">
            <w:pPr>
              <w:tabs>
                <w:tab w:val="right" w:pos="633"/>
              </w:tabs>
              <w:spacing w:after="0"/>
            </w:pPr>
            <w:r>
              <w:tab/>
              <w:t>24.8</w:t>
            </w:r>
          </w:p>
        </w:tc>
        <w:tc>
          <w:tcPr>
            <w:tcW w:w="1337" w:type="dxa"/>
            <w:tcBorders>
              <w:top w:val="nil"/>
              <w:left w:val="single" w:sz="4" w:space="0" w:color="auto"/>
              <w:bottom w:val="nil"/>
              <w:right w:val="single" w:sz="4" w:space="0" w:color="auto"/>
            </w:tcBorders>
          </w:tcPr>
          <w:p w:rsidR="00000000" w:rsidRDefault="00000000">
            <w:pPr>
              <w:tabs>
                <w:tab w:val="right" w:pos="804"/>
              </w:tabs>
              <w:spacing w:after="0"/>
              <w:jc w:val="both"/>
            </w:pPr>
            <w:r>
              <w:tab/>
              <w:t>24.0</w:t>
            </w:r>
          </w:p>
        </w:tc>
        <w:tc>
          <w:tcPr>
            <w:tcW w:w="992" w:type="dxa"/>
            <w:tcBorders>
              <w:top w:val="nil"/>
              <w:left w:val="single" w:sz="4" w:space="0" w:color="auto"/>
              <w:bottom w:val="nil"/>
              <w:right w:val="single" w:sz="4" w:space="0" w:color="auto"/>
            </w:tcBorders>
          </w:tcPr>
          <w:p w:rsidR="00000000" w:rsidRDefault="00000000">
            <w:pPr>
              <w:tabs>
                <w:tab w:val="right" w:pos="689"/>
              </w:tabs>
              <w:spacing w:after="0"/>
              <w:jc w:val="both"/>
            </w:pPr>
            <w:r>
              <w:tab/>
              <w:t>21.2</w:t>
            </w:r>
          </w:p>
        </w:tc>
        <w:tc>
          <w:tcPr>
            <w:tcW w:w="953" w:type="dxa"/>
            <w:tcBorders>
              <w:top w:val="nil"/>
              <w:left w:val="single" w:sz="4" w:space="0" w:color="auto"/>
              <w:bottom w:val="nil"/>
              <w:right w:val="single" w:sz="4" w:space="0" w:color="auto"/>
            </w:tcBorders>
          </w:tcPr>
          <w:p w:rsidR="00000000" w:rsidRDefault="00000000">
            <w:pPr>
              <w:tabs>
                <w:tab w:val="right" w:pos="547"/>
              </w:tabs>
              <w:spacing w:after="0"/>
              <w:jc w:val="both"/>
            </w:pPr>
            <w:r>
              <w:tab/>
              <w:t>22.6</w:t>
            </w:r>
          </w:p>
        </w:tc>
      </w:tr>
      <w:tr w:rsidR="00000000">
        <w:trPr>
          <w:jc w:val="center"/>
        </w:trPr>
        <w:tc>
          <w:tcPr>
            <w:tcW w:w="2825" w:type="dxa"/>
            <w:tcBorders>
              <w:top w:val="nil"/>
              <w:left w:val="single" w:sz="4" w:space="0" w:color="auto"/>
              <w:bottom w:val="nil"/>
              <w:right w:val="single" w:sz="4" w:space="0" w:color="auto"/>
            </w:tcBorders>
          </w:tcPr>
          <w:p w:rsidR="00000000" w:rsidRDefault="00000000">
            <w:pPr>
              <w:spacing w:after="0"/>
              <w:jc w:val="both"/>
            </w:pPr>
            <w:r>
              <w:t>Utilities</w:t>
            </w:r>
          </w:p>
        </w:tc>
        <w:tc>
          <w:tcPr>
            <w:tcW w:w="963" w:type="dxa"/>
            <w:tcBorders>
              <w:top w:val="nil"/>
              <w:left w:val="single" w:sz="4" w:space="0" w:color="auto"/>
              <w:bottom w:val="nil"/>
              <w:right w:val="single" w:sz="4" w:space="0" w:color="auto"/>
            </w:tcBorders>
          </w:tcPr>
          <w:p w:rsidR="00000000" w:rsidRDefault="00000000">
            <w:pPr>
              <w:tabs>
                <w:tab w:val="right" w:pos="633"/>
              </w:tabs>
              <w:spacing w:after="0"/>
            </w:pPr>
            <w:r>
              <w:tab/>
              <w:t>14.6</w:t>
            </w:r>
          </w:p>
        </w:tc>
        <w:tc>
          <w:tcPr>
            <w:tcW w:w="1337" w:type="dxa"/>
            <w:tcBorders>
              <w:top w:val="nil"/>
              <w:left w:val="single" w:sz="4" w:space="0" w:color="auto"/>
              <w:bottom w:val="nil"/>
              <w:right w:val="single" w:sz="4" w:space="0" w:color="auto"/>
            </w:tcBorders>
          </w:tcPr>
          <w:p w:rsidR="00000000" w:rsidRDefault="00000000">
            <w:pPr>
              <w:tabs>
                <w:tab w:val="right" w:pos="804"/>
              </w:tabs>
              <w:spacing w:after="0"/>
              <w:jc w:val="both"/>
            </w:pPr>
            <w:r>
              <w:tab/>
              <w:t>13.7</w:t>
            </w:r>
          </w:p>
        </w:tc>
        <w:tc>
          <w:tcPr>
            <w:tcW w:w="992" w:type="dxa"/>
            <w:tcBorders>
              <w:top w:val="nil"/>
              <w:left w:val="single" w:sz="4" w:space="0" w:color="auto"/>
              <w:bottom w:val="nil"/>
              <w:right w:val="single" w:sz="4" w:space="0" w:color="auto"/>
            </w:tcBorders>
          </w:tcPr>
          <w:p w:rsidR="00000000" w:rsidRDefault="00000000">
            <w:pPr>
              <w:tabs>
                <w:tab w:val="right" w:pos="689"/>
              </w:tabs>
              <w:spacing w:after="0"/>
              <w:jc w:val="both"/>
            </w:pPr>
            <w:r>
              <w:tab/>
              <w:t>10.8</w:t>
            </w:r>
          </w:p>
        </w:tc>
        <w:tc>
          <w:tcPr>
            <w:tcW w:w="953" w:type="dxa"/>
            <w:tcBorders>
              <w:top w:val="nil"/>
              <w:left w:val="single" w:sz="4" w:space="0" w:color="auto"/>
              <w:bottom w:val="nil"/>
              <w:right w:val="single" w:sz="4" w:space="0" w:color="auto"/>
            </w:tcBorders>
          </w:tcPr>
          <w:p w:rsidR="00000000" w:rsidRDefault="00000000">
            <w:pPr>
              <w:tabs>
                <w:tab w:val="right" w:pos="547"/>
              </w:tabs>
              <w:spacing w:after="0"/>
              <w:jc w:val="both"/>
            </w:pPr>
            <w:r>
              <w:tab/>
              <w:t>12.3</w:t>
            </w:r>
          </w:p>
        </w:tc>
      </w:tr>
      <w:tr w:rsidR="00000000">
        <w:trPr>
          <w:jc w:val="center"/>
        </w:trPr>
        <w:tc>
          <w:tcPr>
            <w:tcW w:w="2825" w:type="dxa"/>
            <w:tcBorders>
              <w:top w:val="nil"/>
              <w:left w:val="single" w:sz="4" w:space="0" w:color="auto"/>
              <w:bottom w:val="single" w:sz="4" w:space="0" w:color="auto"/>
              <w:right w:val="single" w:sz="4" w:space="0" w:color="auto"/>
            </w:tcBorders>
          </w:tcPr>
          <w:p w:rsidR="00000000" w:rsidRDefault="00000000">
            <w:pPr>
              <w:spacing w:after="0"/>
              <w:jc w:val="both"/>
            </w:pPr>
            <w:r>
              <w:t xml:space="preserve">Education  </w:t>
            </w:r>
          </w:p>
        </w:tc>
        <w:tc>
          <w:tcPr>
            <w:tcW w:w="963" w:type="dxa"/>
            <w:tcBorders>
              <w:top w:val="nil"/>
              <w:left w:val="single" w:sz="4" w:space="0" w:color="auto"/>
              <w:bottom w:val="single" w:sz="4" w:space="0" w:color="auto"/>
              <w:right w:val="single" w:sz="4" w:space="0" w:color="auto"/>
            </w:tcBorders>
          </w:tcPr>
          <w:p w:rsidR="00000000" w:rsidRDefault="00000000">
            <w:pPr>
              <w:tabs>
                <w:tab w:val="right" w:pos="633"/>
              </w:tabs>
              <w:spacing w:after="0"/>
            </w:pPr>
            <w:r>
              <w:tab/>
              <w:t>2.1</w:t>
            </w:r>
          </w:p>
        </w:tc>
        <w:tc>
          <w:tcPr>
            <w:tcW w:w="1337" w:type="dxa"/>
            <w:tcBorders>
              <w:top w:val="nil"/>
              <w:left w:val="single" w:sz="4" w:space="0" w:color="auto"/>
              <w:bottom w:val="single" w:sz="4" w:space="0" w:color="auto"/>
              <w:right w:val="single" w:sz="4" w:space="0" w:color="auto"/>
            </w:tcBorders>
          </w:tcPr>
          <w:p w:rsidR="00000000" w:rsidRDefault="00000000">
            <w:pPr>
              <w:tabs>
                <w:tab w:val="right" w:pos="804"/>
              </w:tabs>
              <w:spacing w:after="0"/>
              <w:jc w:val="both"/>
            </w:pPr>
            <w:r>
              <w:tab/>
              <w:t>3.2</w:t>
            </w:r>
          </w:p>
        </w:tc>
        <w:tc>
          <w:tcPr>
            <w:tcW w:w="992" w:type="dxa"/>
            <w:tcBorders>
              <w:top w:val="nil"/>
              <w:left w:val="single" w:sz="4" w:space="0" w:color="auto"/>
              <w:bottom w:val="single" w:sz="4" w:space="0" w:color="auto"/>
              <w:right w:val="single" w:sz="4" w:space="0" w:color="auto"/>
            </w:tcBorders>
          </w:tcPr>
          <w:p w:rsidR="00000000" w:rsidRDefault="00000000">
            <w:pPr>
              <w:tabs>
                <w:tab w:val="right" w:pos="689"/>
              </w:tabs>
              <w:spacing w:after="0"/>
              <w:jc w:val="both"/>
            </w:pPr>
            <w:r>
              <w:tab/>
              <w:t>1.7</w:t>
            </w:r>
          </w:p>
        </w:tc>
        <w:tc>
          <w:tcPr>
            <w:tcW w:w="953" w:type="dxa"/>
            <w:tcBorders>
              <w:top w:val="nil"/>
              <w:left w:val="single" w:sz="4" w:space="0" w:color="auto"/>
              <w:bottom w:val="single" w:sz="4" w:space="0" w:color="auto"/>
              <w:right w:val="single" w:sz="4" w:space="0" w:color="auto"/>
            </w:tcBorders>
          </w:tcPr>
          <w:p w:rsidR="00000000" w:rsidRDefault="00000000">
            <w:pPr>
              <w:tabs>
                <w:tab w:val="right" w:pos="547"/>
              </w:tabs>
              <w:spacing w:after="0"/>
              <w:jc w:val="both"/>
            </w:pPr>
            <w:r>
              <w:tab/>
              <w:t>2.3</w:t>
            </w:r>
          </w:p>
        </w:tc>
      </w:tr>
      <w:tr w:rsidR="00000000">
        <w:trPr>
          <w:jc w:val="center"/>
        </w:trPr>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 xml:space="preserve">     Total</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tabs>
                <w:tab w:val="right" w:pos="633"/>
              </w:tabs>
              <w:spacing w:after="0"/>
            </w:pPr>
            <w:r>
              <w:tab/>
              <w:t>100.0</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tabs>
                <w:tab w:val="right" w:pos="804"/>
              </w:tabs>
              <w:spacing w:after="0"/>
              <w:jc w:val="both"/>
            </w:pPr>
            <w:r>
              <w:tab/>
              <w:t>100.0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right" w:pos="689"/>
              </w:tabs>
              <w:spacing w:after="0"/>
              <w:jc w:val="both"/>
            </w:pPr>
            <w:r>
              <w:tab/>
              <w:t>100.0</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tabs>
                <w:tab w:val="right" w:pos="547"/>
              </w:tabs>
              <w:spacing w:after="0"/>
              <w:jc w:val="both"/>
            </w:pPr>
            <w:r>
              <w:tab/>
              <w:t>100.0</w:t>
            </w:r>
          </w:p>
        </w:tc>
      </w:tr>
    </w:tbl>
    <w:p w:rsidR="00000000" w:rsidRDefault="00000000">
      <w:pPr>
        <w:pStyle w:val="Heading2"/>
        <w:spacing w:before="240"/>
      </w:pPr>
      <w:r>
        <w:t>Table 33</w:t>
      </w:r>
    </w:p>
    <w:p w:rsidR="00000000" w:rsidRDefault="00000000">
      <w:pPr>
        <w:pStyle w:val="Heading2"/>
        <w:rPr>
          <w:rFonts w:eastAsia="Arial Unicode MS"/>
        </w:rPr>
      </w:pPr>
      <w:r>
        <w:t>Poverty by age groups and areas</w:t>
      </w:r>
    </w:p>
    <w:tbl>
      <w:tblPr>
        <w:tblW w:w="9360" w:type="dxa"/>
        <w:tblInd w:w="2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46"/>
        <w:gridCol w:w="955"/>
        <w:gridCol w:w="1429"/>
        <w:gridCol w:w="953"/>
        <w:gridCol w:w="900"/>
        <w:gridCol w:w="1548"/>
        <w:gridCol w:w="1429"/>
      </w:tblGrid>
      <w:tr w:rsidR="00000000">
        <w:trPr>
          <w:cantSplit/>
          <w:trHeight w:val="270"/>
        </w:trPr>
        <w:tc>
          <w:tcPr>
            <w:tcW w:w="2160" w:type="dxa"/>
            <w:vMerge w:val="restart"/>
            <w:noWrap/>
            <w:tcMar>
              <w:top w:w="15" w:type="dxa"/>
              <w:left w:w="15" w:type="dxa"/>
              <w:bottom w:w="0" w:type="dxa"/>
              <w:right w:w="15" w:type="dxa"/>
            </w:tcMar>
          </w:tcPr>
          <w:p w:rsidR="00000000" w:rsidRDefault="00000000">
            <w:pPr>
              <w:pStyle w:val="Header"/>
              <w:tabs>
                <w:tab w:val="clear" w:pos="4320"/>
                <w:tab w:val="clear" w:pos="8640"/>
              </w:tabs>
              <w:spacing w:after="0"/>
              <w:ind w:left="108"/>
              <w:jc w:val="center"/>
              <w:rPr>
                <w:rFonts w:eastAsia="Arial Unicode MS"/>
                <w:szCs w:val="18"/>
              </w:rPr>
            </w:pPr>
            <w:r>
              <w:rPr>
                <w:rFonts w:eastAsia="Arial Unicode MS"/>
                <w:szCs w:val="18"/>
              </w:rPr>
              <w:t>Age group</w:t>
            </w:r>
          </w:p>
        </w:tc>
        <w:tc>
          <w:tcPr>
            <w:tcW w:w="4200" w:type="dxa"/>
            <w:gridSpan w:val="4"/>
            <w:tcBorders>
              <w:bottom w:val="single" w:sz="4" w:space="0" w:color="auto"/>
            </w:tcBorders>
            <w:noWrap/>
            <w:tcMar>
              <w:top w:w="15" w:type="dxa"/>
              <w:left w:w="15" w:type="dxa"/>
              <w:bottom w:w="0" w:type="dxa"/>
              <w:right w:w="15" w:type="dxa"/>
            </w:tcMar>
            <w:vAlign w:val="bottom"/>
          </w:tcPr>
          <w:p w:rsidR="00000000" w:rsidRDefault="00000000">
            <w:pPr>
              <w:spacing w:after="0"/>
              <w:ind w:left="108"/>
              <w:jc w:val="center"/>
              <w:rPr>
                <w:rFonts w:eastAsia="Arial Unicode MS"/>
                <w:szCs w:val="18"/>
              </w:rPr>
            </w:pPr>
            <w:r>
              <w:rPr>
                <w:szCs w:val="18"/>
              </w:rPr>
              <w:t>Percentage of population that is poor</w:t>
            </w:r>
          </w:p>
        </w:tc>
        <w:tc>
          <w:tcPr>
            <w:tcW w:w="1560" w:type="dxa"/>
            <w:vMerge w:val="restart"/>
            <w:tcMar>
              <w:top w:w="15" w:type="dxa"/>
              <w:left w:w="15" w:type="dxa"/>
              <w:bottom w:w="0" w:type="dxa"/>
              <w:right w:w="15" w:type="dxa"/>
            </w:tcMar>
          </w:tcPr>
          <w:p w:rsidR="00000000" w:rsidRDefault="00000000">
            <w:pPr>
              <w:pStyle w:val="Header"/>
              <w:tabs>
                <w:tab w:val="clear" w:pos="4320"/>
                <w:tab w:val="clear" w:pos="8640"/>
              </w:tabs>
              <w:spacing w:after="0"/>
              <w:ind w:left="108"/>
              <w:rPr>
                <w:rFonts w:eastAsia="Arial Unicode MS"/>
                <w:szCs w:val="18"/>
              </w:rPr>
            </w:pPr>
            <w:r>
              <w:rPr>
                <w:szCs w:val="18"/>
              </w:rPr>
              <w:t>Percentage of population</w:t>
            </w:r>
          </w:p>
        </w:tc>
        <w:tc>
          <w:tcPr>
            <w:tcW w:w="1440" w:type="dxa"/>
            <w:vMerge w:val="restart"/>
            <w:tcMar>
              <w:top w:w="15" w:type="dxa"/>
              <w:left w:w="15" w:type="dxa"/>
              <w:bottom w:w="0" w:type="dxa"/>
              <w:right w:w="15" w:type="dxa"/>
            </w:tcMar>
          </w:tcPr>
          <w:p w:rsidR="00000000" w:rsidRDefault="00000000">
            <w:pPr>
              <w:spacing w:after="0"/>
              <w:ind w:left="108"/>
              <w:rPr>
                <w:rFonts w:eastAsia="Arial Unicode MS"/>
                <w:szCs w:val="18"/>
              </w:rPr>
            </w:pPr>
            <w:r>
              <w:rPr>
                <w:szCs w:val="18"/>
              </w:rPr>
              <w:t>Percentage against poor</w:t>
            </w:r>
          </w:p>
        </w:tc>
      </w:tr>
      <w:tr w:rsidR="00000000">
        <w:trPr>
          <w:cantSplit/>
          <w:trHeight w:val="315"/>
        </w:trPr>
        <w:tc>
          <w:tcPr>
            <w:tcW w:w="2160" w:type="dxa"/>
            <w:vMerge/>
            <w:tcBorders>
              <w:bottom w:val="single" w:sz="4" w:space="0" w:color="auto"/>
            </w:tcBorders>
            <w:vAlign w:val="center"/>
          </w:tcPr>
          <w:p w:rsidR="00000000" w:rsidRDefault="00000000">
            <w:pPr>
              <w:spacing w:after="0"/>
              <w:ind w:left="108"/>
              <w:rPr>
                <w:rFonts w:eastAsia="Arial Unicode MS"/>
                <w:szCs w:val="18"/>
              </w:rPr>
            </w:pPr>
          </w:p>
        </w:tc>
        <w:tc>
          <w:tcPr>
            <w:tcW w:w="960" w:type="dxa"/>
            <w:tcBorders>
              <w:top w:val="single" w:sz="4" w:space="0" w:color="auto"/>
              <w:bottom w:val="single" w:sz="4" w:space="0" w:color="auto"/>
            </w:tcBorders>
            <w:noWrap/>
            <w:tcMar>
              <w:top w:w="0" w:type="dxa"/>
              <w:left w:w="15" w:type="dxa"/>
              <w:bottom w:w="0" w:type="dxa"/>
              <w:right w:w="15" w:type="dxa"/>
            </w:tcMar>
          </w:tcPr>
          <w:p w:rsidR="00000000" w:rsidRDefault="00000000">
            <w:pPr>
              <w:spacing w:after="0"/>
              <w:ind w:right="153"/>
              <w:jc w:val="right"/>
              <w:rPr>
                <w:rFonts w:eastAsia="Arial Unicode MS"/>
                <w:szCs w:val="18"/>
              </w:rPr>
            </w:pPr>
            <w:r>
              <w:rPr>
                <w:szCs w:val="18"/>
              </w:rPr>
              <w:t>Tirana</w:t>
            </w:r>
          </w:p>
        </w:tc>
        <w:tc>
          <w:tcPr>
            <w:tcW w:w="1440" w:type="dxa"/>
            <w:tcBorders>
              <w:top w:val="single" w:sz="4" w:space="0" w:color="auto"/>
              <w:bottom w:val="single" w:sz="4" w:space="0" w:color="auto"/>
            </w:tcBorders>
            <w:noWrap/>
            <w:tcMar>
              <w:top w:w="0" w:type="dxa"/>
              <w:left w:w="15" w:type="dxa"/>
              <w:bottom w:w="0" w:type="dxa"/>
              <w:right w:w="15" w:type="dxa"/>
            </w:tcMar>
          </w:tcPr>
          <w:p w:rsidR="00000000" w:rsidRDefault="00000000">
            <w:pPr>
              <w:spacing w:after="0"/>
              <w:ind w:left="108"/>
              <w:jc w:val="center"/>
              <w:rPr>
                <w:rFonts w:eastAsia="Arial Unicode MS"/>
                <w:szCs w:val="18"/>
              </w:rPr>
            </w:pPr>
            <w:r>
              <w:rPr>
                <w:szCs w:val="18"/>
              </w:rPr>
              <w:t>Other urban areas</w:t>
            </w:r>
          </w:p>
        </w:tc>
        <w:tc>
          <w:tcPr>
            <w:tcW w:w="960" w:type="dxa"/>
            <w:tcBorders>
              <w:top w:val="single" w:sz="4" w:space="0" w:color="auto"/>
              <w:bottom w:val="single" w:sz="4" w:space="0" w:color="auto"/>
            </w:tcBorders>
            <w:noWrap/>
            <w:tcMar>
              <w:top w:w="0" w:type="dxa"/>
              <w:left w:w="15" w:type="dxa"/>
              <w:bottom w:w="0" w:type="dxa"/>
              <w:right w:w="15" w:type="dxa"/>
            </w:tcMar>
          </w:tcPr>
          <w:p w:rsidR="00000000" w:rsidRDefault="00000000">
            <w:pPr>
              <w:spacing w:after="0"/>
              <w:ind w:left="215" w:hanging="107"/>
              <w:rPr>
                <w:rFonts w:eastAsia="Arial Unicode MS"/>
                <w:szCs w:val="18"/>
              </w:rPr>
            </w:pPr>
            <w:r>
              <w:rPr>
                <w:szCs w:val="18"/>
              </w:rPr>
              <w:t xml:space="preserve"> Rural</w:t>
            </w:r>
          </w:p>
        </w:tc>
        <w:tc>
          <w:tcPr>
            <w:tcW w:w="907" w:type="dxa"/>
            <w:tcBorders>
              <w:top w:val="single" w:sz="4" w:space="0" w:color="auto"/>
              <w:bottom w:val="single" w:sz="4" w:space="0" w:color="auto"/>
            </w:tcBorders>
            <w:noWrap/>
            <w:tcMar>
              <w:top w:w="0" w:type="dxa"/>
              <w:left w:w="15" w:type="dxa"/>
              <w:bottom w:w="0" w:type="dxa"/>
              <w:right w:w="15" w:type="dxa"/>
            </w:tcMar>
          </w:tcPr>
          <w:p w:rsidR="00000000" w:rsidRDefault="00000000">
            <w:pPr>
              <w:spacing w:after="0"/>
              <w:ind w:left="108"/>
              <w:rPr>
                <w:rFonts w:eastAsia="Arial Unicode MS"/>
                <w:szCs w:val="18"/>
              </w:rPr>
            </w:pPr>
            <w:r>
              <w:rPr>
                <w:szCs w:val="18"/>
              </w:rPr>
              <w:t>Total</w:t>
            </w:r>
          </w:p>
        </w:tc>
        <w:tc>
          <w:tcPr>
            <w:tcW w:w="1560" w:type="dxa"/>
            <w:vMerge/>
            <w:tcBorders>
              <w:bottom w:val="single" w:sz="4" w:space="0" w:color="auto"/>
            </w:tcBorders>
            <w:vAlign w:val="center"/>
          </w:tcPr>
          <w:p w:rsidR="00000000" w:rsidRDefault="00000000">
            <w:pPr>
              <w:spacing w:after="0"/>
              <w:ind w:left="108"/>
              <w:rPr>
                <w:rFonts w:eastAsia="Arial Unicode MS"/>
                <w:szCs w:val="18"/>
              </w:rPr>
            </w:pPr>
          </w:p>
        </w:tc>
        <w:tc>
          <w:tcPr>
            <w:tcW w:w="1440" w:type="dxa"/>
            <w:vMerge/>
            <w:tcBorders>
              <w:bottom w:val="single" w:sz="4" w:space="0" w:color="auto"/>
            </w:tcBorders>
            <w:vAlign w:val="center"/>
          </w:tcPr>
          <w:p w:rsidR="00000000" w:rsidRDefault="00000000">
            <w:pPr>
              <w:spacing w:after="0"/>
              <w:ind w:left="108"/>
              <w:rPr>
                <w:rFonts w:eastAsia="Arial Unicode MS"/>
                <w:szCs w:val="18"/>
              </w:rPr>
            </w:pPr>
          </w:p>
        </w:tc>
      </w:tr>
      <w:tr w:rsidR="00000000">
        <w:trPr>
          <w:trHeight w:val="255"/>
        </w:trPr>
        <w:tc>
          <w:tcPr>
            <w:tcW w:w="2160" w:type="dxa"/>
            <w:tcBorders>
              <w:top w:val="single" w:sz="4" w:space="0" w:color="auto"/>
              <w:bottom w:val="nil"/>
            </w:tcBorders>
            <w:noWrap/>
            <w:tcMar>
              <w:top w:w="0" w:type="dxa"/>
              <w:left w:w="15" w:type="dxa"/>
              <w:bottom w:w="0" w:type="dxa"/>
              <w:right w:w="15" w:type="dxa"/>
            </w:tcMar>
            <w:vAlign w:val="bottom"/>
          </w:tcPr>
          <w:p w:rsidR="00000000" w:rsidRDefault="00000000">
            <w:pPr>
              <w:spacing w:after="0"/>
              <w:ind w:left="108"/>
              <w:rPr>
                <w:rFonts w:eastAsia="Arial Unicode MS"/>
                <w:szCs w:val="18"/>
              </w:rPr>
            </w:pPr>
            <w:r>
              <w:rPr>
                <w:szCs w:val="18"/>
              </w:rPr>
              <w:t>Less than 5 years</w:t>
            </w:r>
          </w:p>
        </w:tc>
        <w:tc>
          <w:tcPr>
            <w:tcW w:w="960" w:type="dxa"/>
            <w:tcBorders>
              <w:top w:val="single" w:sz="4" w:space="0" w:color="auto"/>
              <w:bottom w:val="nil"/>
            </w:tcBorders>
            <w:noWrap/>
            <w:tcMar>
              <w:top w:w="15" w:type="dxa"/>
              <w:left w:w="15" w:type="dxa"/>
              <w:bottom w:w="0" w:type="dxa"/>
              <w:right w:w="15" w:type="dxa"/>
            </w:tcMar>
            <w:vAlign w:val="bottom"/>
          </w:tcPr>
          <w:p w:rsidR="00000000" w:rsidRDefault="00000000">
            <w:pPr>
              <w:tabs>
                <w:tab w:val="right" w:pos="770"/>
              </w:tabs>
              <w:spacing w:after="0"/>
              <w:ind w:right="153"/>
              <w:jc w:val="right"/>
              <w:rPr>
                <w:rFonts w:eastAsia="Arial Unicode MS"/>
                <w:szCs w:val="18"/>
              </w:rPr>
            </w:pPr>
            <w:r>
              <w:rPr>
                <w:szCs w:val="18"/>
              </w:rPr>
              <w:t>26.91</w:t>
            </w:r>
          </w:p>
        </w:tc>
        <w:tc>
          <w:tcPr>
            <w:tcW w:w="1440" w:type="dxa"/>
            <w:tcBorders>
              <w:top w:val="single" w:sz="4" w:space="0" w:color="auto"/>
              <w:bottom w:val="nil"/>
            </w:tcBorders>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26.6 </w:t>
            </w:r>
            <w:r>
              <w:rPr>
                <w:szCs w:val="18"/>
                <w:vertAlign w:val="superscript"/>
              </w:rPr>
              <w:t> </w:t>
            </w:r>
          </w:p>
        </w:tc>
        <w:tc>
          <w:tcPr>
            <w:tcW w:w="960" w:type="dxa"/>
            <w:tcBorders>
              <w:top w:val="single" w:sz="4" w:space="0" w:color="auto"/>
              <w:bottom w:val="nil"/>
            </w:tcBorders>
            <w:noWrap/>
            <w:tcMar>
              <w:top w:w="15" w:type="dxa"/>
              <w:left w:w="15" w:type="dxa"/>
              <w:bottom w:w="0" w:type="dxa"/>
              <w:right w:w="15" w:type="dxa"/>
            </w:tcMar>
            <w:vAlign w:val="bottom"/>
          </w:tcPr>
          <w:p w:rsidR="00000000" w:rsidRDefault="00000000">
            <w:pPr>
              <w:pStyle w:val="Header"/>
              <w:tabs>
                <w:tab w:val="clear" w:pos="4320"/>
                <w:tab w:val="clear" w:pos="8640"/>
                <w:tab w:val="left" w:pos="192"/>
              </w:tabs>
              <w:spacing w:after="0"/>
              <w:ind w:left="108"/>
              <w:rPr>
                <w:rFonts w:eastAsia="Arial Unicode MS"/>
                <w:szCs w:val="18"/>
              </w:rPr>
            </w:pPr>
            <w:r>
              <w:rPr>
                <w:szCs w:val="18"/>
              </w:rPr>
              <w:tab/>
              <w:t>38.33</w:t>
            </w:r>
          </w:p>
        </w:tc>
        <w:tc>
          <w:tcPr>
            <w:tcW w:w="907" w:type="dxa"/>
            <w:tcBorders>
              <w:top w:val="single" w:sz="4" w:space="0" w:color="auto"/>
              <w:bottom w:val="nil"/>
            </w:tcBorders>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34.26</w:t>
            </w:r>
          </w:p>
        </w:tc>
        <w:tc>
          <w:tcPr>
            <w:tcW w:w="1560" w:type="dxa"/>
            <w:tcBorders>
              <w:top w:val="single" w:sz="4" w:space="0" w:color="auto"/>
              <w:bottom w:val="nil"/>
            </w:tcBorders>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8.49</w:t>
            </w:r>
          </w:p>
        </w:tc>
        <w:tc>
          <w:tcPr>
            <w:tcW w:w="1440" w:type="dxa"/>
            <w:tcBorders>
              <w:top w:val="single" w:sz="4" w:space="0" w:color="auto"/>
              <w:bottom w:val="nil"/>
            </w:tcBorders>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11.45</w:t>
            </w:r>
          </w:p>
        </w:tc>
      </w:tr>
      <w:tr w:rsidR="00000000">
        <w:trPr>
          <w:trHeight w:val="255"/>
        </w:trPr>
        <w:tc>
          <w:tcPr>
            <w:tcW w:w="2160" w:type="dxa"/>
            <w:tcBorders>
              <w:top w:val="nil"/>
            </w:tcBorders>
            <w:noWrap/>
            <w:tcMar>
              <w:top w:w="0" w:type="dxa"/>
              <w:left w:w="15" w:type="dxa"/>
              <w:bottom w:w="0" w:type="dxa"/>
              <w:right w:w="15" w:type="dxa"/>
            </w:tcMar>
            <w:vAlign w:val="bottom"/>
          </w:tcPr>
          <w:p w:rsidR="00000000" w:rsidRDefault="00000000">
            <w:pPr>
              <w:spacing w:after="0"/>
              <w:ind w:left="108"/>
              <w:rPr>
                <w:rFonts w:eastAsia="Arial Unicode MS"/>
                <w:szCs w:val="18"/>
              </w:rPr>
            </w:pPr>
            <w:r>
              <w:rPr>
                <w:szCs w:val="18"/>
              </w:rPr>
              <w:t>5-10 years</w:t>
            </w:r>
          </w:p>
        </w:tc>
        <w:tc>
          <w:tcPr>
            <w:tcW w:w="960" w:type="dxa"/>
            <w:tcBorders>
              <w:top w:val="nil"/>
            </w:tcBorders>
            <w:noWrap/>
            <w:tcMar>
              <w:top w:w="15" w:type="dxa"/>
              <w:left w:w="15" w:type="dxa"/>
              <w:bottom w:w="0" w:type="dxa"/>
              <w:right w:w="15" w:type="dxa"/>
            </w:tcMar>
            <w:vAlign w:val="bottom"/>
          </w:tcPr>
          <w:p w:rsidR="00000000" w:rsidRDefault="00000000">
            <w:pPr>
              <w:tabs>
                <w:tab w:val="right" w:pos="770"/>
              </w:tabs>
              <w:spacing w:after="0"/>
              <w:ind w:right="153"/>
              <w:jc w:val="right"/>
              <w:rPr>
                <w:rFonts w:eastAsia="Arial Unicode MS"/>
                <w:szCs w:val="18"/>
              </w:rPr>
            </w:pPr>
            <w:r>
              <w:rPr>
                <w:szCs w:val="18"/>
              </w:rPr>
              <w:t>27.16</w:t>
            </w:r>
          </w:p>
        </w:tc>
        <w:tc>
          <w:tcPr>
            <w:tcW w:w="1440" w:type="dxa"/>
            <w:tcBorders>
              <w:top w:val="nil"/>
            </w:tcBorders>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24.27</w:t>
            </w:r>
          </w:p>
        </w:tc>
        <w:tc>
          <w:tcPr>
            <w:tcW w:w="960" w:type="dxa"/>
            <w:tcBorders>
              <w:top w:val="nil"/>
            </w:tcBorders>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37.4</w:t>
            </w:r>
          </w:p>
        </w:tc>
        <w:tc>
          <w:tcPr>
            <w:tcW w:w="907" w:type="dxa"/>
            <w:tcBorders>
              <w:top w:val="nil"/>
            </w:tcBorders>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32.76</w:t>
            </w:r>
          </w:p>
        </w:tc>
        <w:tc>
          <w:tcPr>
            <w:tcW w:w="1560" w:type="dxa"/>
            <w:tcBorders>
              <w:top w:val="nil"/>
            </w:tcBorders>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11.98</w:t>
            </w:r>
          </w:p>
        </w:tc>
        <w:tc>
          <w:tcPr>
            <w:tcW w:w="1440" w:type="dxa"/>
            <w:tcBorders>
              <w:top w:val="nil"/>
            </w:tcBorders>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15.46</w:t>
            </w:r>
          </w:p>
        </w:tc>
      </w:tr>
      <w:tr w:rsidR="00000000">
        <w:trPr>
          <w:trHeight w:val="255"/>
        </w:trPr>
        <w:tc>
          <w:tcPr>
            <w:tcW w:w="2160" w:type="dxa"/>
            <w:noWrap/>
            <w:tcMar>
              <w:top w:w="0" w:type="dxa"/>
              <w:left w:w="15" w:type="dxa"/>
              <w:bottom w:w="0" w:type="dxa"/>
              <w:right w:w="15" w:type="dxa"/>
            </w:tcMar>
            <w:vAlign w:val="bottom"/>
          </w:tcPr>
          <w:p w:rsidR="00000000" w:rsidRDefault="00000000">
            <w:pPr>
              <w:spacing w:after="0"/>
              <w:ind w:left="108"/>
              <w:rPr>
                <w:rFonts w:eastAsia="Arial Unicode MS"/>
                <w:szCs w:val="18"/>
              </w:rPr>
            </w:pPr>
            <w:r>
              <w:rPr>
                <w:szCs w:val="18"/>
              </w:rPr>
              <w:t>11-21 years</w:t>
            </w:r>
          </w:p>
        </w:tc>
        <w:tc>
          <w:tcPr>
            <w:tcW w:w="960" w:type="dxa"/>
            <w:noWrap/>
            <w:tcMar>
              <w:top w:w="15" w:type="dxa"/>
              <w:left w:w="15" w:type="dxa"/>
              <w:bottom w:w="0" w:type="dxa"/>
              <w:right w:w="15" w:type="dxa"/>
            </w:tcMar>
            <w:vAlign w:val="bottom"/>
          </w:tcPr>
          <w:p w:rsidR="00000000" w:rsidRDefault="00000000">
            <w:pPr>
              <w:pStyle w:val="Header"/>
              <w:tabs>
                <w:tab w:val="clear" w:pos="4320"/>
                <w:tab w:val="clear" w:pos="8640"/>
                <w:tab w:val="right" w:pos="770"/>
              </w:tabs>
              <w:spacing w:after="0"/>
              <w:ind w:right="153"/>
              <w:jc w:val="right"/>
              <w:rPr>
                <w:rFonts w:eastAsia="Arial Unicode MS"/>
                <w:szCs w:val="18"/>
              </w:rPr>
            </w:pPr>
            <w:r>
              <w:rPr>
                <w:szCs w:val="18"/>
              </w:rPr>
              <w:t>21.32</w:t>
            </w:r>
          </w:p>
        </w:tc>
        <w:tc>
          <w:tcPr>
            <w:tcW w:w="1440" w:type="dxa"/>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26.47</w:t>
            </w:r>
          </w:p>
        </w:tc>
        <w:tc>
          <w:tcPr>
            <w:tcW w:w="960" w:type="dxa"/>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33.6</w:t>
            </w:r>
          </w:p>
        </w:tc>
        <w:tc>
          <w:tcPr>
            <w:tcW w:w="907" w:type="dxa"/>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30.35</w:t>
            </w:r>
          </w:p>
        </w:tc>
        <w:tc>
          <w:tcPr>
            <w:tcW w:w="1560" w:type="dxa"/>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15.03</w:t>
            </w:r>
          </w:p>
        </w:tc>
        <w:tc>
          <w:tcPr>
            <w:tcW w:w="1440" w:type="dxa"/>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17.97</w:t>
            </w:r>
          </w:p>
        </w:tc>
      </w:tr>
      <w:tr w:rsidR="00000000">
        <w:trPr>
          <w:trHeight w:val="255"/>
        </w:trPr>
        <w:tc>
          <w:tcPr>
            <w:tcW w:w="2160" w:type="dxa"/>
            <w:noWrap/>
            <w:tcMar>
              <w:top w:w="0" w:type="dxa"/>
              <w:left w:w="15" w:type="dxa"/>
              <w:bottom w:w="0" w:type="dxa"/>
              <w:right w:w="15" w:type="dxa"/>
            </w:tcMar>
            <w:vAlign w:val="bottom"/>
          </w:tcPr>
          <w:p w:rsidR="00000000" w:rsidRDefault="00000000">
            <w:pPr>
              <w:spacing w:after="0"/>
              <w:ind w:left="108"/>
              <w:rPr>
                <w:rFonts w:eastAsia="Arial Unicode MS"/>
                <w:szCs w:val="18"/>
              </w:rPr>
            </w:pPr>
            <w:r>
              <w:rPr>
                <w:szCs w:val="18"/>
              </w:rPr>
              <w:t>18-25 years</w:t>
            </w:r>
          </w:p>
        </w:tc>
        <w:tc>
          <w:tcPr>
            <w:tcW w:w="960" w:type="dxa"/>
            <w:noWrap/>
            <w:tcMar>
              <w:top w:w="15" w:type="dxa"/>
              <w:left w:w="15" w:type="dxa"/>
              <w:bottom w:w="0" w:type="dxa"/>
              <w:right w:w="15" w:type="dxa"/>
            </w:tcMar>
            <w:vAlign w:val="bottom"/>
          </w:tcPr>
          <w:p w:rsidR="00000000" w:rsidRDefault="00000000">
            <w:pPr>
              <w:tabs>
                <w:tab w:val="right" w:pos="770"/>
              </w:tabs>
              <w:spacing w:after="0"/>
              <w:ind w:right="153"/>
              <w:jc w:val="right"/>
              <w:rPr>
                <w:rFonts w:eastAsia="Arial Unicode MS"/>
                <w:szCs w:val="18"/>
              </w:rPr>
            </w:pPr>
            <w:r>
              <w:rPr>
                <w:szCs w:val="18"/>
              </w:rPr>
              <w:t>18.43</w:t>
            </w:r>
          </w:p>
        </w:tc>
        <w:tc>
          <w:tcPr>
            <w:tcW w:w="1440" w:type="dxa"/>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20.01</w:t>
            </w:r>
          </w:p>
        </w:tc>
        <w:tc>
          <w:tcPr>
            <w:tcW w:w="960" w:type="dxa"/>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26.11</w:t>
            </w:r>
          </w:p>
        </w:tc>
        <w:tc>
          <w:tcPr>
            <w:tcW w:w="907" w:type="dxa"/>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23.55</w:t>
            </w:r>
          </w:p>
        </w:tc>
        <w:tc>
          <w:tcPr>
            <w:tcW w:w="1560" w:type="dxa"/>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10.96</w:t>
            </w:r>
          </w:p>
        </w:tc>
        <w:tc>
          <w:tcPr>
            <w:tcW w:w="1440" w:type="dxa"/>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10.17</w:t>
            </w:r>
          </w:p>
        </w:tc>
      </w:tr>
      <w:tr w:rsidR="00000000">
        <w:trPr>
          <w:trHeight w:val="255"/>
        </w:trPr>
        <w:tc>
          <w:tcPr>
            <w:tcW w:w="2160" w:type="dxa"/>
            <w:noWrap/>
            <w:tcMar>
              <w:top w:w="0" w:type="dxa"/>
              <w:left w:w="15" w:type="dxa"/>
              <w:bottom w:w="0" w:type="dxa"/>
              <w:right w:w="15" w:type="dxa"/>
            </w:tcMar>
            <w:vAlign w:val="center"/>
          </w:tcPr>
          <w:p w:rsidR="00000000" w:rsidRDefault="00000000">
            <w:pPr>
              <w:pStyle w:val="Header"/>
              <w:tabs>
                <w:tab w:val="clear" w:pos="4320"/>
                <w:tab w:val="clear" w:pos="8640"/>
              </w:tabs>
              <w:spacing w:after="0"/>
              <w:ind w:left="108"/>
              <w:rPr>
                <w:rFonts w:eastAsia="Arial Unicode MS"/>
                <w:szCs w:val="18"/>
              </w:rPr>
            </w:pPr>
            <w:r>
              <w:rPr>
                <w:szCs w:val="18"/>
              </w:rPr>
              <w:t>Age groups</w:t>
            </w:r>
          </w:p>
        </w:tc>
        <w:tc>
          <w:tcPr>
            <w:tcW w:w="960" w:type="dxa"/>
            <w:noWrap/>
            <w:tcMar>
              <w:top w:w="15" w:type="dxa"/>
              <w:left w:w="15" w:type="dxa"/>
              <w:bottom w:w="0" w:type="dxa"/>
              <w:right w:w="15" w:type="dxa"/>
            </w:tcMar>
            <w:vAlign w:val="bottom"/>
          </w:tcPr>
          <w:p w:rsidR="00000000" w:rsidRDefault="00000000">
            <w:pPr>
              <w:tabs>
                <w:tab w:val="right" w:pos="770"/>
              </w:tabs>
              <w:spacing w:after="0"/>
              <w:ind w:right="153"/>
              <w:jc w:val="right"/>
              <w:rPr>
                <w:rFonts w:eastAsia="Arial Unicode MS"/>
                <w:szCs w:val="18"/>
              </w:rPr>
            </w:pPr>
            <w:r>
              <w:rPr>
                <w:szCs w:val="18"/>
              </w:rPr>
              <w:t>18.39</w:t>
            </w:r>
          </w:p>
        </w:tc>
        <w:tc>
          <w:tcPr>
            <w:tcW w:w="1440" w:type="dxa"/>
            <w:noWrap/>
            <w:tcMar>
              <w:top w:w="15" w:type="dxa"/>
              <w:left w:w="15" w:type="dxa"/>
              <w:bottom w:w="0" w:type="dxa"/>
              <w:right w:w="15" w:type="dxa"/>
            </w:tcMar>
            <w:vAlign w:val="bottom"/>
          </w:tcPr>
          <w:p w:rsidR="00000000" w:rsidRDefault="00000000">
            <w:pPr>
              <w:pStyle w:val="Header"/>
              <w:tabs>
                <w:tab w:val="clear" w:pos="4320"/>
                <w:tab w:val="clear" w:pos="8640"/>
                <w:tab w:val="right" w:pos="935"/>
              </w:tabs>
              <w:spacing w:after="0"/>
              <w:ind w:left="108"/>
              <w:rPr>
                <w:rFonts w:eastAsia="Arial Unicode MS"/>
                <w:szCs w:val="18"/>
              </w:rPr>
            </w:pPr>
            <w:r>
              <w:rPr>
                <w:szCs w:val="18"/>
              </w:rPr>
              <w:tab/>
              <w:t>20.55</w:t>
            </w:r>
          </w:p>
        </w:tc>
        <w:tc>
          <w:tcPr>
            <w:tcW w:w="960" w:type="dxa"/>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29.14</w:t>
            </w:r>
          </w:p>
        </w:tc>
        <w:tc>
          <w:tcPr>
            <w:tcW w:w="907" w:type="dxa"/>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25.06</w:t>
            </w:r>
          </w:p>
        </w:tc>
        <w:tc>
          <w:tcPr>
            <w:tcW w:w="1560" w:type="dxa"/>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26.73</w:t>
            </w:r>
          </w:p>
        </w:tc>
        <w:tc>
          <w:tcPr>
            <w:tcW w:w="1440" w:type="dxa"/>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26.38</w:t>
            </w:r>
          </w:p>
        </w:tc>
      </w:tr>
      <w:tr w:rsidR="00000000">
        <w:trPr>
          <w:trHeight w:val="255"/>
        </w:trPr>
        <w:tc>
          <w:tcPr>
            <w:tcW w:w="2160" w:type="dxa"/>
            <w:noWrap/>
            <w:tcMar>
              <w:top w:w="0" w:type="dxa"/>
              <w:left w:w="15" w:type="dxa"/>
              <w:bottom w:w="0" w:type="dxa"/>
              <w:right w:w="15" w:type="dxa"/>
            </w:tcMar>
            <w:vAlign w:val="bottom"/>
          </w:tcPr>
          <w:p w:rsidR="00000000" w:rsidRDefault="00000000">
            <w:pPr>
              <w:spacing w:after="0"/>
              <w:ind w:left="108"/>
              <w:rPr>
                <w:rFonts w:eastAsia="Arial Unicode MS"/>
                <w:szCs w:val="18"/>
              </w:rPr>
            </w:pPr>
            <w:r>
              <w:rPr>
                <w:szCs w:val="18"/>
              </w:rPr>
              <w:t xml:space="preserve">46-55 years </w:t>
            </w:r>
          </w:p>
        </w:tc>
        <w:tc>
          <w:tcPr>
            <w:tcW w:w="960" w:type="dxa"/>
            <w:noWrap/>
            <w:tcMar>
              <w:top w:w="15" w:type="dxa"/>
              <w:left w:w="15" w:type="dxa"/>
              <w:bottom w:w="0" w:type="dxa"/>
              <w:right w:w="15" w:type="dxa"/>
            </w:tcMar>
            <w:vAlign w:val="bottom"/>
          </w:tcPr>
          <w:p w:rsidR="00000000" w:rsidRDefault="00000000">
            <w:pPr>
              <w:tabs>
                <w:tab w:val="right" w:pos="770"/>
              </w:tabs>
              <w:spacing w:after="0"/>
              <w:ind w:right="153"/>
              <w:jc w:val="right"/>
              <w:rPr>
                <w:rFonts w:eastAsia="Arial Unicode MS"/>
                <w:szCs w:val="18"/>
              </w:rPr>
            </w:pPr>
            <w:r>
              <w:rPr>
                <w:szCs w:val="18"/>
              </w:rPr>
              <w:t>9.62</w:t>
            </w:r>
          </w:p>
        </w:tc>
        <w:tc>
          <w:tcPr>
            <w:tcW w:w="1440" w:type="dxa"/>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11.94</w:t>
            </w:r>
          </w:p>
        </w:tc>
        <w:tc>
          <w:tcPr>
            <w:tcW w:w="960" w:type="dxa"/>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22.1</w:t>
            </w:r>
          </w:p>
        </w:tc>
        <w:tc>
          <w:tcPr>
            <w:tcW w:w="907" w:type="dxa"/>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16.8</w:t>
            </w:r>
          </w:p>
        </w:tc>
        <w:tc>
          <w:tcPr>
            <w:tcW w:w="1560" w:type="dxa"/>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10.29</w:t>
            </w:r>
          </w:p>
        </w:tc>
        <w:tc>
          <w:tcPr>
            <w:tcW w:w="1440" w:type="dxa"/>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6.81</w:t>
            </w:r>
          </w:p>
        </w:tc>
      </w:tr>
      <w:tr w:rsidR="00000000">
        <w:trPr>
          <w:trHeight w:val="255"/>
        </w:trPr>
        <w:tc>
          <w:tcPr>
            <w:tcW w:w="2160" w:type="dxa"/>
            <w:tcBorders>
              <w:bottom w:val="single" w:sz="4" w:space="0" w:color="auto"/>
            </w:tcBorders>
            <w:noWrap/>
            <w:tcMar>
              <w:top w:w="0" w:type="dxa"/>
              <w:left w:w="15" w:type="dxa"/>
              <w:bottom w:w="0" w:type="dxa"/>
              <w:right w:w="15" w:type="dxa"/>
            </w:tcMar>
            <w:vAlign w:val="bottom"/>
          </w:tcPr>
          <w:p w:rsidR="00000000" w:rsidRDefault="00000000">
            <w:pPr>
              <w:spacing w:after="0"/>
              <w:ind w:left="108"/>
              <w:rPr>
                <w:rFonts w:eastAsia="Arial Unicode MS"/>
                <w:szCs w:val="18"/>
              </w:rPr>
            </w:pPr>
            <w:r>
              <w:rPr>
                <w:szCs w:val="18"/>
              </w:rPr>
              <w:t>Over 55 years</w:t>
            </w:r>
          </w:p>
        </w:tc>
        <w:tc>
          <w:tcPr>
            <w:tcW w:w="960" w:type="dxa"/>
            <w:tcBorders>
              <w:bottom w:val="single" w:sz="4" w:space="0" w:color="auto"/>
            </w:tcBorders>
            <w:noWrap/>
            <w:tcMar>
              <w:top w:w="15" w:type="dxa"/>
              <w:left w:w="15" w:type="dxa"/>
              <w:bottom w:w="0" w:type="dxa"/>
              <w:right w:w="15" w:type="dxa"/>
            </w:tcMar>
            <w:vAlign w:val="bottom"/>
          </w:tcPr>
          <w:p w:rsidR="00000000" w:rsidRDefault="00000000">
            <w:pPr>
              <w:tabs>
                <w:tab w:val="right" w:pos="770"/>
              </w:tabs>
              <w:spacing w:after="0"/>
              <w:ind w:right="153"/>
              <w:jc w:val="right"/>
              <w:rPr>
                <w:rFonts w:eastAsia="Arial Unicode MS"/>
                <w:szCs w:val="18"/>
              </w:rPr>
            </w:pPr>
            <w:r>
              <w:rPr>
                <w:szCs w:val="18"/>
              </w:rPr>
              <w:t>12.33</w:t>
            </w:r>
          </w:p>
        </w:tc>
        <w:tc>
          <w:tcPr>
            <w:tcW w:w="1440" w:type="dxa"/>
            <w:tcBorders>
              <w:bottom w:val="single" w:sz="4" w:space="0" w:color="auto"/>
            </w:tcBorders>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13.73</w:t>
            </w:r>
          </w:p>
        </w:tc>
        <w:tc>
          <w:tcPr>
            <w:tcW w:w="960" w:type="dxa"/>
            <w:tcBorders>
              <w:bottom w:val="single" w:sz="4" w:space="0" w:color="auto"/>
            </w:tcBorders>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21.73</w:t>
            </w:r>
          </w:p>
        </w:tc>
        <w:tc>
          <w:tcPr>
            <w:tcW w:w="907" w:type="dxa"/>
            <w:tcBorders>
              <w:bottom w:val="single" w:sz="4" w:space="0" w:color="auto"/>
            </w:tcBorders>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18.07</w:t>
            </w:r>
          </w:p>
        </w:tc>
        <w:tc>
          <w:tcPr>
            <w:tcW w:w="1560" w:type="dxa"/>
            <w:tcBorders>
              <w:bottom w:val="single" w:sz="4" w:space="0" w:color="auto"/>
            </w:tcBorders>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16.52</w:t>
            </w:r>
          </w:p>
        </w:tc>
        <w:tc>
          <w:tcPr>
            <w:tcW w:w="1440" w:type="dxa"/>
            <w:tcBorders>
              <w:bottom w:val="single" w:sz="4" w:space="0" w:color="auto"/>
            </w:tcBorders>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11.76</w:t>
            </w:r>
          </w:p>
        </w:tc>
      </w:tr>
      <w:tr w:rsidR="00000000">
        <w:trPr>
          <w:trHeight w:val="255"/>
        </w:trPr>
        <w:tc>
          <w:tcPr>
            <w:tcW w:w="2160" w:type="dxa"/>
            <w:tcBorders>
              <w:top w:val="single" w:sz="4" w:space="0" w:color="auto"/>
              <w:bottom w:val="single" w:sz="4" w:space="0" w:color="auto"/>
            </w:tcBorders>
            <w:noWrap/>
            <w:vAlign w:val="bottom"/>
          </w:tcPr>
          <w:p w:rsidR="00000000" w:rsidRDefault="00000000">
            <w:pPr>
              <w:spacing w:after="0"/>
              <w:ind w:left="108"/>
              <w:rPr>
                <w:rFonts w:eastAsia="Arial Unicode MS"/>
                <w:szCs w:val="18"/>
              </w:rPr>
            </w:pPr>
            <w:r>
              <w:rPr>
                <w:szCs w:val="18"/>
              </w:rPr>
              <w:t xml:space="preserve">     Total</w:t>
            </w:r>
          </w:p>
        </w:tc>
        <w:tc>
          <w:tcPr>
            <w:tcW w:w="960" w:type="dxa"/>
            <w:tcBorders>
              <w:top w:val="single" w:sz="4" w:space="0" w:color="auto"/>
              <w:bottom w:val="single" w:sz="4" w:space="0" w:color="auto"/>
            </w:tcBorders>
            <w:noWrap/>
            <w:vAlign w:val="bottom"/>
          </w:tcPr>
          <w:p w:rsidR="00000000" w:rsidRDefault="00000000">
            <w:pPr>
              <w:tabs>
                <w:tab w:val="right" w:pos="770"/>
              </w:tabs>
              <w:spacing w:after="0"/>
              <w:ind w:right="153"/>
              <w:jc w:val="right"/>
              <w:rPr>
                <w:rFonts w:eastAsia="Arial Unicode MS"/>
                <w:szCs w:val="18"/>
              </w:rPr>
            </w:pPr>
            <w:r>
              <w:rPr>
                <w:szCs w:val="18"/>
              </w:rPr>
              <w:t>17.83</w:t>
            </w:r>
          </w:p>
        </w:tc>
        <w:tc>
          <w:tcPr>
            <w:tcW w:w="144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right" w:pos="935"/>
              </w:tabs>
              <w:spacing w:after="0"/>
              <w:ind w:left="108"/>
              <w:rPr>
                <w:rFonts w:eastAsia="Arial Unicode MS"/>
                <w:szCs w:val="18"/>
              </w:rPr>
            </w:pPr>
            <w:r>
              <w:rPr>
                <w:szCs w:val="18"/>
              </w:rPr>
              <w:tab/>
              <w:t>20.13</w:t>
            </w:r>
          </w:p>
        </w:tc>
        <w:tc>
          <w:tcPr>
            <w:tcW w:w="96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left" w:pos="192"/>
              </w:tabs>
              <w:spacing w:after="0"/>
              <w:ind w:left="108"/>
              <w:rPr>
                <w:rFonts w:eastAsia="Arial Unicode MS"/>
                <w:szCs w:val="18"/>
              </w:rPr>
            </w:pPr>
            <w:r>
              <w:rPr>
                <w:szCs w:val="18"/>
              </w:rPr>
              <w:tab/>
              <w:t>29.6</w:t>
            </w:r>
          </w:p>
        </w:tc>
        <w:tc>
          <w:tcPr>
            <w:tcW w:w="907"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decimal" w:pos="335"/>
              </w:tabs>
              <w:spacing w:after="0"/>
              <w:ind w:left="108"/>
              <w:rPr>
                <w:rFonts w:eastAsia="Arial Unicode MS"/>
                <w:szCs w:val="18"/>
              </w:rPr>
            </w:pPr>
            <w:r>
              <w:rPr>
                <w:szCs w:val="18"/>
              </w:rPr>
              <w:t>25.39</w:t>
            </w:r>
          </w:p>
        </w:tc>
        <w:tc>
          <w:tcPr>
            <w:tcW w:w="156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decimal" w:pos="694"/>
              </w:tabs>
              <w:spacing w:after="0"/>
              <w:ind w:left="108"/>
              <w:rPr>
                <w:rFonts w:eastAsia="Arial Unicode MS"/>
                <w:szCs w:val="18"/>
              </w:rPr>
            </w:pPr>
            <w:r>
              <w:rPr>
                <w:szCs w:val="18"/>
              </w:rPr>
              <w:t>100.00</w:t>
            </w:r>
          </w:p>
        </w:tc>
        <w:tc>
          <w:tcPr>
            <w:tcW w:w="144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tabs>
                <w:tab w:val="decimal" w:pos="695"/>
              </w:tabs>
              <w:spacing w:after="0"/>
              <w:ind w:left="108"/>
              <w:rPr>
                <w:rFonts w:eastAsia="Arial Unicode MS"/>
                <w:szCs w:val="18"/>
              </w:rPr>
            </w:pPr>
            <w:r>
              <w:rPr>
                <w:szCs w:val="18"/>
              </w:rPr>
              <w:t>100.00</w:t>
            </w:r>
          </w:p>
        </w:tc>
      </w:tr>
    </w:tbl>
    <w:p w:rsidR="00000000" w:rsidRDefault="00000000">
      <w:pPr>
        <w:pStyle w:val="Heading2"/>
        <w:spacing w:before="240"/>
      </w:pPr>
      <w:r>
        <w:t>Table 34</w:t>
      </w:r>
    </w:p>
    <w:p w:rsidR="00000000" w:rsidRDefault="00000000">
      <w:pPr>
        <w:pStyle w:val="Heading2"/>
      </w:pPr>
      <w:r>
        <w:t>Main characteristics of poor persons</w:t>
      </w:r>
    </w:p>
    <w:tbl>
      <w:tblPr>
        <w:tblW w:w="0" w:type="auto"/>
        <w:tblInd w:w="72" w:type="dxa"/>
        <w:tblBorders>
          <w:top w:val="single" w:sz="4" w:space="0" w:color="auto"/>
          <w:left w:val="single" w:sz="4" w:space="0" w:color="auto"/>
          <w:bottom w:val="single" w:sz="4" w:space="0" w:color="auto"/>
          <w:right w:val="single" w:sz="4" w:space="0" w:color="auto"/>
        </w:tblBorders>
        <w:tblCellMar>
          <w:left w:w="62" w:type="dxa"/>
          <w:right w:w="62" w:type="dxa"/>
        </w:tblCellMar>
        <w:tblLook w:val="0000" w:firstRow="0" w:lastRow="0" w:firstColumn="0" w:lastColumn="0" w:noHBand="0" w:noVBand="0"/>
      </w:tblPr>
      <w:tblGrid>
        <w:gridCol w:w="1726"/>
        <w:gridCol w:w="637"/>
        <w:gridCol w:w="638"/>
        <w:gridCol w:w="638"/>
        <w:gridCol w:w="638"/>
        <w:gridCol w:w="638"/>
        <w:gridCol w:w="638"/>
        <w:gridCol w:w="638"/>
        <w:gridCol w:w="638"/>
        <w:gridCol w:w="638"/>
        <w:gridCol w:w="646"/>
        <w:gridCol w:w="638"/>
        <w:gridCol w:w="638"/>
      </w:tblGrid>
      <w:tr w:rsidR="00000000">
        <w:trPr>
          <w:cantSplit/>
        </w:trPr>
        <w:tc>
          <w:tcPr>
            <w:tcW w:w="1726" w:type="dxa"/>
            <w:vMerge w:val="restart"/>
            <w:tcBorders>
              <w:top w:val="single" w:sz="4" w:space="0" w:color="auto"/>
              <w:left w:val="single" w:sz="4" w:space="0" w:color="auto"/>
              <w:right w:val="single" w:sz="4" w:space="0" w:color="auto"/>
            </w:tcBorders>
          </w:tcPr>
          <w:p w:rsidR="00000000" w:rsidRDefault="00000000">
            <w:pPr>
              <w:spacing w:after="0"/>
              <w:rPr>
                <w:sz w:val="18"/>
              </w:rPr>
            </w:pPr>
          </w:p>
        </w:tc>
        <w:tc>
          <w:tcPr>
            <w:tcW w:w="2551"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Poor</w:t>
            </w:r>
          </w:p>
        </w:tc>
        <w:tc>
          <w:tcPr>
            <w:tcW w:w="2552"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Not poor</w:t>
            </w:r>
          </w:p>
        </w:tc>
        <w:tc>
          <w:tcPr>
            <w:tcW w:w="2560"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Total</w:t>
            </w:r>
          </w:p>
        </w:tc>
      </w:tr>
      <w:tr w:rsidR="00000000">
        <w:trPr>
          <w:cantSplit/>
        </w:trPr>
        <w:tc>
          <w:tcPr>
            <w:tcW w:w="1726" w:type="dxa"/>
            <w:vMerge/>
            <w:tcBorders>
              <w:left w:val="single" w:sz="4" w:space="0" w:color="auto"/>
              <w:bottom w:val="single" w:sz="4" w:space="0" w:color="auto"/>
              <w:right w:val="single" w:sz="4" w:space="0" w:color="auto"/>
            </w:tcBorders>
          </w:tcPr>
          <w:p w:rsidR="00000000" w:rsidRDefault="00000000">
            <w:pPr>
              <w:spacing w:after="0"/>
              <w:rPr>
                <w:sz w:val="18"/>
              </w:rPr>
            </w:pPr>
          </w:p>
        </w:tc>
        <w:tc>
          <w:tcPr>
            <w:tcW w:w="63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Tirana</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Urban</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Rural</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Total</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Tirana</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Urban</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Rural</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Total</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Tirana</w:t>
            </w:r>
          </w:p>
        </w:tc>
        <w:tc>
          <w:tcPr>
            <w:tcW w:w="646"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Urban</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Rural</w:t>
            </w:r>
          </w:p>
        </w:tc>
        <w:tc>
          <w:tcPr>
            <w:tcW w:w="63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sz w:val="18"/>
              </w:rPr>
              <w:t>Total</w:t>
            </w:r>
          </w:p>
        </w:tc>
      </w:tr>
      <w:tr w:rsidR="00000000">
        <w:tc>
          <w:tcPr>
            <w:tcW w:w="1726" w:type="dxa"/>
            <w:tcBorders>
              <w:top w:val="single" w:sz="4" w:space="0" w:color="auto"/>
              <w:left w:val="single" w:sz="4" w:space="0" w:color="auto"/>
              <w:bottom w:val="nil"/>
              <w:right w:val="single" w:sz="4" w:space="0" w:color="auto"/>
            </w:tcBorders>
          </w:tcPr>
          <w:p w:rsidR="00000000" w:rsidRDefault="00000000">
            <w:pPr>
              <w:spacing w:after="0"/>
              <w:rPr>
                <w:sz w:val="18"/>
              </w:rPr>
            </w:pPr>
            <w:r>
              <w:rPr>
                <w:sz w:val="18"/>
              </w:rPr>
              <w:t xml:space="preserve">Average number </w:t>
            </w:r>
            <w:r>
              <w:rPr>
                <w:sz w:val="18"/>
              </w:rPr>
              <w:br/>
              <w:t xml:space="preserve">  of persons in a </w:t>
            </w:r>
            <w:r>
              <w:rPr>
                <w:sz w:val="18"/>
              </w:rPr>
              <w:br/>
              <w:t xml:space="preserve">  family </w:t>
            </w:r>
          </w:p>
        </w:tc>
        <w:tc>
          <w:tcPr>
            <w:tcW w:w="637" w:type="dxa"/>
            <w:tcBorders>
              <w:top w:val="single" w:sz="4" w:space="0" w:color="auto"/>
              <w:left w:val="single" w:sz="4" w:space="0" w:color="auto"/>
              <w:bottom w:val="nil"/>
              <w:right w:val="single" w:sz="4" w:space="0" w:color="auto"/>
            </w:tcBorders>
            <w:vAlign w:val="bottom"/>
          </w:tcPr>
          <w:p w:rsidR="00000000" w:rsidRDefault="00000000">
            <w:pPr>
              <w:tabs>
                <w:tab w:val="decimal" w:pos="242"/>
              </w:tabs>
              <w:spacing w:after="0"/>
              <w:rPr>
                <w:sz w:val="18"/>
              </w:rPr>
            </w:pPr>
            <w:r>
              <w:rPr>
                <w:sz w:val="18"/>
              </w:rPr>
              <w:t>5.3</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05"/>
              </w:tabs>
              <w:spacing w:after="0"/>
              <w:rPr>
                <w:sz w:val="18"/>
              </w:rPr>
            </w:pPr>
            <w:r>
              <w:rPr>
                <w:sz w:val="18"/>
              </w:rPr>
              <w:t>5.4</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197"/>
              </w:tabs>
              <w:spacing w:after="0"/>
              <w:rPr>
                <w:sz w:val="18"/>
              </w:rPr>
            </w:pPr>
            <w:r>
              <w:rPr>
                <w:sz w:val="18"/>
              </w:rPr>
              <w:t>5.8</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49"/>
              </w:tabs>
              <w:spacing w:after="0"/>
              <w:ind w:left="-19" w:right="-26"/>
              <w:rPr>
                <w:sz w:val="18"/>
              </w:rPr>
            </w:pPr>
            <w:r>
              <w:rPr>
                <w:sz w:val="18"/>
              </w:rPr>
              <w:t>5.7</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35"/>
              </w:tabs>
              <w:spacing w:after="0"/>
              <w:rPr>
                <w:rFonts w:eastAsia="Arial Unicode MS"/>
                <w:sz w:val="18"/>
              </w:rPr>
            </w:pPr>
            <w:r>
              <w:rPr>
                <w:sz w:val="18"/>
              </w:rPr>
              <w:t>3.6</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58"/>
              </w:tabs>
              <w:spacing w:after="0"/>
              <w:rPr>
                <w:rFonts w:eastAsia="Arial Unicode MS"/>
                <w:sz w:val="18"/>
              </w:rPr>
            </w:pPr>
            <w:r>
              <w:rPr>
                <w:sz w:val="18"/>
              </w:rPr>
              <w:t>3.7</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55"/>
              </w:tabs>
              <w:spacing w:after="0"/>
              <w:rPr>
                <w:rFonts w:eastAsia="Arial Unicode MS"/>
                <w:sz w:val="18"/>
              </w:rPr>
            </w:pPr>
            <w:r>
              <w:rPr>
                <w:sz w:val="18"/>
              </w:rPr>
              <w:t>4.2</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17"/>
              </w:tabs>
              <w:spacing w:after="0"/>
              <w:ind w:right="-13"/>
              <w:rPr>
                <w:rFonts w:eastAsia="Arial Unicode MS"/>
                <w:sz w:val="18"/>
              </w:rPr>
            </w:pPr>
            <w:r>
              <w:rPr>
                <w:sz w:val="18"/>
              </w:rPr>
              <w:t>4.0</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23"/>
              </w:tabs>
              <w:spacing w:after="0"/>
              <w:rPr>
                <w:rFonts w:eastAsia="Arial Unicode MS"/>
                <w:sz w:val="18"/>
              </w:rPr>
            </w:pPr>
            <w:r>
              <w:rPr>
                <w:sz w:val="18"/>
              </w:rPr>
              <w:t>3.8</w:t>
            </w:r>
          </w:p>
        </w:tc>
        <w:tc>
          <w:tcPr>
            <w:tcW w:w="646" w:type="dxa"/>
            <w:tcBorders>
              <w:top w:val="single" w:sz="4" w:space="0" w:color="auto"/>
              <w:left w:val="single" w:sz="4" w:space="0" w:color="auto"/>
              <w:bottom w:val="nil"/>
              <w:right w:val="single" w:sz="4" w:space="0" w:color="auto"/>
            </w:tcBorders>
            <w:vAlign w:val="bottom"/>
          </w:tcPr>
          <w:p w:rsidR="00000000" w:rsidRDefault="00000000">
            <w:pPr>
              <w:tabs>
                <w:tab w:val="decimal" w:pos="261"/>
              </w:tabs>
              <w:spacing w:after="0"/>
              <w:rPr>
                <w:rFonts w:eastAsia="Arial Unicode MS"/>
                <w:sz w:val="18"/>
              </w:rPr>
            </w:pPr>
            <w:r>
              <w:rPr>
                <w:sz w:val="18"/>
              </w:rPr>
              <w:t>4.0</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201"/>
              </w:tabs>
              <w:spacing w:after="0"/>
              <w:rPr>
                <w:rFonts w:eastAsia="Arial Unicode MS"/>
                <w:sz w:val="18"/>
              </w:rPr>
            </w:pPr>
            <w:r>
              <w:rPr>
                <w:sz w:val="18"/>
              </w:rPr>
              <w:t>4.6</w:t>
            </w:r>
          </w:p>
        </w:tc>
        <w:tc>
          <w:tcPr>
            <w:tcW w:w="638" w:type="dxa"/>
            <w:tcBorders>
              <w:top w:val="single" w:sz="4" w:space="0" w:color="auto"/>
              <w:left w:val="single" w:sz="4" w:space="0" w:color="auto"/>
              <w:bottom w:val="nil"/>
              <w:right w:val="single" w:sz="4" w:space="0" w:color="auto"/>
            </w:tcBorders>
            <w:vAlign w:val="bottom"/>
          </w:tcPr>
          <w:p w:rsidR="00000000" w:rsidRDefault="00000000">
            <w:pPr>
              <w:tabs>
                <w:tab w:val="decimal" w:pos="177"/>
              </w:tabs>
              <w:spacing w:after="0"/>
              <w:ind w:right="-1"/>
              <w:rPr>
                <w:rFonts w:eastAsia="Arial Unicode MS"/>
                <w:sz w:val="18"/>
              </w:rPr>
            </w:pPr>
            <w:r>
              <w:rPr>
                <w:sz w:val="18"/>
              </w:rPr>
              <w:t>4.3</w:t>
            </w:r>
          </w:p>
        </w:tc>
      </w:tr>
      <w:tr w:rsidR="00000000">
        <w:tc>
          <w:tcPr>
            <w:tcW w:w="1726"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Percentage </w:t>
            </w:r>
            <w:r>
              <w:rPr>
                <w:sz w:val="18"/>
              </w:rPr>
              <w:br/>
              <w:t xml:space="preserve">  60 and over</w:t>
            </w:r>
          </w:p>
        </w:tc>
        <w:tc>
          <w:tcPr>
            <w:tcW w:w="637" w:type="dxa"/>
            <w:tcBorders>
              <w:top w:val="nil"/>
              <w:left w:val="single" w:sz="4" w:space="0" w:color="auto"/>
              <w:bottom w:val="nil"/>
              <w:right w:val="single" w:sz="4" w:space="0" w:color="auto"/>
            </w:tcBorders>
            <w:vAlign w:val="bottom"/>
          </w:tcPr>
          <w:p w:rsidR="00000000" w:rsidRDefault="00000000">
            <w:pPr>
              <w:tabs>
                <w:tab w:val="decimal" w:pos="242"/>
              </w:tabs>
              <w:spacing w:after="0"/>
              <w:rPr>
                <w:sz w:val="18"/>
              </w:rPr>
            </w:pPr>
            <w:r>
              <w:rPr>
                <w:sz w:val="18"/>
              </w:rPr>
              <w:t>13.2</w:t>
            </w:r>
          </w:p>
        </w:tc>
        <w:tc>
          <w:tcPr>
            <w:tcW w:w="638" w:type="dxa"/>
            <w:tcBorders>
              <w:top w:val="nil"/>
              <w:left w:val="single" w:sz="4" w:space="0" w:color="auto"/>
              <w:bottom w:val="nil"/>
              <w:right w:val="single" w:sz="4" w:space="0" w:color="auto"/>
            </w:tcBorders>
            <w:vAlign w:val="bottom"/>
          </w:tcPr>
          <w:p w:rsidR="00000000" w:rsidRDefault="00000000">
            <w:pPr>
              <w:tabs>
                <w:tab w:val="decimal" w:pos="205"/>
              </w:tabs>
              <w:spacing w:after="0"/>
              <w:rPr>
                <w:sz w:val="18"/>
              </w:rPr>
            </w:pPr>
            <w:r>
              <w:rPr>
                <w:sz w:val="18"/>
              </w:rPr>
              <w:t>9.7</w:t>
            </w:r>
          </w:p>
        </w:tc>
        <w:tc>
          <w:tcPr>
            <w:tcW w:w="638" w:type="dxa"/>
            <w:tcBorders>
              <w:top w:val="nil"/>
              <w:left w:val="single" w:sz="4" w:space="0" w:color="auto"/>
              <w:bottom w:val="nil"/>
              <w:right w:val="single" w:sz="4" w:space="0" w:color="auto"/>
            </w:tcBorders>
            <w:vAlign w:val="bottom"/>
          </w:tcPr>
          <w:p w:rsidR="00000000" w:rsidRDefault="00000000">
            <w:pPr>
              <w:tabs>
                <w:tab w:val="decimal" w:pos="197"/>
              </w:tabs>
              <w:spacing w:after="0"/>
              <w:rPr>
                <w:sz w:val="18"/>
              </w:rPr>
            </w:pPr>
            <w:r>
              <w:rPr>
                <w:sz w:val="18"/>
              </w:rPr>
              <w:t>10.0</w:t>
            </w:r>
          </w:p>
        </w:tc>
        <w:tc>
          <w:tcPr>
            <w:tcW w:w="638" w:type="dxa"/>
            <w:tcBorders>
              <w:top w:val="nil"/>
              <w:left w:val="single" w:sz="4" w:space="0" w:color="auto"/>
              <w:bottom w:val="nil"/>
              <w:right w:val="single" w:sz="4" w:space="0" w:color="auto"/>
            </w:tcBorders>
            <w:vAlign w:val="bottom"/>
          </w:tcPr>
          <w:p w:rsidR="00000000" w:rsidRDefault="00000000">
            <w:pPr>
              <w:tabs>
                <w:tab w:val="decimal" w:pos="249"/>
              </w:tabs>
              <w:spacing w:after="0"/>
              <w:ind w:left="-19" w:right="-26"/>
              <w:rPr>
                <w:sz w:val="18"/>
              </w:rPr>
            </w:pPr>
            <w:r>
              <w:rPr>
                <w:sz w:val="18"/>
              </w:rPr>
              <w:t>10.2</w:t>
            </w:r>
          </w:p>
        </w:tc>
        <w:tc>
          <w:tcPr>
            <w:tcW w:w="638" w:type="dxa"/>
            <w:tcBorders>
              <w:top w:val="nil"/>
              <w:left w:val="single" w:sz="4" w:space="0" w:color="auto"/>
              <w:bottom w:val="nil"/>
              <w:right w:val="single" w:sz="4" w:space="0" w:color="auto"/>
            </w:tcBorders>
            <w:vAlign w:val="bottom"/>
          </w:tcPr>
          <w:p w:rsidR="00000000" w:rsidRDefault="00000000">
            <w:pPr>
              <w:tabs>
                <w:tab w:val="decimal" w:pos="235"/>
              </w:tabs>
              <w:spacing w:after="0"/>
              <w:rPr>
                <w:sz w:val="18"/>
              </w:rPr>
            </w:pPr>
            <w:r>
              <w:rPr>
                <w:sz w:val="18"/>
              </w:rPr>
              <w:t>19.4</w:t>
            </w:r>
          </w:p>
        </w:tc>
        <w:tc>
          <w:tcPr>
            <w:tcW w:w="638" w:type="dxa"/>
            <w:tcBorders>
              <w:top w:val="nil"/>
              <w:left w:val="single" w:sz="4" w:space="0" w:color="auto"/>
              <w:bottom w:val="nil"/>
              <w:right w:val="single" w:sz="4" w:space="0" w:color="auto"/>
            </w:tcBorders>
            <w:vAlign w:val="bottom"/>
          </w:tcPr>
          <w:p w:rsidR="00000000" w:rsidRDefault="00000000">
            <w:pPr>
              <w:tabs>
                <w:tab w:val="decimal" w:pos="258"/>
              </w:tabs>
              <w:spacing w:after="0"/>
              <w:rPr>
                <w:sz w:val="18"/>
              </w:rPr>
            </w:pPr>
            <w:r>
              <w:rPr>
                <w:sz w:val="18"/>
              </w:rPr>
              <w:t>19.5</w:t>
            </w:r>
          </w:p>
        </w:tc>
        <w:tc>
          <w:tcPr>
            <w:tcW w:w="638" w:type="dxa"/>
            <w:tcBorders>
              <w:top w:val="nil"/>
              <w:left w:val="single" w:sz="4" w:space="0" w:color="auto"/>
              <w:bottom w:val="nil"/>
              <w:right w:val="single" w:sz="4" w:space="0" w:color="auto"/>
            </w:tcBorders>
            <w:vAlign w:val="bottom"/>
          </w:tcPr>
          <w:p w:rsidR="00000000" w:rsidRDefault="00000000">
            <w:pPr>
              <w:tabs>
                <w:tab w:val="decimal" w:pos="255"/>
              </w:tabs>
              <w:spacing w:after="0"/>
              <w:rPr>
                <w:sz w:val="18"/>
              </w:rPr>
            </w:pPr>
            <w:r>
              <w:rPr>
                <w:sz w:val="18"/>
              </w:rPr>
              <w:t>19.9</w:t>
            </w:r>
          </w:p>
        </w:tc>
        <w:tc>
          <w:tcPr>
            <w:tcW w:w="638" w:type="dxa"/>
            <w:tcBorders>
              <w:top w:val="nil"/>
              <w:left w:val="single" w:sz="4" w:space="0" w:color="auto"/>
              <w:bottom w:val="nil"/>
              <w:right w:val="single" w:sz="4" w:space="0" w:color="auto"/>
            </w:tcBorders>
            <w:vAlign w:val="bottom"/>
          </w:tcPr>
          <w:p w:rsidR="00000000" w:rsidRDefault="00000000">
            <w:pPr>
              <w:tabs>
                <w:tab w:val="decimal" w:pos="217"/>
              </w:tabs>
              <w:spacing w:after="0"/>
              <w:ind w:right="-13"/>
              <w:rPr>
                <w:sz w:val="18"/>
              </w:rPr>
            </w:pPr>
            <w:r>
              <w:rPr>
                <w:sz w:val="18"/>
              </w:rPr>
              <w:t>19.7</w:t>
            </w:r>
          </w:p>
        </w:tc>
        <w:tc>
          <w:tcPr>
            <w:tcW w:w="638" w:type="dxa"/>
            <w:tcBorders>
              <w:top w:val="nil"/>
              <w:left w:val="single" w:sz="4" w:space="0" w:color="auto"/>
              <w:bottom w:val="nil"/>
              <w:right w:val="single" w:sz="4" w:space="0" w:color="auto"/>
            </w:tcBorders>
            <w:vAlign w:val="bottom"/>
          </w:tcPr>
          <w:p w:rsidR="00000000" w:rsidRDefault="00000000">
            <w:pPr>
              <w:tabs>
                <w:tab w:val="decimal" w:pos="223"/>
              </w:tabs>
              <w:spacing w:after="0"/>
              <w:rPr>
                <w:sz w:val="18"/>
              </w:rPr>
            </w:pPr>
            <w:r>
              <w:rPr>
                <w:sz w:val="18"/>
              </w:rPr>
              <w:t>18.6</w:t>
            </w:r>
          </w:p>
        </w:tc>
        <w:tc>
          <w:tcPr>
            <w:tcW w:w="646" w:type="dxa"/>
            <w:tcBorders>
              <w:top w:val="nil"/>
              <w:left w:val="single" w:sz="4" w:space="0" w:color="auto"/>
              <w:bottom w:val="nil"/>
              <w:right w:val="single" w:sz="4" w:space="0" w:color="auto"/>
            </w:tcBorders>
            <w:vAlign w:val="bottom"/>
          </w:tcPr>
          <w:p w:rsidR="00000000" w:rsidRDefault="00000000">
            <w:pPr>
              <w:tabs>
                <w:tab w:val="decimal" w:pos="261"/>
              </w:tabs>
              <w:spacing w:after="0"/>
              <w:rPr>
                <w:sz w:val="18"/>
              </w:rPr>
            </w:pPr>
            <w:r>
              <w:rPr>
                <w:sz w:val="18"/>
              </w:rPr>
              <w:t>18.1</w:t>
            </w:r>
          </w:p>
        </w:tc>
        <w:tc>
          <w:tcPr>
            <w:tcW w:w="638" w:type="dxa"/>
            <w:tcBorders>
              <w:top w:val="nil"/>
              <w:left w:val="single" w:sz="4" w:space="0" w:color="auto"/>
              <w:bottom w:val="nil"/>
              <w:right w:val="single" w:sz="4" w:space="0" w:color="auto"/>
            </w:tcBorders>
            <w:vAlign w:val="bottom"/>
          </w:tcPr>
          <w:p w:rsidR="00000000" w:rsidRDefault="00000000">
            <w:pPr>
              <w:tabs>
                <w:tab w:val="decimal" w:pos="201"/>
              </w:tabs>
              <w:spacing w:after="0"/>
              <w:rPr>
                <w:sz w:val="18"/>
              </w:rPr>
            </w:pPr>
            <w:r>
              <w:rPr>
                <w:sz w:val="18"/>
              </w:rPr>
              <w:t>17.6</w:t>
            </w:r>
          </w:p>
        </w:tc>
        <w:tc>
          <w:tcPr>
            <w:tcW w:w="638" w:type="dxa"/>
            <w:tcBorders>
              <w:top w:val="nil"/>
              <w:left w:val="single" w:sz="4" w:space="0" w:color="auto"/>
              <w:bottom w:val="nil"/>
              <w:right w:val="single" w:sz="4" w:space="0" w:color="auto"/>
            </w:tcBorders>
            <w:vAlign w:val="bottom"/>
          </w:tcPr>
          <w:p w:rsidR="00000000" w:rsidRDefault="00000000">
            <w:pPr>
              <w:tabs>
                <w:tab w:val="decimal" w:pos="177"/>
              </w:tabs>
              <w:spacing w:after="0"/>
              <w:ind w:right="-1"/>
              <w:rPr>
                <w:sz w:val="18"/>
              </w:rPr>
            </w:pPr>
            <w:r>
              <w:rPr>
                <w:sz w:val="18"/>
              </w:rPr>
              <w:t>17.8</w:t>
            </w:r>
          </w:p>
        </w:tc>
      </w:tr>
      <w:tr w:rsidR="00000000">
        <w:tc>
          <w:tcPr>
            <w:tcW w:w="1726"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Number of </w:t>
            </w:r>
            <w:r>
              <w:rPr>
                <w:sz w:val="18"/>
              </w:rPr>
              <w:br/>
              <w:t xml:space="preserve">  members less </w:t>
            </w:r>
            <w:r>
              <w:rPr>
                <w:sz w:val="18"/>
              </w:rPr>
              <w:br/>
              <w:t xml:space="preserve">  than 15 years </w:t>
            </w:r>
          </w:p>
        </w:tc>
        <w:tc>
          <w:tcPr>
            <w:tcW w:w="637" w:type="dxa"/>
            <w:tcBorders>
              <w:top w:val="nil"/>
              <w:left w:val="single" w:sz="4" w:space="0" w:color="auto"/>
              <w:bottom w:val="nil"/>
              <w:right w:val="single" w:sz="4" w:space="0" w:color="auto"/>
            </w:tcBorders>
            <w:vAlign w:val="bottom"/>
          </w:tcPr>
          <w:p w:rsidR="00000000" w:rsidRDefault="00000000">
            <w:pPr>
              <w:tabs>
                <w:tab w:val="decimal" w:pos="242"/>
              </w:tabs>
              <w:spacing w:after="0"/>
              <w:rPr>
                <w:sz w:val="18"/>
              </w:rPr>
            </w:pPr>
            <w:r>
              <w:rPr>
                <w:sz w:val="18"/>
              </w:rPr>
              <w:t>1.8</w:t>
            </w:r>
          </w:p>
        </w:tc>
        <w:tc>
          <w:tcPr>
            <w:tcW w:w="638" w:type="dxa"/>
            <w:tcBorders>
              <w:top w:val="nil"/>
              <w:left w:val="single" w:sz="4" w:space="0" w:color="auto"/>
              <w:bottom w:val="nil"/>
              <w:right w:val="single" w:sz="4" w:space="0" w:color="auto"/>
            </w:tcBorders>
            <w:vAlign w:val="bottom"/>
          </w:tcPr>
          <w:p w:rsidR="00000000" w:rsidRDefault="00000000">
            <w:pPr>
              <w:tabs>
                <w:tab w:val="decimal" w:pos="205"/>
              </w:tabs>
              <w:spacing w:after="0"/>
              <w:rPr>
                <w:sz w:val="18"/>
              </w:rPr>
            </w:pPr>
            <w:r>
              <w:rPr>
                <w:sz w:val="18"/>
              </w:rPr>
              <w:t>1.9</w:t>
            </w:r>
          </w:p>
        </w:tc>
        <w:tc>
          <w:tcPr>
            <w:tcW w:w="638" w:type="dxa"/>
            <w:tcBorders>
              <w:top w:val="nil"/>
              <w:left w:val="single" w:sz="4" w:space="0" w:color="auto"/>
              <w:bottom w:val="nil"/>
              <w:right w:val="single" w:sz="4" w:space="0" w:color="auto"/>
            </w:tcBorders>
            <w:vAlign w:val="bottom"/>
          </w:tcPr>
          <w:p w:rsidR="00000000" w:rsidRDefault="00000000">
            <w:pPr>
              <w:tabs>
                <w:tab w:val="decimal" w:pos="197"/>
              </w:tabs>
              <w:spacing w:after="0"/>
              <w:rPr>
                <w:sz w:val="18"/>
              </w:rPr>
            </w:pPr>
            <w:r>
              <w:rPr>
                <w:sz w:val="18"/>
              </w:rPr>
              <w:t>2.2</w:t>
            </w:r>
          </w:p>
        </w:tc>
        <w:tc>
          <w:tcPr>
            <w:tcW w:w="638" w:type="dxa"/>
            <w:tcBorders>
              <w:top w:val="nil"/>
              <w:left w:val="single" w:sz="4" w:space="0" w:color="auto"/>
              <w:bottom w:val="nil"/>
              <w:right w:val="single" w:sz="4" w:space="0" w:color="auto"/>
            </w:tcBorders>
            <w:vAlign w:val="bottom"/>
          </w:tcPr>
          <w:p w:rsidR="00000000" w:rsidRDefault="00000000">
            <w:pPr>
              <w:tabs>
                <w:tab w:val="decimal" w:pos="249"/>
              </w:tabs>
              <w:spacing w:after="0"/>
              <w:ind w:left="-19" w:right="-26"/>
              <w:rPr>
                <w:sz w:val="18"/>
              </w:rPr>
            </w:pPr>
            <w:r>
              <w:rPr>
                <w:sz w:val="18"/>
              </w:rPr>
              <w:t>2.1</w:t>
            </w:r>
          </w:p>
        </w:tc>
        <w:tc>
          <w:tcPr>
            <w:tcW w:w="638" w:type="dxa"/>
            <w:tcBorders>
              <w:top w:val="nil"/>
              <w:left w:val="single" w:sz="4" w:space="0" w:color="auto"/>
              <w:bottom w:val="nil"/>
              <w:right w:val="single" w:sz="4" w:space="0" w:color="auto"/>
            </w:tcBorders>
            <w:vAlign w:val="bottom"/>
          </w:tcPr>
          <w:p w:rsidR="00000000" w:rsidRDefault="00000000">
            <w:pPr>
              <w:tabs>
                <w:tab w:val="decimal" w:pos="235"/>
              </w:tabs>
              <w:spacing w:after="0"/>
              <w:rPr>
                <w:sz w:val="18"/>
              </w:rPr>
            </w:pPr>
            <w:r>
              <w:rPr>
                <w:sz w:val="18"/>
              </w:rPr>
              <w:t>0.8</w:t>
            </w:r>
          </w:p>
        </w:tc>
        <w:tc>
          <w:tcPr>
            <w:tcW w:w="638" w:type="dxa"/>
            <w:tcBorders>
              <w:top w:val="nil"/>
              <w:left w:val="single" w:sz="4" w:space="0" w:color="auto"/>
              <w:bottom w:val="nil"/>
              <w:right w:val="single" w:sz="4" w:space="0" w:color="auto"/>
            </w:tcBorders>
            <w:vAlign w:val="bottom"/>
          </w:tcPr>
          <w:p w:rsidR="00000000" w:rsidRDefault="00000000">
            <w:pPr>
              <w:tabs>
                <w:tab w:val="decimal" w:pos="258"/>
              </w:tabs>
              <w:spacing w:after="0"/>
              <w:rPr>
                <w:sz w:val="18"/>
              </w:rPr>
            </w:pPr>
            <w:r>
              <w:rPr>
                <w:sz w:val="18"/>
              </w:rPr>
              <w:t>0.9</w:t>
            </w:r>
          </w:p>
        </w:tc>
        <w:tc>
          <w:tcPr>
            <w:tcW w:w="638" w:type="dxa"/>
            <w:tcBorders>
              <w:top w:val="nil"/>
              <w:left w:val="single" w:sz="4" w:space="0" w:color="auto"/>
              <w:bottom w:val="nil"/>
              <w:right w:val="single" w:sz="4" w:space="0" w:color="auto"/>
            </w:tcBorders>
            <w:vAlign w:val="bottom"/>
          </w:tcPr>
          <w:p w:rsidR="00000000" w:rsidRDefault="00000000">
            <w:pPr>
              <w:tabs>
                <w:tab w:val="decimal" w:pos="255"/>
              </w:tabs>
              <w:spacing w:after="0"/>
              <w:rPr>
                <w:sz w:val="18"/>
              </w:rPr>
            </w:pPr>
            <w:r>
              <w:rPr>
                <w:sz w:val="18"/>
              </w:rPr>
              <w:t>1.2</w:t>
            </w:r>
          </w:p>
        </w:tc>
        <w:tc>
          <w:tcPr>
            <w:tcW w:w="638" w:type="dxa"/>
            <w:tcBorders>
              <w:top w:val="nil"/>
              <w:left w:val="single" w:sz="4" w:space="0" w:color="auto"/>
              <w:bottom w:val="nil"/>
              <w:right w:val="single" w:sz="4" w:space="0" w:color="auto"/>
            </w:tcBorders>
            <w:vAlign w:val="bottom"/>
          </w:tcPr>
          <w:p w:rsidR="00000000" w:rsidRDefault="00000000">
            <w:pPr>
              <w:tabs>
                <w:tab w:val="decimal" w:pos="217"/>
              </w:tabs>
              <w:spacing w:after="0"/>
              <w:ind w:right="-13"/>
              <w:rPr>
                <w:sz w:val="18"/>
              </w:rPr>
            </w:pPr>
            <w:r>
              <w:rPr>
                <w:sz w:val="18"/>
              </w:rPr>
              <w:t>1.0</w:t>
            </w:r>
          </w:p>
        </w:tc>
        <w:tc>
          <w:tcPr>
            <w:tcW w:w="638" w:type="dxa"/>
            <w:tcBorders>
              <w:top w:val="nil"/>
              <w:left w:val="single" w:sz="4" w:space="0" w:color="auto"/>
              <w:bottom w:val="nil"/>
              <w:right w:val="single" w:sz="4" w:space="0" w:color="auto"/>
            </w:tcBorders>
            <w:vAlign w:val="bottom"/>
          </w:tcPr>
          <w:p w:rsidR="00000000" w:rsidRDefault="00000000">
            <w:pPr>
              <w:tabs>
                <w:tab w:val="decimal" w:pos="223"/>
              </w:tabs>
              <w:spacing w:after="0"/>
              <w:rPr>
                <w:sz w:val="18"/>
              </w:rPr>
            </w:pPr>
            <w:r>
              <w:rPr>
                <w:sz w:val="18"/>
              </w:rPr>
              <w:t>0.9</w:t>
            </w:r>
          </w:p>
        </w:tc>
        <w:tc>
          <w:tcPr>
            <w:tcW w:w="646" w:type="dxa"/>
            <w:tcBorders>
              <w:top w:val="nil"/>
              <w:left w:val="single" w:sz="4" w:space="0" w:color="auto"/>
              <w:bottom w:val="nil"/>
              <w:right w:val="single" w:sz="4" w:space="0" w:color="auto"/>
            </w:tcBorders>
            <w:vAlign w:val="bottom"/>
          </w:tcPr>
          <w:p w:rsidR="00000000" w:rsidRDefault="00000000">
            <w:pPr>
              <w:tabs>
                <w:tab w:val="decimal" w:pos="261"/>
              </w:tabs>
              <w:spacing w:after="0"/>
              <w:rPr>
                <w:sz w:val="18"/>
              </w:rPr>
            </w:pPr>
            <w:r>
              <w:rPr>
                <w:sz w:val="18"/>
              </w:rPr>
              <w:t>1.1</w:t>
            </w:r>
          </w:p>
        </w:tc>
        <w:tc>
          <w:tcPr>
            <w:tcW w:w="638" w:type="dxa"/>
            <w:tcBorders>
              <w:top w:val="nil"/>
              <w:left w:val="single" w:sz="4" w:space="0" w:color="auto"/>
              <w:bottom w:val="nil"/>
              <w:right w:val="single" w:sz="4" w:space="0" w:color="auto"/>
            </w:tcBorders>
            <w:vAlign w:val="bottom"/>
          </w:tcPr>
          <w:p w:rsidR="00000000" w:rsidRDefault="00000000">
            <w:pPr>
              <w:tabs>
                <w:tab w:val="decimal" w:pos="201"/>
              </w:tabs>
              <w:spacing w:after="0"/>
              <w:rPr>
                <w:sz w:val="18"/>
              </w:rPr>
            </w:pPr>
            <w:r>
              <w:rPr>
                <w:sz w:val="18"/>
              </w:rPr>
              <w:t>1.4</w:t>
            </w:r>
          </w:p>
        </w:tc>
        <w:tc>
          <w:tcPr>
            <w:tcW w:w="638" w:type="dxa"/>
            <w:tcBorders>
              <w:top w:val="nil"/>
              <w:left w:val="single" w:sz="4" w:space="0" w:color="auto"/>
              <w:bottom w:val="nil"/>
              <w:right w:val="single" w:sz="4" w:space="0" w:color="auto"/>
            </w:tcBorders>
            <w:vAlign w:val="bottom"/>
          </w:tcPr>
          <w:p w:rsidR="00000000" w:rsidRDefault="00000000">
            <w:pPr>
              <w:tabs>
                <w:tab w:val="decimal" w:pos="177"/>
              </w:tabs>
              <w:spacing w:after="0"/>
              <w:ind w:right="-1"/>
              <w:rPr>
                <w:sz w:val="18"/>
              </w:rPr>
            </w:pPr>
            <w:r>
              <w:rPr>
                <w:sz w:val="18"/>
              </w:rPr>
              <w:t>1.2</w:t>
            </w:r>
          </w:p>
        </w:tc>
      </w:tr>
      <w:tr w:rsidR="00000000">
        <w:tc>
          <w:tcPr>
            <w:tcW w:w="1726" w:type="dxa"/>
            <w:tcBorders>
              <w:top w:val="nil"/>
              <w:left w:val="single" w:sz="4" w:space="0" w:color="auto"/>
              <w:bottom w:val="nil"/>
              <w:right w:val="single" w:sz="4" w:space="0" w:color="auto"/>
            </w:tcBorders>
          </w:tcPr>
          <w:p w:rsidR="00000000" w:rsidRDefault="00000000">
            <w:pPr>
              <w:spacing w:after="0"/>
              <w:rPr>
                <w:sz w:val="18"/>
              </w:rPr>
            </w:pPr>
            <w:r>
              <w:rPr>
                <w:sz w:val="18"/>
              </w:rPr>
              <w:t>Dependence level</w:t>
            </w:r>
          </w:p>
        </w:tc>
        <w:tc>
          <w:tcPr>
            <w:tcW w:w="637" w:type="dxa"/>
            <w:tcBorders>
              <w:top w:val="nil"/>
              <w:left w:val="single" w:sz="4" w:space="0" w:color="auto"/>
              <w:bottom w:val="nil"/>
              <w:right w:val="single" w:sz="4" w:space="0" w:color="auto"/>
            </w:tcBorders>
            <w:vAlign w:val="bottom"/>
          </w:tcPr>
          <w:p w:rsidR="00000000" w:rsidRDefault="00000000">
            <w:pPr>
              <w:tabs>
                <w:tab w:val="decimal" w:pos="242"/>
              </w:tabs>
              <w:spacing w:after="0"/>
              <w:rPr>
                <w:sz w:val="18"/>
              </w:rPr>
            </w:pPr>
            <w:r>
              <w:rPr>
                <w:sz w:val="18"/>
              </w:rPr>
              <w:t>1.04</w:t>
            </w:r>
          </w:p>
        </w:tc>
        <w:tc>
          <w:tcPr>
            <w:tcW w:w="638" w:type="dxa"/>
            <w:tcBorders>
              <w:top w:val="nil"/>
              <w:left w:val="single" w:sz="4" w:space="0" w:color="auto"/>
              <w:bottom w:val="nil"/>
              <w:right w:val="single" w:sz="4" w:space="0" w:color="auto"/>
            </w:tcBorders>
            <w:vAlign w:val="bottom"/>
          </w:tcPr>
          <w:p w:rsidR="00000000" w:rsidRDefault="00000000">
            <w:pPr>
              <w:tabs>
                <w:tab w:val="decimal" w:pos="205"/>
              </w:tabs>
              <w:spacing w:after="0"/>
              <w:rPr>
                <w:sz w:val="18"/>
              </w:rPr>
            </w:pPr>
            <w:r>
              <w:rPr>
                <w:sz w:val="18"/>
              </w:rPr>
              <w:t>1.06</w:t>
            </w:r>
          </w:p>
        </w:tc>
        <w:tc>
          <w:tcPr>
            <w:tcW w:w="638" w:type="dxa"/>
            <w:tcBorders>
              <w:top w:val="nil"/>
              <w:left w:val="single" w:sz="4" w:space="0" w:color="auto"/>
              <w:bottom w:val="nil"/>
              <w:right w:val="single" w:sz="4" w:space="0" w:color="auto"/>
            </w:tcBorders>
            <w:vAlign w:val="bottom"/>
          </w:tcPr>
          <w:p w:rsidR="00000000" w:rsidRDefault="00000000">
            <w:pPr>
              <w:tabs>
                <w:tab w:val="decimal" w:pos="197"/>
              </w:tabs>
              <w:spacing w:after="0"/>
              <w:rPr>
                <w:sz w:val="18"/>
              </w:rPr>
            </w:pPr>
            <w:r>
              <w:rPr>
                <w:sz w:val="18"/>
              </w:rPr>
              <w:t>1.16</w:t>
            </w:r>
          </w:p>
        </w:tc>
        <w:tc>
          <w:tcPr>
            <w:tcW w:w="638" w:type="dxa"/>
            <w:tcBorders>
              <w:top w:val="nil"/>
              <w:left w:val="single" w:sz="4" w:space="0" w:color="auto"/>
              <w:bottom w:val="nil"/>
              <w:right w:val="single" w:sz="4" w:space="0" w:color="auto"/>
            </w:tcBorders>
            <w:vAlign w:val="bottom"/>
          </w:tcPr>
          <w:p w:rsidR="00000000" w:rsidRDefault="00000000">
            <w:pPr>
              <w:tabs>
                <w:tab w:val="decimal" w:pos="249"/>
              </w:tabs>
              <w:spacing w:after="0"/>
              <w:ind w:left="-19" w:right="-26"/>
              <w:rPr>
                <w:sz w:val="18"/>
              </w:rPr>
            </w:pPr>
            <w:r>
              <w:rPr>
                <w:sz w:val="18"/>
              </w:rPr>
              <w:t>1.12</w:t>
            </w:r>
          </w:p>
        </w:tc>
        <w:tc>
          <w:tcPr>
            <w:tcW w:w="638" w:type="dxa"/>
            <w:tcBorders>
              <w:top w:val="nil"/>
              <w:left w:val="single" w:sz="4" w:space="0" w:color="auto"/>
              <w:bottom w:val="nil"/>
              <w:right w:val="single" w:sz="4" w:space="0" w:color="auto"/>
            </w:tcBorders>
            <w:vAlign w:val="bottom"/>
          </w:tcPr>
          <w:p w:rsidR="00000000" w:rsidRDefault="00000000">
            <w:pPr>
              <w:tabs>
                <w:tab w:val="decimal" w:pos="235"/>
              </w:tabs>
              <w:spacing w:after="0"/>
              <w:rPr>
                <w:sz w:val="18"/>
              </w:rPr>
            </w:pPr>
            <w:r>
              <w:rPr>
                <w:sz w:val="18"/>
              </w:rPr>
              <w:t>0.66</w:t>
            </w:r>
          </w:p>
        </w:tc>
        <w:tc>
          <w:tcPr>
            <w:tcW w:w="638" w:type="dxa"/>
            <w:tcBorders>
              <w:top w:val="nil"/>
              <w:left w:val="single" w:sz="4" w:space="0" w:color="auto"/>
              <w:bottom w:val="nil"/>
              <w:right w:val="single" w:sz="4" w:space="0" w:color="auto"/>
            </w:tcBorders>
            <w:vAlign w:val="bottom"/>
          </w:tcPr>
          <w:p w:rsidR="00000000" w:rsidRDefault="00000000">
            <w:pPr>
              <w:tabs>
                <w:tab w:val="decimal" w:pos="258"/>
              </w:tabs>
              <w:spacing w:after="0"/>
              <w:rPr>
                <w:sz w:val="18"/>
              </w:rPr>
            </w:pPr>
            <w:r>
              <w:rPr>
                <w:sz w:val="18"/>
              </w:rPr>
              <w:t>0.73</w:t>
            </w:r>
          </w:p>
        </w:tc>
        <w:tc>
          <w:tcPr>
            <w:tcW w:w="638" w:type="dxa"/>
            <w:tcBorders>
              <w:top w:val="nil"/>
              <w:left w:val="single" w:sz="4" w:space="0" w:color="auto"/>
              <w:bottom w:val="nil"/>
              <w:right w:val="single" w:sz="4" w:space="0" w:color="auto"/>
            </w:tcBorders>
            <w:vAlign w:val="bottom"/>
          </w:tcPr>
          <w:p w:rsidR="00000000" w:rsidRDefault="00000000">
            <w:pPr>
              <w:tabs>
                <w:tab w:val="decimal" w:pos="255"/>
              </w:tabs>
              <w:spacing w:after="0"/>
              <w:rPr>
                <w:sz w:val="18"/>
              </w:rPr>
            </w:pPr>
            <w:r>
              <w:rPr>
                <w:sz w:val="18"/>
              </w:rPr>
              <w:t>0.83</w:t>
            </w:r>
          </w:p>
        </w:tc>
        <w:tc>
          <w:tcPr>
            <w:tcW w:w="638" w:type="dxa"/>
            <w:tcBorders>
              <w:top w:val="nil"/>
              <w:left w:val="single" w:sz="4" w:space="0" w:color="auto"/>
              <w:bottom w:val="nil"/>
              <w:right w:val="single" w:sz="4" w:space="0" w:color="auto"/>
            </w:tcBorders>
            <w:vAlign w:val="bottom"/>
          </w:tcPr>
          <w:p w:rsidR="00000000" w:rsidRDefault="00000000">
            <w:pPr>
              <w:tabs>
                <w:tab w:val="decimal" w:pos="217"/>
              </w:tabs>
              <w:spacing w:after="0"/>
              <w:ind w:right="-13"/>
              <w:rPr>
                <w:sz w:val="18"/>
              </w:rPr>
            </w:pPr>
            <w:r>
              <w:rPr>
                <w:sz w:val="18"/>
              </w:rPr>
              <w:t>0.77</w:t>
            </w:r>
          </w:p>
        </w:tc>
        <w:tc>
          <w:tcPr>
            <w:tcW w:w="638" w:type="dxa"/>
            <w:tcBorders>
              <w:top w:val="nil"/>
              <w:left w:val="single" w:sz="4" w:space="0" w:color="auto"/>
              <w:bottom w:val="nil"/>
              <w:right w:val="single" w:sz="4" w:space="0" w:color="auto"/>
            </w:tcBorders>
            <w:vAlign w:val="bottom"/>
          </w:tcPr>
          <w:p w:rsidR="00000000" w:rsidRDefault="00000000">
            <w:pPr>
              <w:tabs>
                <w:tab w:val="decimal" w:pos="223"/>
              </w:tabs>
              <w:spacing w:after="0"/>
              <w:rPr>
                <w:sz w:val="18"/>
              </w:rPr>
            </w:pPr>
            <w:r>
              <w:rPr>
                <w:sz w:val="18"/>
              </w:rPr>
              <w:t>0.71</w:t>
            </w:r>
          </w:p>
        </w:tc>
        <w:tc>
          <w:tcPr>
            <w:tcW w:w="646" w:type="dxa"/>
            <w:tcBorders>
              <w:top w:val="nil"/>
              <w:left w:val="single" w:sz="4" w:space="0" w:color="auto"/>
              <w:bottom w:val="nil"/>
              <w:right w:val="single" w:sz="4" w:space="0" w:color="auto"/>
            </w:tcBorders>
            <w:vAlign w:val="bottom"/>
          </w:tcPr>
          <w:p w:rsidR="00000000" w:rsidRDefault="00000000">
            <w:pPr>
              <w:tabs>
                <w:tab w:val="decimal" w:pos="261"/>
              </w:tabs>
              <w:spacing w:after="0"/>
              <w:rPr>
                <w:sz w:val="18"/>
              </w:rPr>
            </w:pPr>
            <w:r>
              <w:rPr>
                <w:sz w:val="18"/>
              </w:rPr>
              <w:t>0.78</w:t>
            </w:r>
          </w:p>
        </w:tc>
        <w:tc>
          <w:tcPr>
            <w:tcW w:w="638" w:type="dxa"/>
            <w:tcBorders>
              <w:top w:val="nil"/>
              <w:left w:val="single" w:sz="4" w:space="0" w:color="auto"/>
              <w:bottom w:val="nil"/>
              <w:right w:val="single" w:sz="4" w:space="0" w:color="auto"/>
            </w:tcBorders>
            <w:vAlign w:val="bottom"/>
          </w:tcPr>
          <w:p w:rsidR="00000000" w:rsidRDefault="00000000">
            <w:pPr>
              <w:tabs>
                <w:tab w:val="decimal" w:pos="201"/>
              </w:tabs>
              <w:spacing w:after="0"/>
              <w:rPr>
                <w:sz w:val="18"/>
              </w:rPr>
            </w:pPr>
            <w:r>
              <w:rPr>
                <w:sz w:val="18"/>
              </w:rPr>
              <w:t>0.91</w:t>
            </w:r>
          </w:p>
        </w:tc>
        <w:tc>
          <w:tcPr>
            <w:tcW w:w="638" w:type="dxa"/>
            <w:tcBorders>
              <w:top w:val="nil"/>
              <w:left w:val="single" w:sz="4" w:space="0" w:color="auto"/>
              <w:bottom w:val="nil"/>
              <w:right w:val="single" w:sz="4" w:space="0" w:color="auto"/>
            </w:tcBorders>
            <w:vAlign w:val="bottom"/>
          </w:tcPr>
          <w:p w:rsidR="00000000" w:rsidRDefault="00000000">
            <w:pPr>
              <w:tabs>
                <w:tab w:val="decimal" w:pos="177"/>
              </w:tabs>
              <w:spacing w:after="0"/>
              <w:ind w:right="-1"/>
              <w:rPr>
                <w:sz w:val="18"/>
              </w:rPr>
            </w:pPr>
            <w:r>
              <w:rPr>
                <w:sz w:val="18"/>
              </w:rPr>
              <w:t>0.84</w:t>
            </w:r>
          </w:p>
        </w:tc>
      </w:tr>
      <w:tr w:rsidR="00000000">
        <w:tc>
          <w:tcPr>
            <w:tcW w:w="1726" w:type="dxa"/>
            <w:tcBorders>
              <w:top w:val="nil"/>
              <w:left w:val="single" w:sz="4" w:space="0" w:color="auto"/>
              <w:bottom w:val="nil"/>
              <w:right w:val="single" w:sz="4" w:space="0" w:color="auto"/>
            </w:tcBorders>
          </w:tcPr>
          <w:p w:rsidR="00000000" w:rsidRDefault="00000000">
            <w:pPr>
              <w:spacing w:after="0"/>
              <w:rPr>
                <w:sz w:val="18"/>
              </w:rPr>
            </w:pPr>
            <w:r>
              <w:rPr>
                <w:sz w:val="18"/>
              </w:rPr>
              <w:t>Percentage</w:t>
            </w:r>
            <w:r>
              <w:rPr>
                <w:sz w:val="18"/>
              </w:rPr>
              <w:br/>
              <w:t xml:space="preserve">  female</w:t>
            </w:r>
            <w:r>
              <w:rPr>
                <w:sz w:val="18"/>
              </w:rPr>
              <w:noBreakHyphen/>
              <w:t xml:space="preserve">headed </w:t>
            </w:r>
            <w:r>
              <w:rPr>
                <w:sz w:val="18"/>
              </w:rPr>
              <w:br/>
              <w:t xml:space="preserve">  households </w:t>
            </w:r>
          </w:p>
        </w:tc>
        <w:tc>
          <w:tcPr>
            <w:tcW w:w="637" w:type="dxa"/>
            <w:tcBorders>
              <w:top w:val="nil"/>
              <w:left w:val="single" w:sz="4" w:space="0" w:color="auto"/>
              <w:bottom w:val="nil"/>
              <w:right w:val="single" w:sz="4" w:space="0" w:color="auto"/>
            </w:tcBorders>
            <w:vAlign w:val="bottom"/>
          </w:tcPr>
          <w:p w:rsidR="00000000" w:rsidRDefault="00000000">
            <w:pPr>
              <w:tabs>
                <w:tab w:val="decimal" w:pos="242"/>
              </w:tabs>
              <w:spacing w:after="0"/>
              <w:rPr>
                <w:rFonts w:eastAsia="Arial Unicode MS"/>
                <w:sz w:val="18"/>
              </w:rPr>
            </w:pPr>
            <w:r>
              <w:rPr>
                <w:sz w:val="18"/>
              </w:rPr>
              <w:t>10.5</w:t>
            </w:r>
          </w:p>
        </w:tc>
        <w:tc>
          <w:tcPr>
            <w:tcW w:w="638" w:type="dxa"/>
            <w:tcBorders>
              <w:top w:val="nil"/>
              <w:left w:val="single" w:sz="4" w:space="0" w:color="auto"/>
              <w:bottom w:val="nil"/>
              <w:right w:val="single" w:sz="4" w:space="0" w:color="auto"/>
            </w:tcBorders>
            <w:vAlign w:val="bottom"/>
          </w:tcPr>
          <w:p w:rsidR="00000000" w:rsidRDefault="00000000">
            <w:pPr>
              <w:tabs>
                <w:tab w:val="decimal" w:pos="205"/>
              </w:tabs>
              <w:spacing w:after="0"/>
              <w:rPr>
                <w:rFonts w:eastAsia="Arial Unicode MS"/>
                <w:sz w:val="18"/>
              </w:rPr>
            </w:pPr>
            <w:r>
              <w:rPr>
                <w:sz w:val="18"/>
              </w:rPr>
              <w:t>12.1</w:t>
            </w:r>
          </w:p>
        </w:tc>
        <w:tc>
          <w:tcPr>
            <w:tcW w:w="638" w:type="dxa"/>
            <w:tcBorders>
              <w:top w:val="nil"/>
              <w:left w:val="single" w:sz="4" w:space="0" w:color="auto"/>
              <w:bottom w:val="nil"/>
              <w:right w:val="single" w:sz="4" w:space="0" w:color="auto"/>
            </w:tcBorders>
            <w:vAlign w:val="bottom"/>
          </w:tcPr>
          <w:p w:rsidR="00000000" w:rsidRDefault="00000000">
            <w:pPr>
              <w:tabs>
                <w:tab w:val="decimal" w:pos="197"/>
              </w:tabs>
              <w:spacing w:after="0"/>
              <w:rPr>
                <w:rFonts w:eastAsia="Arial Unicode MS"/>
                <w:sz w:val="18"/>
              </w:rPr>
            </w:pPr>
            <w:r>
              <w:rPr>
                <w:sz w:val="18"/>
              </w:rPr>
              <w:t>8.1</w:t>
            </w:r>
          </w:p>
        </w:tc>
        <w:tc>
          <w:tcPr>
            <w:tcW w:w="638" w:type="dxa"/>
            <w:tcBorders>
              <w:top w:val="nil"/>
              <w:left w:val="single" w:sz="4" w:space="0" w:color="auto"/>
              <w:bottom w:val="nil"/>
              <w:right w:val="single" w:sz="4" w:space="0" w:color="auto"/>
            </w:tcBorders>
            <w:vAlign w:val="bottom"/>
          </w:tcPr>
          <w:p w:rsidR="00000000" w:rsidRDefault="00000000">
            <w:pPr>
              <w:tabs>
                <w:tab w:val="decimal" w:pos="249"/>
              </w:tabs>
              <w:spacing w:after="0"/>
              <w:ind w:left="-19" w:right="-26"/>
              <w:rPr>
                <w:rFonts w:eastAsia="Arial Unicode MS"/>
                <w:sz w:val="18"/>
              </w:rPr>
            </w:pPr>
            <w:r>
              <w:rPr>
                <w:sz w:val="18"/>
              </w:rPr>
              <w:t>9.3</w:t>
            </w:r>
          </w:p>
        </w:tc>
        <w:tc>
          <w:tcPr>
            <w:tcW w:w="638" w:type="dxa"/>
            <w:tcBorders>
              <w:top w:val="nil"/>
              <w:left w:val="single" w:sz="4" w:space="0" w:color="auto"/>
              <w:bottom w:val="nil"/>
              <w:right w:val="single" w:sz="4" w:space="0" w:color="auto"/>
            </w:tcBorders>
            <w:vAlign w:val="bottom"/>
          </w:tcPr>
          <w:p w:rsidR="00000000" w:rsidRDefault="00000000">
            <w:pPr>
              <w:tabs>
                <w:tab w:val="decimal" w:pos="235"/>
              </w:tabs>
              <w:spacing w:after="0"/>
              <w:rPr>
                <w:rFonts w:eastAsia="Arial Unicode MS"/>
                <w:sz w:val="18"/>
              </w:rPr>
            </w:pPr>
            <w:r>
              <w:rPr>
                <w:sz w:val="18"/>
              </w:rPr>
              <w:t>18.0</w:t>
            </w:r>
          </w:p>
        </w:tc>
        <w:tc>
          <w:tcPr>
            <w:tcW w:w="638" w:type="dxa"/>
            <w:tcBorders>
              <w:top w:val="nil"/>
              <w:left w:val="single" w:sz="4" w:space="0" w:color="auto"/>
              <w:bottom w:val="nil"/>
              <w:right w:val="single" w:sz="4" w:space="0" w:color="auto"/>
            </w:tcBorders>
            <w:vAlign w:val="bottom"/>
          </w:tcPr>
          <w:p w:rsidR="00000000" w:rsidRDefault="00000000">
            <w:pPr>
              <w:tabs>
                <w:tab w:val="decimal" w:pos="258"/>
              </w:tabs>
              <w:spacing w:after="0"/>
              <w:rPr>
                <w:rFonts w:eastAsia="Arial Unicode MS"/>
                <w:sz w:val="18"/>
              </w:rPr>
            </w:pPr>
            <w:r>
              <w:rPr>
                <w:sz w:val="18"/>
              </w:rPr>
              <w:t>13.5</w:t>
            </w:r>
          </w:p>
        </w:tc>
        <w:tc>
          <w:tcPr>
            <w:tcW w:w="638" w:type="dxa"/>
            <w:tcBorders>
              <w:top w:val="nil"/>
              <w:left w:val="single" w:sz="4" w:space="0" w:color="auto"/>
              <w:bottom w:val="nil"/>
              <w:right w:val="single" w:sz="4" w:space="0" w:color="auto"/>
            </w:tcBorders>
            <w:vAlign w:val="bottom"/>
          </w:tcPr>
          <w:p w:rsidR="00000000" w:rsidRDefault="00000000">
            <w:pPr>
              <w:tabs>
                <w:tab w:val="decimal" w:pos="255"/>
              </w:tabs>
              <w:spacing w:after="0"/>
              <w:rPr>
                <w:rFonts w:eastAsia="Arial Unicode MS"/>
                <w:sz w:val="18"/>
              </w:rPr>
            </w:pPr>
            <w:r>
              <w:rPr>
                <w:sz w:val="18"/>
              </w:rPr>
              <w:t>11.6</w:t>
            </w:r>
          </w:p>
        </w:tc>
        <w:tc>
          <w:tcPr>
            <w:tcW w:w="638" w:type="dxa"/>
            <w:tcBorders>
              <w:top w:val="nil"/>
              <w:left w:val="single" w:sz="4" w:space="0" w:color="auto"/>
              <w:bottom w:val="nil"/>
              <w:right w:val="single" w:sz="4" w:space="0" w:color="auto"/>
            </w:tcBorders>
            <w:vAlign w:val="bottom"/>
          </w:tcPr>
          <w:p w:rsidR="00000000" w:rsidRDefault="00000000">
            <w:pPr>
              <w:tabs>
                <w:tab w:val="decimal" w:pos="217"/>
              </w:tabs>
              <w:spacing w:after="0"/>
              <w:ind w:right="-13"/>
              <w:rPr>
                <w:rFonts w:eastAsia="Arial Unicode MS"/>
                <w:sz w:val="18"/>
              </w:rPr>
            </w:pPr>
            <w:r>
              <w:rPr>
                <w:sz w:val="18"/>
              </w:rPr>
              <w:t>13.1</w:t>
            </w:r>
          </w:p>
        </w:tc>
        <w:tc>
          <w:tcPr>
            <w:tcW w:w="638" w:type="dxa"/>
            <w:tcBorders>
              <w:top w:val="nil"/>
              <w:left w:val="single" w:sz="4" w:space="0" w:color="auto"/>
              <w:bottom w:val="nil"/>
              <w:right w:val="single" w:sz="4" w:space="0" w:color="auto"/>
            </w:tcBorders>
            <w:vAlign w:val="bottom"/>
          </w:tcPr>
          <w:p w:rsidR="00000000" w:rsidRDefault="00000000">
            <w:pPr>
              <w:tabs>
                <w:tab w:val="decimal" w:pos="223"/>
              </w:tabs>
              <w:spacing w:after="0"/>
              <w:rPr>
                <w:rFonts w:eastAsia="Arial Unicode MS"/>
                <w:sz w:val="18"/>
              </w:rPr>
            </w:pPr>
            <w:r>
              <w:rPr>
                <w:sz w:val="18"/>
              </w:rPr>
              <w:t>17.0</w:t>
            </w:r>
          </w:p>
        </w:tc>
        <w:tc>
          <w:tcPr>
            <w:tcW w:w="646" w:type="dxa"/>
            <w:tcBorders>
              <w:top w:val="nil"/>
              <w:left w:val="single" w:sz="4" w:space="0" w:color="auto"/>
              <w:bottom w:val="nil"/>
              <w:right w:val="single" w:sz="4" w:space="0" w:color="auto"/>
            </w:tcBorders>
            <w:vAlign w:val="bottom"/>
          </w:tcPr>
          <w:p w:rsidR="00000000" w:rsidRDefault="00000000">
            <w:pPr>
              <w:tabs>
                <w:tab w:val="decimal" w:pos="261"/>
              </w:tabs>
              <w:spacing w:after="0"/>
              <w:rPr>
                <w:rFonts w:eastAsia="Arial Unicode MS"/>
                <w:sz w:val="18"/>
              </w:rPr>
            </w:pPr>
            <w:r>
              <w:rPr>
                <w:sz w:val="18"/>
              </w:rPr>
              <w:t>13.3</w:t>
            </w:r>
          </w:p>
        </w:tc>
        <w:tc>
          <w:tcPr>
            <w:tcW w:w="638" w:type="dxa"/>
            <w:tcBorders>
              <w:top w:val="nil"/>
              <w:left w:val="single" w:sz="4" w:space="0" w:color="auto"/>
              <w:bottom w:val="nil"/>
              <w:right w:val="single" w:sz="4" w:space="0" w:color="auto"/>
            </w:tcBorders>
            <w:vAlign w:val="bottom"/>
          </w:tcPr>
          <w:p w:rsidR="00000000" w:rsidRDefault="00000000">
            <w:pPr>
              <w:tabs>
                <w:tab w:val="decimal" w:pos="201"/>
              </w:tabs>
              <w:spacing w:after="0"/>
              <w:rPr>
                <w:rFonts w:eastAsia="Arial Unicode MS"/>
                <w:sz w:val="18"/>
              </w:rPr>
            </w:pPr>
            <w:r>
              <w:rPr>
                <w:sz w:val="18"/>
              </w:rPr>
              <w:t>10.7</w:t>
            </w:r>
          </w:p>
        </w:tc>
        <w:tc>
          <w:tcPr>
            <w:tcW w:w="638" w:type="dxa"/>
            <w:tcBorders>
              <w:top w:val="nil"/>
              <w:left w:val="single" w:sz="4" w:space="0" w:color="auto"/>
              <w:bottom w:val="nil"/>
              <w:right w:val="single" w:sz="4" w:space="0" w:color="auto"/>
            </w:tcBorders>
            <w:vAlign w:val="bottom"/>
          </w:tcPr>
          <w:p w:rsidR="00000000" w:rsidRDefault="00000000">
            <w:pPr>
              <w:tabs>
                <w:tab w:val="decimal" w:pos="177"/>
              </w:tabs>
              <w:spacing w:after="0"/>
              <w:ind w:right="-1"/>
              <w:rPr>
                <w:rFonts w:eastAsia="Arial Unicode MS"/>
                <w:sz w:val="18"/>
              </w:rPr>
            </w:pPr>
            <w:r>
              <w:rPr>
                <w:sz w:val="18"/>
              </w:rPr>
              <w:t>12.4</w:t>
            </w:r>
          </w:p>
        </w:tc>
      </w:tr>
      <w:tr w:rsidR="00000000">
        <w:tc>
          <w:tcPr>
            <w:tcW w:w="1726"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Family head age </w:t>
            </w:r>
          </w:p>
        </w:tc>
        <w:tc>
          <w:tcPr>
            <w:tcW w:w="637" w:type="dxa"/>
            <w:tcBorders>
              <w:top w:val="nil"/>
              <w:left w:val="single" w:sz="4" w:space="0" w:color="auto"/>
              <w:bottom w:val="nil"/>
              <w:right w:val="single" w:sz="4" w:space="0" w:color="auto"/>
            </w:tcBorders>
            <w:vAlign w:val="bottom"/>
          </w:tcPr>
          <w:p w:rsidR="00000000" w:rsidRDefault="00000000">
            <w:pPr>
              <w:tabs>
                <w:tab w:val="decimal" w:pos="242"/>
              </w:tabs>
              <w:spacing w:after="0"/>
              <w:rPr>
                <w:sz w:val="18"/>
              </w:rPr>
            </w:pPr>
            <w:r>
              <w:rPr>
                <w:sz w:val="18"/>
              </w:rPr>
              <w:t>49.1</w:t>
            </w:r>
          </w:p>
        </w:tc>
        <w:tc>
          <w:tcPr>
            <w:tcW w:w="638" w:type="dxa"/>
            <w:tcBorders>
              <w:top w:val="nil"/>
              <w:left w:val="single" w:sz="4" w:space="0" w:color="auto"/>
              <w:bottom w:val="nil"/>
              <w:right w:val="single" w:sz="4" w:space="0" w:color="auto"/>
            </w:tcBorders>
            <w:vAlign w:val="bottom"/>
          </w:tcPr>
          <w:p w:rsidR="00000000" w:rsidRDefault="00000000">
            <w:pPr>
              <w:tabs>
                <w:tab w:val="decimal" w:pos="205"/>
              </w:tabs>
              <w:spacing w:after="0"/>
              <w:rPr>
                <w:sz w:val="18"/>
              </w:rPr>
            </w:pPr>
            <w:r>
              <w:rPr>
                <w:sz w:val="18"/>
              </w:rPr>
              <w:t>49.0</w:t>
            </w:r>
          </w:p>
        </w:tc>
        <w:tc>
          <w:tcPr>
            <w:tcW w:w="638" w:type="dxa"/>
            <w:tcBorders>
              <w:top w:val="nil"/>
              <w:left w:val="single" w:sz="4" w:space="0" w:color="auto"/>
              <w:bottom w:val="nil"/>
              <w:right w:val="single" w:sz="4" w:space="0" w:color="auto"/>
            </w:tcBorders>
            <w:vAlign w:val="bottom"/>
          </w:tcPr>
          <w:p w:rsidR="00000000" w:rsidRDefault="00000000">
            <w:pPr>
              <w:tabs>
                <w:tab w:val="decimal" w:pos="197"/>
              </w:tabs>
              <w:spacing w:after="0"/>
              <w:rPr>
                <w:sz w:val="18"/>
              </w:rPr>
            </w:pPr>
            <w:r>
              <w:rPr>
                <w:sz w:val="18"/>
              </w:rPr>
              <w:t>47.8</w:t>
            </w:r>
          </w:p>
        </w:tc>
        <w:tc>
          <w:tcPr>
            <w:tcW w:w="638" w:type="dxa"/>
            <w:tcBorders>
              <w:top w:val="nil"/>
              <w:left w:val="single" w:sz="4" w:space="0" w:color="auto"/>
              <w:bottom w:val="nil"/>
              <w:right w:val="single" w:sz="4" w:space="0" w:color="auto"/>
            </w:tcBorders>
            <w:vAlign w:val="bottom"/>
          </w:tcPr>
          <w:p w:rsidR="00000000" w:rsidRDefault="00000000">
            <w:pPr>
              <w:tabs>
                <w:tab w:val="decimal" w:pos="249"/>
              </w:tabs>
              <w:spacing w:after="0"/>
              <w:ind w:left="-19" w:right="-26"/>
              <w:rPr>
                <w:sz w:val="18"/>
              </w:rPr>
            </w:pPr>
            <w:r>
              <w:rPr>
                <w:sz w:val="18"/>
              </w:rPr>
              <w:t>48.2</w:t>
            </w:r>
          </w:p>
        </w:tc>
        <w:tc>
          <w:tcPr>
            <w:tcW w:w="638" w:type="dxa"/>
            <w:tcBorders>
              <w:top w:val="nil"/>
              <w:left w:val="single" w:sz="4" w:space="0" w:color="auto"/>
              <w:bottom w:val="nil"/>
              <w:right w:val="single" w:sz="4" w:space="0" w:color="auto"/>
            </w:tcBorders>
            <w:vAlign w:val="bottom"/>
          </w:tcPr>
          <w:p w:rsidR="00000000" w:rsidRDefault="00000000">
            <w:pPr>
              <w:tabs>
                <w:tab w:val="decimal" w:pos="235"/>
              </w:tabs>
              <w:spacing w:after="0"/>
              <w:rPr>
                <w:sz w:val="18"/>
              </w:rPr>
            </w:pPr>
            <w:r>
              <w:rPr>
                <w:sz w:val="18"/>
              </w:rPr>
              <w:t>53.4</w:t>
            </w:r>
          </w:p>
        </w:tc>
        <w:tc>
          <w:tcPr>
            <w:tcW w:w="638" w:type="dxa"/>
            <w:tcBorders>
              <w:top w:val="nil"/>
              <w:left w:val="single" w:sz="4" w:space="0" w:color="auto"/>
              <w:bottom w:val="nil"/>
              <w:right w:val="single" w:sz="4" w:space="0" w:color="auto"/>
            </w:tcBorders>
            <w:vAlign w:val="bottom"/>
          </w:tcPr>
          <w:p w:rsidR="00000000" w:rsidRDefault="00000000">
            <w:pPr>
              <w:tabs>
                <w:tab w:val="decimal" w:pos="258"/>
              </w:tabs>
              <w:spacing w:after="0"/>
              <w:rPr>
                <w:sz w:val="18"/>
              </w:rPr>
            </w:pPr>
            <w:r>
              <w:rPr>
                <w:sz w:val="18"/>
              </w:rPr>
              <w:t>51.7</w:t>
            </w:r>
          </w:p>
        </w:tc>
        <w:tc>
          <w:tcPr>
            <w:tcW w:w="638" w:type="dxa"/>
            <w:tcBorders>
              <w:top w:val="nil"/>
              <w:left w:val="single" w:sz="4" w:space="0" w:color="auto"/>
              <w:bottom w:val="nil"/>
              <w:right w:val="single" w:sz="4" w:space="0" w:color="auto"/>
            </w:tcBorders>
            <w:vAlign w:val="bottom"/>
          </w:tcPr>
          <w:p w:rsidR="00000000" w:rsidRDefault="00000000">
            <w:pPr>
              <w:tabs>
                <w:tab w:val="decimal" w:pos="255"/>
              </w:tabs>
              <w:spacing w:after="0"/>
              <w:rPr>
                <w:sz w:val="18"/>
              </w:rPr>
            </w:pPr>
            <w:r>
              <w:rPr>
                <w:sz w:val="18"/>
              </w:rPr>
              <w:t>51.4</w:t>
            </w:r>
          </w:p>
        </w:tc>
        <w:tc>
          <w:tcPr>
            <w:tcW w:w="638" w:type="dxa"/>
            <w:tcBorders>
              <w:top w:val="nil"/>
              <w:left w:val="single" w:sz="4" w:space="0" w:color="auto"/>
              <w:bottom w:val="nil"/>
              <w:right w:val="single" w:sz="4" w:space="0" w:color="auto"/>
            </w:tcBorders>
            <w:vAlign w:val="bottom"/>
          </w:tcPr>
          <w:p w:rsidR="00000000" w:rsidRDefault="00000000">
            <w:pPr>
              <w:tabs>
                <w:tab w:val="decimal" w:pos="217"/>
              </w:tabs>
              <w:spacing w:after="0"/>
              <w:ind w:right="-13"/>
              <w:rPr>
                <w:sz w:val="18"/>
              </w:rPr>
            </w:pPr>
            <w:r>
              <w:rPr>
                <w:sz w:val="18"/>
              </w:rPr>
              <w:t>51.8</w:t>
            </w:r>
          </w:p>
        </w:tc>
        <w:tc>
          <w:tcPr>
            <w:tcW w:w="638" w:type="dxa"/>
            <w:tcBorders>
              <w:top w:val="nil"/>
              <w:left w:val="single" w:sz="4" w:space="0" w:color="auto"/>
              <w:bottom w:val="nil"/>
              <w:right w:val="single" w:sz="4" w:space="0" w:color="auto"/>
            </w:tcBorders>
            <w:vAlign w:val="bottom"/>
          </w:tcPr>
          <w:p w:rsidR="00000000" w:rsidRDefault="00000000">
            <w:pPr>
              <w:tabs>
                <w:tab w:val="decimal" w:pos="223"/>
              </w:tabs>
              <w:spacing w:after="0"/>
              <w:rPr>
                <w:sz w:val="18"/>
              </w:rPr>
            </w:pPr>
            <w:r>
              <w:rPr>
                <w:sz w:val="18"/>
              </w:rPr>
              <w:t>52.8</w:t>
            </w:r>
          </w:p>
        </w:tc>
        <w:tc>
          <w:tcPr>
            <w:tcW w:w="646" w:type="dxa"/>
            <w:tcBorders>
              <w:top w:val="nil"/>
              <w:left w:val="single" w:sz="4" w:space="0" w:color="auto"/>
              <w:bottom w:val="nil"/>
              <w:right w:val="single" w:sz="4" w:space="0" w:color="auto"/>
            </w:tcBorders>
            <w:vAlign w:val="bottom"/>
          </w:tcPr>
          <w:p w:rsidR="00000000" w:rsidRDefault="00000000">
            <w:pPr>
              <w:tabs>
                <w:tab w:val="decimal" w:pos="261"/>
              </w:tabs>
              <w:spacing w:after="0"/>
              <w:rPr>
                <w:sz w:val="18"/>
              </w:rPr>
            </w:pPr>
            <w:r>
              <w:rPr>
                <w:sz w:val="18"/>
              </w:rPr>
              <w:t>51.3</w:t>
            </w:r>
          </w:p>
        </w:tc>
        <w:tc>
          <w:tcPr>
            <w:tcW w:w="638" w:type="dxa"/>
            <w:tcBorders>
              <w:top w:val="nil"/>
              <w:left w:val="single" w:sz="4" w:space="0" w:color="auto"/>
              <w:bottom w:val="nil"/>
              <w:right w:val="single" w:sz="4" w:space="0" w:color="auto"/>
            </w:tcBorders>
            <w:vAlign w:val="bottom"/>
          </w:tcPr>
          <w:p w:rsidR="00000000" w:rsidRDefault="00000000">
            <w:pPr>
              <w:tabs>
                <w:tab w:val="decimal" w:pos="201"/>
              </w:tabs>
              <w:spacing w:after="0"/>
              <w:rPr>
                <w:sz w:val="18"/>
              </w:rPr>
            </w:pPr>
            <w:r>
              <w:rPr>
                <w:sz w:val="18"/>
              </w:rPr>
              <w:t>50.1</w:t>
            </w:r>
          </w:p>
        </w:tc>
        <w:tc>
          <w:tcPr>
            <w:tcW w:w="638" w:type="dxa"/>
            <w:tcBorders>
              <w:top w:val="nil"/>
              <w:left w:val="single" w:sz="4" w:space="0" w:color="auto"/>
              <w:bottom w:val="nil"/>
              <w:right w:val="single" w:sz="4" w:space="0" w:color="auto"/>
            </w:tcBorders>
            <w:vAlign w:val="bottom"/>
          </w:tcPr>
          <w:p w:rsidR="00000000" w:rsidRDefault="00000000">
            <w:pPr>
              <w:tabs>
                <w:tab w:val="decimal" w:pos="177"/>
              </w:tabs>
              <w:spacing w:after="0"/>
              <w:ind w:right="-1"/>
              <w:rPr>
                <w:sz w:val="18"/>
              </w:rPr>
            </w:pPr>
            <w:r>
              <w:rPr>
                <w:sz w:val="18"/>
              </w:rPr>
              <w:t>51.1</w:t>
            </w:r>
          </w:p>
        </w:tc>
      </w:tr>
      <w:tr w:rsidR="00000000">
        <w:tc>
          <w:tcPr>
            <w:tcW w:w="1726"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Education years of </w:t>
            </w:r>
            <w:r>
              <w:rPr>
                <w:sz w:val="18"/>
              </w:rPr>
              <w:br/>
              <w:t xml:space="preserve">  the family head </w:t>
            </w:r>
          </w:p>
        </w:tc>
        <w:tc>
          <w:tcPr>
            <w:tcW w:w="637" w:type="dxa"/>
            <w:tcBorders>
              <w:top w:val="nil"/>
              <w:left w:val="single" w:sz="4" w:space="0" w:color="auto"/>
              <w:bottom w:val="nil"/>
              <w:right w:val="single" w:sz="4" w:space="0" w:color="auto"/>
            </w:tcBorders>
            <w:vAlign w:val="bottom"/>
          </w:tcPr>
          <w:p w:rsidR="00000000" w:rsidRDefault="00000000">
            <w:pPr>
              <w:tabs>
                <w:tab w:val="decimal" w:pos="242"/>
              </w:tabs>
              <w:spacing w:after="0"/>
              <w:rPr>
                <w:sz w:val="18"/>
              </w:rPr>
            </w:pPr>
            <w:r>
              <w:rPr>
                <w:sz w:val="18"/>
              </w:rPr>
              <w:t>6.8</w:t>
            </w:r>
          </w:p>
        </w:tc>
        <w:tc>
          <w:tcPr>
            <w:tcW w:w="638" w:type="dxa"/>
            <w:tcBorders>
              <w:top w:val="nil"/>
              <w:left w:val="single" w:sz="4" w:space="0" w:color="auto"/>
              <w:bottom w:val="nil"/>
              <w:right w:val="single" w:sz="4" w:space="0" w:color="auto"/>
            </w:tcBorders>
            <w:vAlign w:val="bottom"/>
          </w:tcPr>
          <w:p w:rsidR="00000000" w:rsidRDefault="00000000">
            <w:pPr>
              <w:tabs>
                <w:tab w:val="decimal" w:pos="205"/>
              </w:tabs>
              <w:spacing w:after="0"/>
              <w:rPr>
                <w:sz w:val="18"/>
              </w:rPr>
            </w:pPr>
            <w:r>
              <w:rPr>
                <w:sz w:val="18"/>
              </w:rPr>
              <w:t>6.7</w:t>
            </w:r>
          </w:p>
        </w:tc>
        <w:tc>
          <w:tcPr>
            <w:tcW w:w="638" w:type="dxa"/>
            <w:tcBorders>
              <w:top w:val="nil"/>
              <w:left w:val="single" w:sz="4" w:space="0" w:color="auto"/>
              <w:bottom w:val="nil"/>
              <w:right w:val="single" w:sz="4" w:space="0" w:color="auto"/>
            </w:tcBorders>
            <w:vAlign w:val="bottom"/>
          </w:tcPr>
          <w:p w:rsidR="00000000" w:rsidRDefault="00000000">
            <w:pPr>
              <w:tabs>
                <w:tab w:val="decimal" w:pos="197"/>
              </w:tabs>
              <w:spacing w:after="0"/>
              <w:rPr>
                <w:sz w:val="18"/>
              </w:rPr>
            </w:pPr>
            <w:r>
              <w:rPr>
                <w:sz w:val="18"/>
              </w:rPr>
              <w:t>6.0</w:t>
            </w:r>
          </w:p>
        </w:tc>
        <w:tc>
          <w:tcPr>
            <w:tcW w:w="638" w:type="dxa"/>
            <w:tcBorders>
              <w:top w:val="nil"/>
              <w:left w:val="single" w:sz="4" w:space="0" w:color="auto"/>
              <w:bottom w:val="nil"/>
              <w:right w:val="single" w:sz="4" w:space="0" w:color="auto"/>
            </w:tcBorders>
            <w:vAlign w:val="bottom"/>
          </w:tcPr>
          <w:p w:rsidR="00000000" w:rsidRDefault="00000000">
            <w:pPr>
              <w:tabs>
                <w:tab w:val="decimal" w:pos="249"/>
              </w:tabs>
              <w:spacing w:after="0"/>
              <w:ind w:left="-19" w:right="-26"/>
              <w:rPr>
                <w:sz w:val="18"/>
              </w:rPr>
            </w:pPr>
            <w:r>
              <w:rPr>
                <w:sz w:val="18"/>
              </w:rPr>
              <w:t>6.2</w:t>
            </w:r>
          </w:p>
        </w:tc>
        <w:tc>
          <w:tcPr>
            <w:tcW w:w="638" w:type="dxa"/>
            <w:tcBorders>
              <w:top w:val="nil"/>
              <w:left w:val="single" w:sz="4" w:space="0" w:color="auto"/>
              <w:bottom w:val="nil"/>
              <w:right w:val="single" w:sz="4" w:space="0" w:color="auto"/>
            </w:tcBorders>
            <w:vAlign w:val="bottom"/>
          </w:tcPr>
          <w:p w:rsidR="00000000" w:rsidRDefault="00000000">
            <w:pPr>
              <w:tabs>
                <w:tab w:val="decimal" w:pos="235"/>
              </w:tabs>
              <w:spacing w:after="0"/>
              <w:rPr>
                <w:sz w:val="18"/>
              </w:rPr>
            </w:pPr>
            <w:r>
              <w:rPr>
                <w:sz w:val="18"/>
              </w:rPr>
              <w:t>10.1</w:t>
            </w:r>
          </w:p>
        </w:tc>
        <w:tc>
          <w:tcPr>
            <w:tcW w:w="638" w:type="dxa"/>
            <w:tcBorders>
              <w:top w:val="nil"/>
              <w:left w:val="single" w:sz="4" w:space="0" w:color="auto"/>
              <w:bottom w:val="nil"/>
              <w:right w:val="single" w:sz="4" w:space="0" w:color="auto"/>
            </w:tcBorders>
            <w:vAlign w:val="bottom"/>
          </w:tcPr>
          <w:p w:rsidR="00000000" w:rsidRDefault="00000000">
            <w:pPr>
              <w:tabs>
                <w:tab w:val="decimal" w:pos="258"/>
              </w:tabs>
              <w:spacing w:after="0"/>
              <w:rPr>
                <w:sz w:val="18"/>
              </w:rPr>
            </w:pPr>
            <w:r>
              <w:rPr>
                <w:sz w:val="18"/>
              </w:rPr>
              <w:t>8.6</w:t>
            </w:r>
          </w:p>
        </w:tc>
        <w:tc>
          <w:tcPr>
            <w:tcW w:w="638" w:type="dxa"/>
            <w:tcBorders>
              <w:top w:val="nil"/>
              <w:left w:val="single" w:sz="4" w:space="0" w:color="auto"/>
              <w:bottom w:val="nil"/>
              <w:right w:val="single" w:sz="4" w:space="0" w:color="auto"/>
            </w:tcBorders>
            <w:vAlign w:val="bottom"/>
          </w:tcPr>
          <w:p w:rsidR="00000000" w:rsidRDefault="00000000">
            <w:pPr>
              <w:tabs>
                <w:tab w:val="decimal" w:pos="255"/>
              </w:tabs>
              <w:spacing w:after="0"/>
              <w:rPr>
                <w:sz w:val="18"/>
              </w:rPr>
            </w:pPr>
            <w:r>
              <w:rPr>
                <w:sz w:val="18"/>
              </w:rPr>
              <w:t>6.9</w:t>
            </w:r>
          </w:p>
        </w:tc>
        <w:tc>
          <w:tcPr>
            <w:tcW w:w="638" w:type="dxa"/>
            <w:tcBorders>
              <w:top w:val="nil"/>
              <w:left w:val="single" w:sz="4" w:space="0" w:color="auto"/>
              <w:bottom w:val="nil"/>
              <w:right w:val="single" w:sz="4" w:space="0" w:color="auto"/>
            </w:tcBorders>
            <w:vAlign w:val="bottom"/>
          </w:tcPr>
          <w:p w:rsidR="00000000" w:rsidRDefault="00000000">
            <w:pPr>
              <w:tabs>
                <w:tab w:val="decimal" w:pos="217"/>
              </w:tabs>
              <w:spacing w:after="0"/>
              <w:ind w:right="-13"/>
              <w:rPr>
                <w:sz w:val="18"/>
              </w:rPr>
            </w:pPr>
            <w:r>
              <w:rPr>
                <w:sz w:val="18"/>
              </w:rPr>
              <w:t>7.9</w:t>
            </w:r>
          </w:p>
        </w:tc>
        <w:tc>
          <w:tcPr>
            <w:tcW w:w="638" w:type="dxa"/>
            <w:tcBorders>
              <w:top w:val="nil"/>
              <w:left w:val="single" w:sz="4" w:space="0" w:color="auto"/>
              <w:bottom w:val="nil"/>
              <w:right w:val="single" w:sz="4" w:space="0" w:color="auto"/>
            </w:tcBorders>
            <w:vAlign w:val="bottom"/>
          </w:tcPr>
          <w:p w:rsidR="00000000" w:rsidRDefault="00000000">
            <w:pPr>
              <w:tabs>
                <w:tab w:val="decimal" w:pos="223"/>
              </w:tabs>
              <w:spacing w:after="0"/>
              <w:rPr>
                <w:sz w:val="18"/>
              </w:rPr>
            </w:pPr>
            <w:r>
              <w:rPr>
                <w:sz w:val="18"/>
              </w:rPr>
              <w:t>9.5</w:t>
            </w:r>
          </w:p>
        </w:tc>
        <w:tc>
          <w:tcPr>
            <w:tcW w:w="646" w:type="dxa"/>
            <w:tcBorders>
              <w:top w:val="nil"/>
              <w:left w:val="single" w:sz="4" w:space="0" w:color="auto"/>
              <w:bottom w:val="nil"/>
              <w:right w:val="single" w:sz="4" w:space="0" w:color="auto"/>
            </w:tcBorders>
            <w:vAlign w:val="bottom"/>
          </w:tcPr>
          <w:p w:rsidR="00000000" w:rsidRDefault="00000000">
            <w:pPr>
              <w:tabs>
                <w:tab w:val="decimal" w:pos="261"/>
              </w:tabs>
              <w:spacing w:after="0"/>
              <w:rPr>
                <w:sz w:val="18"/>
              </w:rPr>
            </w:pPr>
            <w:r>
              <w:rPr>
                <w:sz w:val="18"/>
              </w:rPr>
              <w:t>8.3</w:t>
            </w:r>
          </w:p>
        </w:tc>
        <w:tc>
          <w:tcPr>
            <w:tcW w:w="638" w:type="dxa"/>
            <w:tcBorders>
              <w:top w:val="nil"/>
              <w:left w:val="single" w:sz="4" w:space="0" w:color="auto"/>
              <w:bottom w:val="nil"/>
              <w:right w:val="single" w:sz="4" w:space="0" w:color="auto"/>
            </w:tcBorders>
            <w:vAlign w:val="bottom"/>
          </w:tcPr>
          <w:p w:rsidR="00000000" w:rsidRDefault="00000000">
            <w:pPr>
              <w:tabs>
                <w:tab w:val="decimal" w:pos="201"/>
              </w:tabs>
              <w:spacing w:after="0"/>
              <w:rPr>
                <w:sz w:val="18"/>
              </w:rPr>
            </w:pPr>
            <w:r>
              <w:rPr>
                <w:sz w:val="18"/>
              </w:rPr>
              <w:t>6.6</w:t>
            </w:r>
          </w:p>
        </w:tc>
        <w:tc>
          <w:tcPr>
            <w:tcW w:w="638" w:type="dxa"/>
            <w:tcBorders>
              <w:top w:val="nil"/>
              <w:left w:val="single" w:sz="4" w:space="0" w:color="auto"/>
              <w:bottom w:val="nil"/>
              <w:right w:val="single" w:sz="4" w:space="0" w:color="auto"/>
            </w:tcBorders>
            <w:vAlign w:val="bottom"/>
          </w:tcPr>
          <w:p w:rsidR="00000000" w:rsidRDefault="00000000">
            <w:pPr>
              <w:tabs>
                <w:tab w:val="decimal" w:pos="177"/>
              </w:tabs>
              <w:spacing w:after="0"/>
              <w:ind w:right="-1"/>
              <w:rPr>
                <w:sz w:val="18"/>
              </w:rPr>
            </w:pPr>
            <w:r>
              <w:rPr>
                <w:sz w:val="18"/>
              </w:rPr>
              <w:t>7.4</w:t>
            </w:r>
          </w:p>
        </w:tc>
      </w:tr>
      <w:tr w:rsidR="00000000">
        <w:tc>
          <w:tcPr>
            <w:tcW w:w="1726" w:type="dxa"/>
            <w:tcBorders>
              <w:top w:val="nil"/>
              <w:left w:val="single" w:sz="4" w:space="0" w:color="auto"/>
              <w:bottom w:val="single" w:sz="4" w:space="0" w:color="auto"/>
              <w:right w:val="single" w:sz="4" w:space="0" w:color="auto"/>
            </w:tcBorders>
          </w:tcPr>
          <w:p w:rsidR="00000000" w:rsidRDefault="00000000">
            <w:pPr>
              <w:spacing w:after="0"/>
              <w:rPr>
                <w:sz w:val="18"/>
              </w:rPr>
            </w:pPr>
            <w:r>
              <w:rPr>
                <w:sz w:val="18"/>
              </w:rPr>
              <w:t xml:space="preserve">Average number </w:t>
            </w:r>
            <w:r>
              <w:rPr>
                <w:sz w:val="18"/>
              </w:rPr>
              <w:br/>
              <w:t xml:space="preserve">  of employed </w:t>
            </w:r>
            <w:r>
              <w:rPr>
                <w:sz w:val="18"/>
              </w:rPr>
              <w:br/>
              <w:t xml:space="preserve">  in the family </w:t>
            </w:r>
          </w:p>
        </w:tc>
        <w:tc>
          <w:tcPr>
            <w:tcW w:w="637" w:type="dxa"/>
            <w:tcBorders>
              <w:top w:val="nil"/>
              <w:left w:val="single" w:sz="4" w:space="0" w:color="auto"/>
              <w:bottom w:val="single" w:sz="4" w:space="0" w:color="auto"/>
              <w:right w:val="single" w:sz="4" w:space="0" w:color="auto"/>
            </w:tcBorders>
            <w:vAlign w:val="bottom"/>
          </w:tcPr>
          <w:p w:rsidR="00000000" w:rsidRDefault="00000000">
            <w:pPr>
              <w:tabs>
                <w:tab w:val="decimal" w:pos="242"/>
              </w:tabs>
              <w:spacing w:after="0"/>
              <w:rPr>
                <w:sz w:val="18"/>
              </w:rPr>
            </w:pPr>
            <w:r>
              <w:rPr>
                <w:sz w:val="18"/>
              </w:rPr>
              <w:t>1.0</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05"/>
              </w:tabs>
              <w:spacing w:after="0"/>
              <w:rPr>
                <w:sz w:val="18"/>
              </w:rPr>
            </w:pPr>
            <w:r>
              <w:rPr>
                <w:sz w:val="18"/>
              </w:rPr>
              <w:t>1.0</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197"/>
              </w:tabs>
              <w:spacing w:after="0"/>
              <w:rPr>
                <w:sz w:val="18"/>
              </w:rPr>
            </w:pPr>
            <w:r>
              <w:rPr>
                <w:sz w:val="18"/>
              </w:rPr>
              <w:t>2.3</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49"/>
              </w:tabs>
              <w:spacing w:after="0"/>
              <w:ind w:left="-19" w:right="-26"/>
              <w:rPr>
                <w:sz w:val="18"/>
              </w:rPr>
            </w:pPr>
            <w:r>
              <w:rPr>
                <w:sz w:val="18"/>
              </w:rPr>
              <w:t>1.9</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35"/>
              </w:tabs>
              <w:spacing w:after="0"/>
              <w:rPr>
                <w:rFonts w:eastAsia="Arial Unicode MS"/>
                <w:sz w:val="18"/>
              </w:rPr>
            </w:pPr>
            <w:r>
              <w:rPr>
                <w:sz w:val="18"/>
              </w:rPr>
              <w:t>1.1</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58"/>
              </w:tabs>
              <w:spacing w:after="0"/>
              <w:rPr>
                <w:rFonts w:eastAsia="Arial Unicode MS"/>
                <w:sz w:val="18"/>
              </w:rPr>
            </w:pPr>
            <w:r>
              <w:rPr>
                <w:sz w:val="18"/>
              </w:rPr>
              <w:t>1.1</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55"/>
              </w:tabs>
              <w:spacing w:after="0"/>
              <w:rPr>
                <w:rFonts w:eastAsia="Arial Unicode MS"/>
                <w:sz w:val="18"/>
              </w:rPr>
            </w:pPr>
            <w:r>
              <w:rPr>
                <w:sz w:val="18"/>
              </w:rPr>
              <w:t>2.0</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17"/>
              </w:tabs>
              <w:spacing w:after="0"/>
              <w:ind w:right="-13"/>
              <w:rPr>
                <w:rFonts w:eastAsia="Arial Unicode MS"/>
                <w:sz w:val="18"/>
              </w:rPr>
            </w:pPr>
            <w:r>
              <w:rPr>
                <w:sz w:val="18"/>
              </w:rPr>
              <w:t>1.6</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23"/>
              </w:tabs>
              <w:spacing w:after="0"/>
              <w:rPr>
                <w:rFonts w:eastAsia="Arial Unicode MS"/>
                <w:sz w:val="18"/>
              </w:rPr>
            </w:pPr>
            <w:r>
              <w:rPr>
                <w:sz w:val="18"/>
              </w:rPr>
              <w:t>1.1</w:t>
            </w:r>
          </w:p>
        </w:tc>
        <w:tc>
          <w:tcPr>
            <w:tcW w:w="646" w:type="dxa"/>
            <w:tcBorders>
              <w:top w:val="nil"/>
              <w:left w:val="single" w:sz="4" w:space="0" w:color="auto"/>
              <w:bottom w:val="single" w:sz="4" w:space="0" w:color="auto"/>
              <w:right w:val="single" w:sz="4" w:space="0" w:color="auto"/>
            </w:tcBorders>
            <w:vAlign w:val="bottom"/>
          </w:tcPr>
          <w:p w:rsidR="00000000" w:rsidRDefault="00000000">
            <w:pPr>
              <w:tabs>
                <w:tab w:val="decimal" w:pos="261"/>
              </w:tabs>
              <w:spacing w:after="0"/>
              <w:rPr>
                <w:rFonts w:eastAsia="Arial Unicode MS"/>
                <w:sz w:val="18"/>
              </w:rPr>
            </w:pPr>
            <w:r>
              <w:rPr>
                <w:sz w:val="18"/>
              </w:rPr>
              <w:t>1.1</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201"/>
              </w:tabs>
              <w:spacing w:after="0"/>
              <w:rPr>
                <w:rFonts w:eastAsia="Arial Unicode MS"/>
                <w:sz w:val="18"/>
              </w:rPr>
            </w:pPr>
            <w:r>
              <w:rPr>
                <w:sz w:val="18"/>
              </w:rPr>
              <w:t>2.1</w:t>
            </w:r>
          </w:p>
        </w:tc>
        <w:tc>
          <w:tcPr>
            <w:tcW w:w="638" w:type="dxa"/>
            <w:tcBorders>
              <w:top w:val="nil"/>
              <w:left w:val="single" w:sz="4" w:space="0" w:color="auto"/>
              <w:bottom w:val="single" w:sz="4" w:space="0" w:color="auto"/>
              <w:right w:val="single" w:sz="4" w:space="0" w:color="auto"/>
            </w:tcBorders>
            <w:vAlign w:val="bottom"/>
          </w:tcPr>
          <w:p w:rsidR="00000000" w:rsidRDefault="00000000">
            <w:pPr>
              <w:tabs>
                <w:tab w:val="decimal" w:pos="177"/>
              </w:tabs>
              <w:spacing w:after="0"/>
              <w:ind w:right="-1"/>
              <w:rPr>
                <w:rFonts w:eastAsia="Arial Unicode MS"/>
                <w:sz w:val="18"/>
              </w:rPr>
            </w:pPr>
            <w:r>
              <w:rPr>
                <w:sz w:val="18"/>
              </w:rPr>
              <w:t>1.6</w:t>
            </w:r>
          </w:p>
        </w:tc>
      </w:tr>
    </w:tbl>
    <w:p w:rsidR="00000000" w:rsidRDefault="00000000">
      <w:pPr>
        <w:pStyle w:val="Heading2"/>
      </w:pPr>
      <w:r>
        <w:t>Table 35</w:t>
      </w:r>
    </w:p>
    <w:p w:rsidR="00000000" w:rsidRDefault="00000000">
      <w:pPr>
        <w:pStyle w:val="Heading2"/>
      </w:pPr>
      <w:r>
        <w:t>Ownership and size of agricultural land</w:t>
      </w:r>
    </w:p>
    <w:tbl>
      <w:tblPr>
        <w:tblW w:w="9390" w:type="dxa"/>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19"/>
        <w:gridCol w:w="819"/>
        <w:gridCol w:w="819"/>
        <w:gridCol w:w="819"/>
        <w:gridCol w:w="819"/>
        <w:gridCol w:w="819"/>
        <w:gridCol w:w="819"/>
        <w:gridCol w:w="819"/>
        <w:gridCol w:w="819"/>
        <w:gridCol w:w="819"/>
      </w:tblGrid>
      <w:tr w:rsidR="00000000">
        <w:trPr>
          <w:cantSplit/>
          <w:jc w:val="center"/>
        </w:trPr>
        <w:tc>
          <w:tcPr>
            <w:tcW w:w="2019" w:type="dxa"/>
            <w:vMerge w:val="restart"/>
            <w:tcBorders>
              <w:top w:val="single" w:sz="4" w:space="0" w:color="auto"/>
              <w:left w:val="single" w:sz="4" w:space="0" w:color="auto"/>
              <w:right w:val="single" w:sz="4" w:space="0" w:color="auto"/>
            </w:tcBorders>
          </w:tcPr>
          <w:p w:rsidR="00000000" w:rsidRDefault="00000000">
            <w:pPr>
              <w:spacing w:after="0"/>
              <w:jc w:val="both"/>
              <w:rPr>
                <w:sz w:val="20"/>
                <w:szCs w:val="18"/>
              </w:rPr>
            </w:pPr>
          </w:p>
        </w:tc>
        <w:tc>
          <w:tcPr>
            <w:tcW w:w="245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Rural</w:t>
            </w:r>
          </w:p>
        </w:tc>
        <w:tc>
          <w:tcPr>
            <w:tcW w:w="245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Urban</w:t>
            </w:r>
          </w:p>
        </w:tc>
        <w:tc>
          <w:tcPr>
            <w:tcW w:w="245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Total</w:t>
            </w:r>
          </w:p>
        </w:tc>
      </w:tr>
      <w:tr w:rsidR="00000000">
        <w:trPr>
          <w:cantSplit/>
          <w:jc w:val="center"/>
        </w:trPr>
        <w:tc>
          <w:tcPr>
            <w:tcW w:w="2019" w:type="dxa"/>
            <w:vMerge/>
            <w:tcBorders>
              <w:left w:val="single" w:sz="4" w:space="0" w:color="auto"/>
              <w:bottom w:val="single" w:sz="4" w:space="0" w:color="auto"/>
              <w:right w:val="single" w:sz="4" w:space="0" w:color="auto"/>
            </w:tcBorders>
          </w:tcPr>
          <w:p w:rsidR="00000000" w:rsidRDefault="00000000">
            <w:pPr>
              <w:spacing w:after="0"/>
              <w:jc w:val="both"/>
              <w:rPr>
                <w:sz w:val="20"/>
                <w:szCs w:val="18"/>
              </w:rPr>
            </w:pP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Not poor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Poor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Total</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Not poor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Poor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Total</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Not poor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Poor</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8"/>
              </w:rPr>
            </w:pPr>
            <w:r>
              <w:rPr>
                <w:sz w:val="20"/>
                <w:szCs w:val="18"/>
              </w:rPr>
              <w:t>Total</w:t>
            </w:r>
          </w:p>
        </w:tc>
      </w:tr>
      <w:tr w:rsidR="00000000">
        <w:trPr>
          <w:jc w:val="center"/>
        </w:trPr>
        <w:tc>
          <w:tcPr>
            <w:tcW w:w="20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clear" w:pos="4320"/>
                <w:tab w:val="clear" w:pos="8640"/>
              </w:tabs>
              <w:spacing w:after="0"/>
              <w:rPr>
                <w:sz w:val="20"/>
                <w:szCs w:val="18"/>
              </w:rPr>
            </w:pPr>
            <w:r>
              <w:rPr>
                <w:sz w:val="20"/>
                <w:szCs w:val="18"/>
              </w:rPr>
              <w:t xml:space="preserve">Percentage of families </w:t>
            </w:r>
            <w:r>
              <w:rPr>
                <w:sz w:val="20"/>
                <w:szCs w:val="18"/>
              </w:rPr>
              <w:br/>
              <w:t xml:space="preserve">  owning agricultural </w:t>
            </w:r>
            <w:r>
              <w:rPr>
                <w:sz w:val="20"/>
                <w:szCs w:val="18"/>
              </w:rPr>
              <w:br/>
              <w:t xml:space="preserve">  land</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87.5</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91.0</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88.3</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7.8</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5.9</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7.6</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48.9</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62.4</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51.5</w:t>
            </w:r>
          </w:p>
        </w:tc>
      </w:tr>
    </w:tbl>
    <w:p w:rsidR="00000000" w:rsidRDefault="00000000">
      <w:pPr>
        <w:spacing w:before="120" w:after="120"/>
        <w:jc w:val="center"/>
      </w:pPr>
    </w:p>
    <w:tbl>
      <w:tblPr>
        <w:tblW w:w="447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19"/>
        <w:gridCol w:w="819"/>
        <w:gridCol w:w="819"/>
        <w:gridCol w:w="819"/>
      </w:tblGrid>
      <w:tr w:rsidR="00000000">
        <w:trPr>
          <w:cantSplit/>
        </w:trPr>
        <w:tc>
          <w:tcPr>
            <w:tcW w:w="2019" w:type="dxa"/>
            <w:vMerge w:val="restart"/>
            <w:tcBorders>
              <w:top w:val="single" w:sz="4" w:space="0" w:color="auto"/>
              <w:left w:val="single" w:sz="4" w:space="0" w:color="auto"/>
              <w:right w:val="single" w:sz="4" w:space="0" w:color="auto"/>
            </w:tcBorders>
            <w:vAlign w:val="center"/>
          </w:tcPr>
          <w:p w:rsidR="00000000" w:rsidRDefault="00000000">
            <w:pPr>
              <w:pStyle w:val="Header"/>
              <w:tabs>
                <w:tab w:val="clear" w:pos="4320"/>
                <w:tab w:val="clear" w:pos="8640"/>
              </w:tabs>
              <w:spacing w:after="0"/>
              <w:rPr>
                <w:sz w:val="20"/>
                <w:szCs w:val="18"/>
              </w:rPr>
            </w:pPr>
          </w:p>
        </w:tc>
        <w:tc>
          <w:tcPr>
            <w:tcW w:w="245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Rural</w:t>
            </w:r>
          </w:p>
        </w:tc>
      </w:tr>
      <w:tr w:rsidR="00000000">
        <w:trPr>
          <w:cantSplit/>
        </w:trPr>
        <w:tc>
          <w:tcPr>
            <w:tcW w:w="2019" w:type="dxa"/>
            <w:vMerge/>
            <w:tcBorders>
              <w:left w:val="single" w:sz="4" w:space="0" w:color="auto"/>
              <w:bottom w:val="single" w:sz="4" w:space="0" w:color="auto"/>
              <w:right w:val="single" w:sz="4" w:space="0" w:color="auto"/>
            </w:tcBorders>
            <w:vAlign w:val="center"/>
          </w:tcPr>
          <w:p w:rsidR="00000000" w:rsidRDefault="00000000">
            <w:pPr>
              <w:pStyle w:val="Header"/>
              <w:tabs>
                <w:tab w:val="clear" w:pos="4320"/>
                <w:tab w:val="clear" w:pos="8640"/>
              </w:tabs>
              <w:spacing w:after="0"/>
              <w:rPr>
                <w:sz w:val="20"/>
                <w:szCs w:val="18"/>
              </w:rPr>
            </w:pP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Not poor</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Poor</w:t>
            </w:r>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Total</w:t>
            </w:r>
          </w:p>
        </w:tc>
      </w:tr>
      <w:tr w:rsidR="00000000">
        <w:tc>
          <w:tcPr>
            <w:tcW w:w="2019" w:type="dxa"/>
            <w:tcBorders>
              <w:top w:val="single" w:sz="4" w:space="0" w:color="auto"/>
              <w:left w:val="single" w:sz="4" w:space="0" w:color="auto"/>
              <w:bottom w:val="nil"/>
              <w:right w:val="single" w:sz="4" w:space="0" w:color="auto"/>
            </w:tcBorders>
          </w:tcPr>
          <w:p w:rsidR="00000000" w:rsidRDefault="00000000">
            <w:pPr>
              <w:spacing w:after="0"/>
              <w:rPr>
                <w:sz w:val="20"/>
                <w:szCs w:val="18"/>
              </w:rPr>
            </w:pPr>
            <w:r>
              <w:rPr>
                <w:sz w:val="20"/>
                <w:szCs w:val="18"/>
              </w:rPr>
              <w:t xml:space="preserve">Average size of land </w:t>
            </w:r>
            <w:r>
              <w:rPr>
                <w:sz w:val="20"/>
                <w:szCs w:val="18"/>
              </w:rPr>
              <w:br/>
              <w:t xml:space="preserve">  owned per family </w:t>
            </w:r>
            <w:r>
              <w:rPr>
                <w:sz w:val="20"/>
                <w:szCs w:val="18"/>
              </w:rPr>
              <w:br/>
              <w:t xml:space="preserve">  (square metres)</w:t>
            </w:r>
          </w:p>
        </w:tc>
        <w:tc>
          <w:tcPr>
            <w:tcW w:w="819"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 w:val="20"/>
                <w:szCs w:val="18"/>
              </w:rPr>
            </w:pPr>
            <w:r>
              <w:rPr>
                <w:sz w:val="20"/>
                <w:szCs w:val="18"/>
              </w:rPr>
              <w:t>7 634</w:t>
            </w:r>
          </w:p>
        </w:tc>
        <w:tc>
          <w:tcPr>
            <w:tcW w:w="819"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 w:val="20"/>
                <w:szCs w:val="18"/>
              </w:rPr>
            </w:pPr>
            <w:r>
              <w:rPr>
                <w:sz w:val="20"/>
                <w:szCs w:val="18"/>
              </w:rPr>
              <w:t>6 038</w:t>
            </w:r>
          </w:p>
        </w:tc>
        <w:tc>
          <w:tcPr>
            <w:tcW w:w="819"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 w:val="20"/>
                <w:szCs w:val="18"/>
              </w:rPr>
            </w:pPr>
            <w:r>
              <w:rPr>
                <w:sz w:val="20"/>
                <w:szCs w:val="18"/>
              </w:rPr>
              <w:t>7 261</w:t>
            </w:r>
          </w:p>
        </w:tc>
      </w:tr>
      <w:tr w:rsidR="00000000">
        <w:tc>
          <w:tcPr>
            <w:tcW w:w="2019" w:type="dxa"/>
            <w:tcBorders>
              <w:top w:val="nil"/>
              <w:left w:val="single" w:sz="4" w:space="0" w:color="auto"/>
              <w:bottom w:val="single" w:sz="4" w:space="0" w:color="auto"/>
              <w:right w:val="single" w:sz="4" w:space="0" w:color="auto"/>
            </w:tcBorders>
          </w:tcPr>
          <w:p w:rsidR="00000000" w:rsidRDefault="00000000">
            <w:pPr>
              <w:spacing w:after="0"/>
              <w:rPr>
                <w:sz w:val="20"/>
                <w:szCs w:val="18"/>
              </w:rPr>
            </w:pPr>
            <w:r>
              <w:rPr>
                <w:sz w:val="20"/>
                <w:szCs w:val="18"/>
              </w:rPr>
              <w:t xml:space="preserve">Average size of land </w:t>
            </w:r>
            <w:r>
              <w:rPr>
                <w:sz w:val="20"/>
                <w:szCs w:val="18"/>
              </w:rPr>
              <w:br/>
              <w:t xml:space="preserve">  owned per capita </w:t>
            </w:r>
            <w:r>
              <w:rPr>
                <w:sz w:val="20"/>
                <w:szCs w:val="18"/>
              </w:rPr>
              <w:br/>
              <w:t xml:space="preserve">  (square metres)</w:t>
            </w:r>
          </w:p>
        </w:tc>
        <w:tc>
          <w:tcPr>
            <w:tcW w:w="819"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1 812</w:t>
            </w:r>
          </w:p>
        </w:tc>
        <w:tc>
          <w:tcPr>
            <w:tcW w:w="819"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1 039</w:t>
            </w:r>
          </w:p>
        </w:tc>
        <w:tc>
          <w:tcPr>
            <w:tcW w:w="819"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 w:val="20"/>
                <w:szCs w:val="18"/>
              </w:rPr>
            </w:pPr>
            <w:r>
              <w:rPr>
                <w:sz w:val="20"/>
                <w:szCs w:val="18"/>
              </w:rPr>
              <w:t>1 583</w:t>
            </w:r>
          </w:p>
        </w:tc>
      </w:tr>
    </w:tbl>
    <w:p w:rsidR="00000000" w:rsidRDefault="00000000">
      <w:pPr>
        <w:pStyle w:val="Heading2"/>
        <w:spacing w:before="240"/>
      </w:pPr>
      <w:r>
        <w:t>Table 36</w:t>
      </w:r>
    </w:p>
    <w:p w:rsidR="00000000" w:rsidRDefault="00000000">
      <w:pPr>
        <w:pStyle w:val="Heading2"/>
      </w:pPr>
      <w:r>
        <w:t>Education of poor persons by gender</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80"/>
        <w:gridCol w:w="1200"/>
        <w:gridCol w:w="760"/>
        <w:gridCol w:w="1160"/>
        <w:gridCol w:w="800"/>
        <w:gridCol w:w="1120"/>
        <w:gridCol w:w="840"/>
      </w:tblGrid>
      <w:tr w:rsidR="00000000">
        <w:trPr>
          <w:cantSplit/>
        </w:trPr>
        <w:tc>
          <w:tcPr>
            <w:tcW w:w="3480" w:type="dxa"/>
            <w:vMerge w:val="restart"/>
            <w:tcBorders>
              <w:top w:val="single" w:sz="4" w:space="0" w:color="auto"/>
              <w:left w:val="single" w:sz="4" w:space="0" w:color="auto"/>
              <w:right w:val="single" w:sz="4" w:space="0" w:color="auto"/>
            </w:tcBorders>
            <w:noWrap/>
            <w:vAlign w:val="bottom"/>
          </w:tcPr>
          <w:p w:rsidR="00000000" w:rsidRDefault="00000000">
            <w:pPr>
              <w:spacing w:after="0"/>
              <w:rPr>
                <w:rFonts w:eastAsia="Arial Unicode MS"/>
                <w:sz w:val="22"/>
              </w:rPr>
            </w:pPr>
          </w:p>
        </w:tc>
        <w:tc>
          <w:tcPr>
            <w:tcW w:w="1960" w:type="dxa"/>
            <w:gridSpan w:val="2"/>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sz w:val="22"/>
                <w:szCs w:val="16"/>
              </w:rPr>
            </w:pPr>
            <w:r>
              <w:rPr>
                <w:sz w:val="22"/>
                <w:szCs w:val="16"/>
              </w:rPr>
              <w:t>Males</w:t>
            </w:r>
          </w:p>
        </w:tc>
        <w:tc>
          <w:tcPr>
            <w:tcW w:w="1960" w:type="dxa"/>
            <w:gridSpan w:val="2"/>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sz w:val="22"/>
                <w:szCs w:val="16"/>
              </w:rPr>
            </w:pPr>
            <w:r>
              <w:rPr>
                <w:sz w:val="22"/>
                <w:szCs w:val="16"/>
              </w:rPr>
              <w:t>Females</w:t>
            </w:r>
          </w:p>
        </w:tc>
        <w:tc>
          <w:tcPr>
            <w:tcW w:w="1960" w:type="dxa"/>
            <w:gridSpan w:val="2"/>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sz w:val="22"/>
                <w:szCs w:val="16"/>
              </w:rPr>
            </w:pPr>
            <w:r>
              <w:rPr>
                <w:sz w:val="22"/>
                <w:szCs w:val="16"/>
              </w:rPr>
              <w:t>Total</w:t>
            </w:r>
          </w:p>
        </w:tc>
      </w:tr>
      <w:tr w:rsidR="00000000">
        <w:trPr>
          <w:cantSplit/>
        </w:trPr>
        <w:tc>
          <w:tcPr>
            <w:tcW w:w="3480" w:type="dxa"/>
            <w:vMerge/>
            <w:tcBorders>
              <w:left w:val="single" w:sz="4" w:space="0" w:color="auto"/>
              <w:bottom w:val="single" w:sz="4" w:space="0" w:color="auto"/>
              <w:right w:val="single" w:sz="4" w:space="0" w:color="auto"/>
            </w:tcBorders>
            <w:noWrap/>
            <w:vAlign w:val="bottom"/>
          </w:tcPr>
          <w:p w:rsidR="00000000" w:rsidRDefault="00000000">
            <w:pPr>
              <w:spacing w:after="0"/>
              <w:rPr>
                <w:rFonts w:eastAsia="Arial Unicode MS"/>
                <w:sz w:val="22"/>
              </w:rPr>
            </w:pPr>
          </w:p>
        </w:tc>
        <w:tc>
          <w:tcPr>
            <w:tcW w:w="1200" w:type="dxa"/>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rFonts w:eastAsia="Arial Unicode MS"/>
                <w:sz w:val="22"/>
                <w:szCs w:val="16"/>
              </w:rPr>
            </w:pPr>
            <w:r>
              <w:rPr>
                <w:sz w:val="22"/>
                <w:szCs w:val="16"/>
              </w:rPr>
              <w:t>Not poor</w:t>
            </w:r>
          </w:p>
        </w:tc>
        <w:tc>
          <w:tcPr>
            <w:tcW w:w="760" w:type="dxa"/>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rFonts w:eastAsia="Arial Unicode MS"/>
                <w:sz w:val="22"/>
                <w:szCs w:val="16"/>
              </w:rPr>
            </w:pPr>
            <w:r>
              <w:rPr>
                <w:sz w:val="22"/>
                <w:szCs w:val="16"/>
              </w:rPr>
              <w:t>Poor</w:t>
            </w:r>
          </w:p>
        </w:tc>
        <w:tc>
          <w:tcPr>
            <w:tcW w:w="1160" w:type="dxa"/>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rFonts w:eastAsia="Arial Unicode MS"/>
                <w:sz w:val="22"/>
                <w:szCs w:val="16"/>
              </w:rPr>
            </w:pPr>
            <w:r>
              <w:rPr>
                <w:sz w:val="22"/>
                <w:szCs w:val="16"/>
              </w:rPr>
              <w:t>Not poor</w:t>
            </w:r>
          </w:p>
        </w:tc>
        <w:tc>
          <w:tcPr>
            <w:tcW w:w="800" w:type="dxa"/>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rFonts w:eastAsia="Arial Unicode MS"/>
                <w:sz w:val="22"/>
                <w:szCs w:val="16"/>
              </w:rPr>
            </w:pPr>
            <w:r>
              <w:rPr>
                <w:sz w:val="22"/>
                <w:szCs w:val="16"/>
              </w:rPr>
              <w:t>Poor</w:t>
            </w:r>
          </w:p>
        </w:tc>
        <w:tc>
          <w:tcPr>
            <w:tcW w:w="1120" w:type="dxa"/>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rFonts w:eastAsia="Arial Unicode MS"/>
                <w:sz w:val="22"/>
                <w:szCs w:val="16"/>
              </w:rPr>
            </w:pPr>
            <w:r>
              <w:rPr>
                <w:sz w:val="22"/>
                <w:szCs w:val="16"/>
              </w:rPr>
              <w:t>Not poor</w:t>
            </w:r>
          </w:p>
        </w:tc>
        <w:tc>
          <w:tcPr>
            <w:tcW w:w="840" w:type="dxa"/>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rFonts w:eastAsia="Arial Unicode MS"/>
                <w:sz w:val="22"/>
                <w:szCs w:val="16"/>
              </w:rPr>
            </w:pPr>
            <w:r>
              <w:rPr>
                <w:sz w:val="22"/>
                <w:szCs w:val="16"/>
              </w:rPr>
              <w:t>Poor</w:t>
            </w:r>
          </w:p>
        </w:tc>
      </w:tr>
      <w:tr w:rsidR="00000000">
        <w:trPr>
          <w:trHeight w:val="255"/>
        </w:trPr>
        <w:tc>
          <w:tcPr>
            <w:tcW w:w="3480" w:type="dxa"/>
            <w:tcBorders>
              <w:top w:val="single" w:sz="4" w:space="0" w:color="auto"/>
              <w:left w:val="single" w:sz="4" w:space="0" w:color="auto"/>
              <w:bottom w:val="nil"/>
              <w:right w:val="single" w:sz="4" w:space="0" w:color="auto"/>
            </w:tcBorders>
            <w:noWrap/>
            <w:vAlign w:val="bottom"/>
          </w:tcPr>
          <w:p w:rsidR="00000000" w:rsidRDefault="00000000">
            <w:pPr>
              <w:spacing w:after="0"/>
              <w:rPr>
                <w:rFonts w:eastAsia="Arial Unicode MS"/>
                <w:sz w:val="22"/>
              </w:rPr>
            </w:pPr>
            <w:r>
              <w:rPr>
                <w:sz w:val="22"/>
              </w:rPr>
              <w:t>No education</w:t>
            </w:r>
          </w:p>
        </w:tc>
        <w:tc>
          <w:tcPr>
            <w:tcW w:w="1200" w:type="dxa"/>
            <w:tcBorders>
              <w:top w:val="single" w:sz="4" w:space="0" w:color="auto"/>
              <w:left w:val="single" w:sz="4" w:space="0" w:color="auto"/>
              <w:bottom w:val="nil"/>
              <w:right w:val="single" w:sz="4" w:space="0" w:color="auto"/>
            </w:tcBorders>
            <w:noWrap/>
            <w:vAlign w:val="bottom"/>
          </w:tcPr>
          <w:p w:rsidR="00000000" w:rsidRDefault="00000000">
            <w:pPr>
              <w:tabs>
                <w:tab w:val="decimal" w:pos="425"/>
              </w:tabs>
              <w:spacing w:after="0"/>
              <w:jc w:val="both"/>
              <w:rPr>
                <w:rFonts w:eastAsia="Arial Unicode MS"/>
                <w:sz w:val="22"/>
                <w:szCs w:val="16"/>
              </w:rPr>
            </w:pPr>
            <w:r>
              <w:rPr>
                <w:sz w:val="22"/>
                <w:szCs w:val="16"/>
              </w:rPr>
              <w:t>4.7</w:t>
            </w:r>
          </w:p>
        </w:tc>
        <w:tc>
          <w:tcPr>
            <w:tcW w:w="760" w:type="dxa"/>
            <w:tcBorders>
              <w:top w:val="single" w:sz="4" w:space="0" w:color="auto"/>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8.6</w:t>
            </w:r>
          </w:p>
        </w:tc>
        <w:tc>
          <w:tcPr>
            <w:tcW w:w="1160" w:type="dxa"/>
            <w:tcBorders>
              <w:top w:val="single" w:sz="4" w:space="0" w:color="auto"/>
              <w:left w:val="single" w:sz="4" w:space="0" w:color="auto"/>
              <w:bottom w:val="nil"/>
              <w:right w:val="single" w:sz="4" w:space="0" w:color="auto"/>
            </w:tcBorders>
            <w:noWrap/>
            <w:vAlign w:val="bottom"/>
          </w:tcPr>
          <w:p w:rsidR="00000000" w:rsidRDefault="00000000">
            <w:pPr>
              <w:tabs>
                <w:tab w:val="decimal" w:pos="498"/>
              </w:tabs>
              <w:spacing w:after="0"/>
              <w:jc w:val="both"/>
              <w:rPr>
                <w:rFonts w:eastAsia="Arial Unicode MS"/>
                <w:sz w:val="22"/>
                <w:szCs w:val="16"/>
              </w:rPr>
            </w:pPr>
            <w:r>
              <w:rPr>
                <w:sz w:val="22"/>
                <w:szCs w:val="16"/>
              </w:rPr>
              <w:t>9.9</w:t>
            </w:r>
          </w:p>
        </w:tc>
        <w:tc>
          <w:tcPr>
            <w:tcW w:w="800" w:type="dxa"/>
            <w:tcBorders>
              <w:top w:val="single" w:sz="4" w:space="0" w:color="auto"/>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15.3</w:t>
            </w:r>
          </w:p>
        </w:tc>
        <w:tc>
          <w:tcPr>
            <w:tcW w:w="1120" w:type="dxa"/>
            <w:tcBorders>
              <w:top w:val="single" w:sz="4" w:space="0" w:color="auto"/>
              <w:left w:val="single" w:sz="4" w:space="0" w:color="auto"/>
              <w:bottom w:val="nil"/>
              <w:right w:val="single" w:sz="4" w:space="0" w:color="auto"/>
            </w:tcBorders>
            <w:noWrap/>
            <w:vAlign w:val="bottom"/>
          </w:tcPr>
          <w:p w:rsidR="00000000" w:rsidRDefault="00000000">
            <w:pPr>
              <w:tabs>
                <w:tab w:val="decimal" w:pos="430"/>
              </w:tabs>
              <w:spacing w:after="0"/>
              <w:jc w:val="both"/>
              <w:rPr>
                <w:rFonts w:eastAsia="Arial Unicode MS"/>
                <w:sz w:val="22"/>
                <w:szCs w:val="16"/>
              </w:rPr>
            </w:pPr>
            <w:r>
              <w:rPr>
                <w:sz w:val="22"/>
                <w:szCs w:val="16"/>
              </w:rPr>
              <w:t>7.4</w:t>
            </w:r>
          </w:p>
        </w:tc>
        <w:tc>
          <w:tcPr>
            <w:tcW w:w="840" w:type="dxa"/>
            <w:tcBorders>
              <w:top w:val="single" w:sz="4" w:space="0" w:color="auto"/>
              <w:left w:val="single" w:sz="4" w:space="0" w:color="auto"/>
              <w:bottom w:val="nil"/>
              <w:right w:val="single" w:sz="4" w:space="0" w:color="auto"/>
            </w:tcBorders>
            <w:noWrap/>
            <w:vAlign w:val="bottom"/>
          </w:tcPr>
          <w:p w:rsidR="00000000" w:rsidRDefault="00000000">
            <w:pPr>
              <w:tabs>
                <w:tab w:val="decimal" w:pos="312"/>
              </w:tabs>
              <w:spacing w:after="0"/>
              <w:jc w:val="both"/>
              <w:rPr>
                <w:rFonts w:eastAsia="Arial Unicode MS"/>
                <w:sz w:val="22"/>
                <w:szCs w:val="16"/>
              </w:rPr>
            </w:pPr>
            <w:r>
              <w:rPr>
                <w:sz w:val="22"/>
                <w:szCs w:val="16"/>
              </w:rPr>
              <w:t>12.1</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sz w:val="22"/>
              </w:rPr>
            </w:pPr>
            <w:r>
              <w:rPr>
                <w:sz w:val="22"/>
              </w:rPr>
              <w:t>Primary four</w:t>
            </w:r>
            <w:r>
              <w:rPr>
                <w:sz w:val="22"/>
              </w:rPr>
              <w:noBreakHyphen/>
              <w:t xml:space="preserve">year education </w:t>
            </w:r>
          </w:p>
        </w:tc>
        <w:tc>
          <w:tcPr>
            <w:tcW w:w="1200" w:type="dxa"/>
            <w:tcBorders>
              <w:top w:val="nil"/>
              <w:left w:val="single" w:sz="4" w:space="0" w:color="auto"/>
              <w:bottom w:val="nil"/>
              <w:right w:val="single" w:sz="4" w:space="0" w:color="auto"/>
            </w:tcBorders>
            <w:noWrap/>
            <w:vAlign w:val="bottom"/>
          </w:tcPr>
          <w:p w:rsidR="00000000" w:rsidRDefault="00000000">
            <w:pPr>
              <w:tabs>
                <w:tab w:val="decimal" w:pos="425"/>
              </w:tabs>
              <w:spacing w:after="0"/>
              <w:jc w:val="both"/>
              <w:rPr>
                <w:rFonts w:eastAsia="Arial Unicode MS"/>
                <w:sz w:val="22"/>
                <w:szCs w:val="16"/>
              </w:rPr>
            </w:pPr>
            <w:r>
              <w:rPr>
                <w:sz w:val="22"/>
                <w:szCs w:val="16"/>
              </w:rPr>
              <w:t>12.5</w:t>
            </w:r>
          </w:p>
        </w:tc>
        <w:tc>
          <w:tcPr>
            <w:tcW w:w="76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17.1</w:t>
            </w:r>
          </w:p>
        </w:tc>
        <w:tc>
          <w:tcPr>
            <w:tcW w:w="1160" w:type="dxa"/>
            <w:tcBorders>
              <w:top w:val="nil"/>
              <w:left w:val="single" w:sz="4" w:space="0" w:color="auto"/>
              <w:bottom w:val="nil"/>
              <w:right w:val="single" w:sz="4" w:space="0" w:color="auto"/>
            </w:tcBorders>
            <w:noWrap/>
            <w:vAlign w:val="bottom"/>
          </w:tcPr>
          <w:p w:rsidR="00000000" w:rsidRDefault="00000000">
            <w:pPr>
              <w:tabs>
                <w:tab w:val="decimal" w:pos="498"/>
              </w:tabs>
              <w:spacing w:after="0"/>
              <w:jc w:val="both"/>
              <w:rPr>
                <w:rFonts w:eastAsia="Arial Unicode MS"/>
                <w:sz w:val="22"/>
                <w:szCs w:val="16"/>
              </w:rPr>
            </w:pPr>
            <w:r>
              <w:rPr>
                <w:sz w:val="22"/>
                <w:szCs w:val="16"/>
              </w:rPr>
              <w:t>14.6</w:t>
            </w:r>
          </w:p>
        </w:tc>
        <w:tc>
          <w:tcPr>
            <w:tcW w:w="80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14.8</w:t>
            </w:r>
          </w:p>
        </w:tc>
        <w:tc>
          <w:tcPr>
            <w:tcW w:w="1120" w:type="dxa"/>
            <w:tcBorders>
              <w:top w:val="nil"/>
              <w:left w:val="single" w:sz="4" w:space="0" w:color="auto"/>
              <w:bottom w:val="nil"/>
              <w:right w:val="single" w:sz="4" w:space="0" w:color="auto"/>
            </w:tcBorders>
            <w:noWrap/>
            <w:vAlign w:val="bottom"/>
          </w:tcPr>
          <w:p w:rsidR="00000000" w:rsidRDefault="00000000">
            <w:pPr>
              <w:tabs>
                <w:tab w:val="decimal" w:pos="430"/>
              </w:tabs>
              <w:spacing w:after="0"/>
              <w:jc w:val="both"/>
              <w:rPr>
                <w:rFonts w:eastAsia="Arial Unicode MS"/>
                <w:sz w:val="22"/>
                <w:szCs w:val="16"/>
              </w:rPr>
            </w:pPr>
            <w:r>
              <w:rPr>
                <w:sz w:val="22"/>
                <w:szCs w:val="16"/>
              </w:rPr>
              <w:t>13.6</w:t>
            </w:r>
          </w:p>
        </w:tc>
        <w:tc>
          <w:tcPr>
            <w:tcW w:w="840" w:type="dxa"/>
            <w:tcBorders>
              <w:top w:val="nil"/>
              <w:left w:val="single" w:sz="4" w:space="0" w:color="auto"/>
              <w:bottom w:val="nil"/>
              <w:right w:val="single" w:sz="4" w:space="0" w:color="auto"/>
            </w:tcBorders>
            <w:noWrap/>
            <w:vAlign w:val="bottom"/>
          </w:tcPr>
          <w:p w:rsidR="00000000" w:rsidRDefault="00000000">
            <w:pPr>
              <w:tabs>
                <w:tab w:val="decimal" w:pos="312"/>
              </w:tabs>
              <w:spacing w:after="0"/>
              <w:jc w:val="both"/>
              <w:rPr>
                <w:rFonts w:eastAsia="Arial Unicode MS"/>
                <w:sz w:val="22"/>
                <w:szCs w:val="16"/>
              </w:rPr>
            </w:pPr>
            <w:r>
              <w:rPr>
                <w:sz w:val="22"/>
                <w:szCs w:val="16"/>
              </w:rPr>
              <w:t>15.9</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sz w:val="22"/>
              </w:rPr>
            </w:pPr>
            <w:r>
              <w:rPr>
                <w:sz w:val="22"/>
              </w:rPr>
              <w:t>Primary eight years</w:t>
            </w:r>
          </w:p>
        </w:tc>
        <w:tc>
          <w:tcPr>
            <w:tcW w:w="1200" w:type="dxa"/>
            <w:tcBorders>
              <w:top w:val="nil"/>
              <w:left w:val="single" w:sz="4" w:space="0" w:color="auto"/>
              <w:bottom w:val="nil"/>
              <w:right w:val="single" w:sz="4" w:space="0" w:color="auto"/>
            </w:tcBorders>
            <w:noWrap/>
            <w:vAlign w:val="bottom"/>
          </w:tcPr>
          <w:p w:rsidR="00000000" w:rsidRDefault="00000000">
            <w:pPr>
              <w:tabs>
                <w:tab w:val="decimal" w:pos="425"/>
              </w:tabs>
              <w:spacing w:after="0"/>
              <w:jc w:val="both"/>
              <w:rPr>
                <w:rFonts w:eastAsia="Arial Unicode MS"/>
                <w:sz w:val="22"/>
                <w:szCs w:val="16"/>
              </w:rPr>
            </w:pPr>
            <w:r>
              <w:rPr>
                <w:sz w:val="22"/>
                <w:szCs w:val="16"/>
              </w:rPr>
              <w:t>36.6</w:t>
            </w:r>
          </w:p>
        </w:tc>
        <w:tc>
          <w:tcPr>
            <w:tcW w:w="76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49.8</w:t>
            </w:r>
          </w:p>
        </w:tc>
        <w:tc>
          <w:tcPr>
            <w:tcW w:w="1160" w:type="dxa"/>
            <w:tcBorders>
              <w:top w:val="nil"/>
              <w:left w:val="single" w:sz="4" w:space="0" w:color="auto"/>
              <w:bottom w:val="nil"/>
              <w:right w:val="single" w:sz="4" w:space="0" w:color="auto"/>
            </w:tcBorders>
            <w:noWrap/>
            <w:vAlign w:val="bottom"/>
          </w:tcPr>
          <w:p w:rsidR="00000000" w:rsidRDefault="00000000">
            <w:pPr>
              <w:tabs>
                <w:tab w:val="decimal" w:pos="498"/>
              </w:tabs>
              <w:spacing w:after="0"/>
              <w:jc w:val="both"/>
              <w:rPr>
                <w:rFonts w:eastAsia="Arial Unicode MS"/>
                <w:sz w:val="22"/>
                <w:szCs w:val="16"/>
              </w:rPr>
            </w:pPr>
            <w:r>
              <w:rPr>
                <w:sz w:val="22"/>
                <w:szCs w:val="16"/>
              </w:rPr>
              <w:t>39.6</w:t>
            </w:r>
          </w:p>
        </w:tc>
        <w:tc>
          <w:tcPr>
            <w:tcW w:w="80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53</w:t>
            </w:r>
          </w:p>
        </w:tc>
        <w:tc>
          <w:tcPr>
            <w:tcW w:w="1120" w:type="dxa"/>
            <w:tcBorders>
              <w:top w:val="nil"/>
              <w:left w:val="single" w:sz="4" w:space="0" w:color="auto"/>
              <w:bottom w:val="nil"/>
              <w:right w:val="single" w:sz="4" w:space="0" w:color="auto"/>
            </w:tcBorders>
            <w:noWrap/>
            <w:vAlign w:val="bottom"/>
          </w:tcPr>
          <w:p w:rsidR="00000000" w:rsidRDefault="00000000">
            <w:pPr>
              <w:tabs>
                <w:tab w:val="decimal" w:pos="430"/>
              </w:tabs>
              <w:spacing w:after="0"/>
              <w:jc w:val="both"/>
              <w:rPr>
                <w:rFonts w:eastAsia="Arial Unicode MS"/>
                <w:sz w:val="22"/>
                <w:szCs w:val="16"/>
              </w:rPr>
            </w:pPr>
            <w:r>
              <w:rPr>
                <w:sz w:val="22"/>
                <w:szCs w:val="16"/>
              </w:rPr>
              <w:t>38.2</w:t>
            </w:r>
          </w:p>
        </w:tc>
        <w:tc>
          <w:tcPr>
            <w:tcW w:w="840" w:type="dxa"/>
            <w:tcBorders>
              <w:top w:val="nil"/>
              <w:left w:val="single" w:sz="4" w:space="0" w:color="auto"/>
              <w:bottom w:val="nil"/>
              <w:right w:val="single" w:sz="4" w:space="0" w:color="auto"/>
            </w:tcBorders>
            <w:noWrap/>
            <w:vAlign w:val="bottom"/>
          </w:tcPr>
          <w:p w:rsidR="00000000" w:rsidRDefault="00000000">
            <w:pPr>
              <w:tabs>
                <w:tab w:val="decimal" w:pos="312"/>
              </w:tabs>
              <w:spacing w:after="0"/>
              <w:jc w:val="both"/>
              <w:rPr>
                <w:rFonts w:eastAsia="Arial Unicode MS"/>
                <w:sz w:val="22"/>
                <w:szCs w:val="16"/>
              </w:rPr>
            </w:pPr>
            <w:r>
              <w:rPr>
                <w:sz w:val="22"/>
                <w:szCs w:val="16"/>
              </w:rPr>
              <w:t>51.5</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sz w:val="22"/>
              </w:rPr>
            </w:pPr>
            <w:r>
              <w:rPr>
                <w:sz w:val="22"/>
              </w:rPr>
              <w:t>High school</w:t>
            </w:r>
          </w:p>
        </w:tc>
        <w:tc>
          <w:tcPr>
            <w:tcW w:w="1200" w:type="dxa"/>
            <w:tcBorders>
              <w:top w:val="nil"/>
              <w:left w:val="single" w:sz="4" w:space="0" w:color="auto"/>
              <w:bottom w:val="nil"/>
              <w:right w:val="single" w:sz="4" w:space="0" w:color="auto"/>
            </w:tcBorders>
            <w:noWrap/>
            <w:vAlign w:val="bottom"/>
          </w:tcPr>
          <w:p w:rsidR="00000000" w:rsidRDefault="00000000">
            <w:pPr>
              <w:tabs>
                <w:tab w:val="decimal" w:pos="425"/>
              </w:tabs>
              <w:spacing w:after="0"/>
              <w:jc w:val="both"/>
              <w:rPr>
                <w:rFonts w:eastAsia="Arial Unicode MS"/>
                <w:sz w:val="22"/>
                <w:szCs w:val="16"/>
              </w:rPr>
            </w:pPr>
            <w:r>
              <w:rPr>
                <w:sz w:val="22"/>
                <w:szCs w:val="16"/>
              </w:rPr>
              <w:t>15.7</w:t>
            </w:r>
          </w:p>
        </w:tc>
        <w:tc>
          <w:tcPr>
            <w:tcW w:w="76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11.3</w:t>
            </w:r>
          </w:p>
        </w:tc>
        <w:tc>
          <w:tcPr>
            <w:tcW w:w="1160" w:type="dxa"/>
            <w:tcBorders>
              <w:top w:val="nil"/>
              <w:left w:val="single" w:sz="4" w:space="0" w:color="auto"/>
              <w:bottom w:val="nil"/>
              <w:right w:val="single" w:sz="4" w:space="0" w:color="auto"/>
            </w:tcBorders>
            <w:noWrap/>
            <w:vAlign w:val="bottom"/>
          </w:tcPr>
          <w:p w:rsidR="00000000" w:rsidRDefault="00000000">
            <w:pPr>
              <w:tabs>
                <w:tab w:val="decimal" w:pos="498"/>
              </w:tabs>
              <w:spacing w:after="0"/>
              <w:jc w:val="both"/>
              <w:rPr>
                <w:rFonts w:eastAsia="Arial Unicode MS"/>
                <w:sz w:val="22"/>
                <w:szCs w:val="16"/>
              </w:rPr>
            </w:pPr>
            <w:r>
              <w:rPr>
                <w:sz w:val="22"/>
                <w:szCs w:val="16"/>
              </w:rPr>
              <w:t>15</w:t>
            </w:r>
          </w:p>
        </w:tc>
        <w:tc>
          <w:tcPr>
            <w:tcW w:w="80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10.8</w:t>
            </w:r>
          </w:p>
        </w:tc>
        <w:tc>
          <w:tcPr>
            <w:tcW w:w="1120" w:type="dxa"/>
            <w:tcBorders>
              <w:top w:val="nil"/>
              <w:left w:val="single" w:sz="4" w:space="0" w:color="auto"/>
              <w:bottom w:val="nil"/>
              <w:right w:val="single" w:sz="4" w:space="0" w:color="auto"/>
            </w:tcBorders>
            <w:noWrap/>
            <w:vAlign w:val="bottom"/>
          </w:tcPr>
          <w:p w:rsidR="00000000" w:rsidRDefault="00000000">
            <w:pPr>
              <w:tabs>
                <w:tab w:val="decimal" w:pos="430"/>
              </w:tabs>
              <w:spacing w:after="0"/>
              <w:jc w:val="both"/>
              <w:rPr>
                <w:rFonts w:eastAsia="Arial Unicode MS"/>
                <w:sz w:val="22"/>
                <w:szCs w:val="16"/>
              </w:rPr>
            </w:pPr>
            <w:r>
              <w:rPr>
                <w:sz w:val="22"/>
                <w:szCs w:val="16"/>
              </w:rPr>
              <w:t>15.3</w:t>
            </w:r>
          </w:p>
        </w:tc>
        <w:tc>
          <w:tcPr>
            <w:tcW w:w="840" w:type="dxa"/>
            <w:tcBorders>
              <w:top w:val="nil"/>
              <w:left w:val="single" w:sz="4" w:space="0" w:color="auto"/>
              <w:bottom w:val="nil"/>
              <w:right w:val="single" w:sz="4" w:space="0" w:color="auto"/>
            </w:tcBorders>
            <w:noWrap/>
            <w:vAlign w:val="bottom"/>
          </w:tcPr>
          <w:p w:rsidR="00000000" w:rsidRDefault="00000000">
            <w:pPr>
              <w:tabs>
                <w:tab w:val="decimal" w:pos="312"/>
              </w:tabs>
              <w:spacing w:after="0"/>
              <w:jc w:val="both"/>
              <w:rPr>
                <w:rFonts w:eastAsia="Arial Unicode MS"/>
                <w:sz w:val="22"/>
                <w:szCs w:val="16"/>
              </w:rPr>
            </w:pPr>
            <w:r>
              <w:rPr>
                <w:sz w:val="22"/>
                <w:szCs w:val="16"/>
              </w:rPr>
              <w:t>11</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sz w:val="22"/>
              </w:rPr>
            </w:pPr>
            <w:r>
              <w:rPr>
                <w:sz w:val="22"/>
              </w:rPr>
              <w:t>High school (two</w:t>
            </w:r>
            <w:r>
              <w:rPr>
                <w:sz w:val="22"/>
              </w:rPr>
              <w:noBreakHyphen/>
              <w:t>year education)</w:t>
            </w:r>
          </w:p>
        </w:tc>
        <w:tc>
          <w:tcPr>
            <w:tcW w:w="1200" w:type="dxa"/>
            <w:tcBorders>
              <w:top w:val="nil"/>
              <w:left w:val="single" w:sz="4" w:space="0" w:color="auto"/>
              <w:bottom w:val="nil"/>
              <w:right w:val="single" w:sz="4" w:space="0" w:color="auto"/>
            </w:tcBorders>
            <w:noWrap/>
            <w:vAlign w:val="bottom"/>
          </w:tcPr>
          <w:p w:rsidR="00000000" w:rsidRDefault="00000000">
            <w:pPr>
              <w:tabs>
                <w:tab w:val="decimal" w:pos="425"/>
              </w:tabs>
              <w:spacing w:after="0"/>
              <w:jc w:val="both"/>
              <w:rPr>
                <w:rFonts w:eastAsia="Arial Unicode MS"/>
                <w:sz w:val="22"/>
                <w:szCs w:val="16"/>
              </w:rPr>
            </w:pPr>
            <w:r>
              <w:rPr>
                <w:sz w:val="22"/>
                <w:szCs w:val="16"/>
              </w:rPr>
              <w:t>19.3</w:t>
            </w:r>
          </w:p>
        </w:tc>
        <w:tc>
          <w:tcPr>
            <w:tcW w:w="76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12.1</w:t>
            </w:r>
          </w:p>
        </w:tc>
        <w:tc>
          <w:tcPr>
            <w:tcW w:w="1160" w:type="dxa"/>
            <w:tcBorders>
              <w:top w:val="nil"/>
              <w:left w:val="single" w:sz="4" w:space="0" w:color="auto"/>
              <w:bottom w:val="nil"/>
              <w:right w:val="single" w:sz="4" w:space="0" w:color="auto"/>
            </w:tcBorders>
            <w:noWrap/>
            <w:vAlign w:val="bottom"/>
          </w:tcPr>
          <w:p w:rsidR="00000000" w:rsidRDefault="00000000">
            <w:pPr>
              <w:tabs>
                <w:tab w:val="decimal" w:pos="498"/>
              </w:tabs>
              <w:spacing w:after="0"/>
              <w:jc w:val="both"/>
              <w:rPr>
                <w:rFonts w:eastAsia="Arial Unicode MS"/>
                <w:sz w:val="22"/>
                <w:szCs w:val="16"/>
              </w:rPr>
            </w:pPr>
            <w:r>
              <w:rPr>
                <w:sz w:val="22"/>
                <w:szCs w:val="16"/>
              </w:rPr>
              <w:t>14.1</w:t>
            </w:r>
          </w:p>
        </w:tc>
        <w:tc>
          <w:tcPr>
            <w:tcW w:w="800" w:type="dxa"/>
            <w:tcBorders>
              <w:top w:val="nil"/>
              <w:left w:val="single" w:sz="4" w:space="0" w:color="auto"/>
              <w:bottom w:val="nil"/>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5.5</w:t>
            </w:r>
          </w:p>
        </w:tc>
        <w:tc>
          <w:tcPr>
            <w:tcW w:w="1120" w:type="dxa"/>
            <w:tcBorders>
              <w:top w:val="nil"/>
              <w:left w:val="single" w:sz="4" w:space="0" w:color="auto"/>
              <w:bottom w:val="nil"/>
              <w:right w:val="single" w:sz="4" w:space="0" w:color="auto"/>
            </w:tcBorders>
            <w:noWrap/>
            <w:vAlign w:val="bottom"/>
          </w:tcPr>
          <w:p w:rsidR="00000000" w:rsidRDefault="00000000">
            <w:pPr>
              <w:tabs>
                <w:tab w:val="decimal" w:pos="430"/>
              </w:tabs>
              <w:spacing w:after="0"/>
              <w:jc w:val="both"/>
              <w:rPr>
                <w:rFonts w:eastAsia="Arial Unicode MS"/>
                <w:sz w:val="22"/>
                <w:szCs w:val="16"/>
              </w:rPr>
            </w:pPr>
            <w:r>
              <w:rPr>
                <w:sz w:val="22"/>
                <w:szCs w:val="16"/>
              </w:rPr>
              <w:t>16.5</w:t>
            </w:r>
          </w:p>
        </w:tc>
        <w:tc>
          <w:tcPr>
            <w:tcW w:w="840" w:type="dxa"/>
            <w:tcBorders>
              <w:top w:val="nil"/>
              <w:left w:val="single" w:sz="4" w:space="0" w:color="auto"/>
              <w:bottom w:val="nil"/>
              <w:right w:val="single" w:sz="4" w:space="0" w:color="auto"/>
            </w:tcBorders>
            <w:noWrap/>
            <w:vAlign w:val="bottom"/>
          </w:tcPr>
          <w:p w:rsidR="00000000" w:rsidRDefault="00000000">
            <w:pPr>
              <w:tabs>
                <w:tab w:val="decimal" w:pos="312"/>
              </w:tabs>
              <w:spacing w:after="0"/>
              <w:jc w:val="both"/>
              <w:rPr>
                <w:rFonts w:eastAsia="Arial Unicode MS"/>
                <w:sz w:val="22"/>
                <w:szCs w:val="16"/>
              </w:rPr>
            </w:pPr>
            <w:r>
              <w:rPr>
                <w:sz w:val="22"/>
                <w:szCs w:val="16"/>
              </w:rPr>
              <w:t>8.6</w:t>
            </w:r>
          </w:p>
        </w:tc>
      </w:tr>
      <w:tr w:rsidR="00000000">
        <w:trPr>
          <w:trHeight w:val="255"/>
        </w:trPr>
        <w:tc>
          <w:tcPr>
            <w:tcW w:w="3480"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sz w:val="22"/>
              </w:rPr>
            </w:pPr>
            <w:r>
              <w:rPr>
                <w:sz w:val="22"/>
              </w:rPr>
              <w:t>University or more</w:t>
            </w:r>
          </w:p>
        </w:tc>
        <w:tc>
          <w:tcPr>
            <w:tcW w:w="1200" w:type="dxa"/>
            <w:tcBorders>
              <w:top w:val="nil"/>
              <w:left w:val="single" w:sz="4" w:space="0" w:color="auto"/>
              <w:bottom w:val="single" w:sz="4" w:space="0" w:color="auto"/>
              <w:right w:val="single" w:sz="4" w:space="0" w:color="auto"/>
            </w:tcBorders>
            <w:noWrap/>
            <w:vAlign w:val="bottom"/>
          </w:tcPr>
          <w:p w:rsidR="00000000" w:rsidRDefault="00000000">
            <w:pPr>
              <w:tabs>
                <w:tab w:val="decimal" w:pos="425"/>
              </w:tabs>
              <w:spacing w:after="0"/>
              <w:jc w:val="both"/>
              <w:rPr>
                <w:rFonts w:eastAsia="Arial Unicode MS"/>
                <w:sz w:val="22"/>
                <w:szCs w:val="16"/>
              </w:rPr>
            </w:pPr>
            <w:r>
              <w:rPr>
                <w:sz w:val="22"/>
                <w:szCs w:val="16"/>
              </w:rPr>
              <w:t>11.1</w:t>
            </w:r>
          </w:p>
        </w:tc>
        <w:tc>
          <w:tcPr>
            <w:tcW w:w="760" w:type="dxa"/>
            <w:tcBorders>
              <w:top w:val="nil"/>
              <w:left w:val="single" w:sz="4" w:space="0" w:color="auto"/>
              <w:bottom w:val="single" w:sz="4" w:space="0" w:color="auto"/>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1.2</w:t>
            </w:r>
          </w:p>
        </w:tc>
        <w:tc>
          <w:tcPr>
            <w:tcW w:w="1160" w:type="dxa"/>
            <w:tcBorders>
              <w:top w:val="nil"/>
              <w:left w:val="single" w:sz="4" w:space="0" w:color="auto"/>
              <w:bottom w:val="single" w:sz="4" w:space="0" w:color="auto"/>
              <w:right w:val="single" w:sz="4" w:space="0" w:color="auto"/>
            </w:tcBorders>
            <w:noWrap/>
            <w:vAlign w:val="bottom"/>
          </w:tcPr>
          <w:p w:rsidR="00000000" w:rsidRDefault="00000000">
            <w:pPr>
              <w:tabs>
                <w:tab w:val="decimal" w:pos="498"/>
              </w:tabs>
              <w:spacing w:after="0"/>
              <w:jc w:val="both"/>
              <w:rPr>
                <w:rFonts w:eastAsia="Arial Unicode MS"/>
                <w:sz w:val="22"/>
                <w:szCs w:val="16"/>
              </w:rPr>
            </w:pPr>
            <w:r>
              <w:rPr>
                <w:sz w:val="22"/>
                <w:szCs w:val="16"/>
              </w:rPr>
              <w:t>6</w:t>
            </w:r>
          </w:p>
        </w:tc>
        <w:tc>
          <w:tcPr>
            <w:tcW w:w="800" w:type="dxa"/>
            <w:tcBorders>
              <w:top w:val="nil"/>
              <w:left w:val="single" w:sz="4" w:space="0" w:color="auto"/>
              <w:bottom w:val="single" w:sz="4" w:space="0" w:color="auto"/>
              <w:right w:val="single" w:sz="4" w:space="0" w:color="auto"/>
            </w:tcBorders>
            <w:noWrap/>
            <w:vAlign w:val="bottom"/>
          </w:tcPr>
          <w:p w:rsidR="00000000" w:rsidRDefault="00000000">
            <w:pPr>
              <w:tabs>
                <w:tab w:val="decimal" w:pos="252"/>
              </w:tabs>
              <w:spacing w:after="0"/>
              <w:jc w:val="both"/>
              <w:rPr>
                <w:rFonts w:eastAsia="Arial Unicode MS"/>
                <w:sz w:val="22"/>
                <w:szCs w:val="16"/>
              </w:rPr>
            </w:pPr>
            <w:r>
              <w:rPr>
                <w:sz w:val="22"/>
                <w:szCs w:val="16"/>
              </w:rPr>
              <w:t>0.6</w:t>
            </w:r>
          </w:p>
        </w:tc>
        <w:tc>
          <w:tcPr>
            <w:tcW w:w="1120" w:type="dxa"/>
            <w:tcBorders>
              <w:top w:val="nil"/>
              <w:left w:val="single" w:sz="4" w:space="0" w:color="auto"/>
              <w:bottom w:val="single" w:sz="4" w:space="0" w:color="auto"/>
              <w:right w:val="single" w:sz="4" w:space="0" w:color="auto"/>
            </w:tcBorders>
            <w:noWrap/>
            <w:vAlign w:val="bottom"/>
          </w:tcPr>
          <w:p w:rsidR="00000000" w:rsidRDefault="00000000">
            <w:pPr>
              <w:tabs>
                <w:tab w:val="decimal" w:pos="430"/>
              </w:tabs>
              <w:spacing w:after="0"/>
              <w:jc w:val="both"/>
              <w:rPr>
                <w:rFonts w:eastAsia="Arial Unicode MS"/>
                <w:sz w:val="22"/>
                <w:szCs w:val="16"/>
              </w:rPr>
            </w:pPr>
            <w:r>
              <w:rPr>
                <w:sz w:val="22"/>
                <w:szCs w:val="16"/>
              </w:rPr>
              <w:t>8.9</w:t>
            </w:r>
          </w:p>
        </w:tc>
        <w:tc>
          <w:tcPr>
            <w:tcW w:w="840" w:type="dxa"/>
            <w:tcBorders>
              <w:top w:val="nil"/>
              <w:left w:val="single" w:sz="4" w:space="0" w:color="auto"/>
              <w:bottom w:val="single" w:sz="4" w:space="0" w:color="auto"/>
              <w:right w:val="single" w:sz="4" w:space="0" w:color="auto"/>
            </w:tcBorders>
            <w:noWrap/>
            <w:vAlign w:val="bottom"/>
          </w:tcPr>
          <w:p w:rsidR="00000000" w:rsidRDefault="00000000">
            <w:pPr>
              <w:tabs>
                <w:tab w:val="decimal" w:pos="312"/>
              </w:tabs>
              <w:spacing w:after="0"/>
              <w:jc w:val="both"/>
              <w:rPr>
                <w:rFonts w:eastAsia="Arial Unicode MS"/>
                <w:sz w:val="22"/>
                <w:szCs w:val="16"/>
              </w:rPr>
            </w:pPr>
            <w:r>
              <w:rPr>
                <w:sz w:val="22"/>
                <w:szCs w:val="16"/>
              </w:rPr>
              <w:t>0.9</w:t>
            </w:r>
          </w:p>
        </w:tc>
      </w:tr>
    </w:tbl>
    <w:p w:rsidR="00000000" w:rsidRDefault="00000000">
      <w:pPr>
        <w:pStyle w:val="ParaNo"/>
        <w:tabs>
          <w:tab w:val="clear" w:pos="360"/>
          <w:tab w:val="clear" w:pos="737"/>
        </w:tabs>
        <w:spacing w:before="240"/>
        <w:ind w:left="0" w:firstLine="0"/>
        <w:rPr>
          <w:lang w:val="en-GB"/>
        </w:rPr>
      </w:pPr>
      <w:r>
        <w:rPr>
          <w:lang w:val="en-GB"/>
        </w:rPr>
        <w:t>There are no adequate statistics or research studies for the period 1991-2003 with respect to national policies, laws or practices influencing negatively the supply of adequate food for various disadvantaged groups.</w:t>
      </w:r>
    </w:p>
    <w:p w:rsidR="00000000" w:rsidRDefault="00000000">
      <w:pPr>
        <w:pStyle w:val="Heading3"/>
      </w:pPr>
      <w:r>
        <w:t>Measures of the Ministry of Health in guaranteeing appropriate and healthy food for various disadvantaged groups, in the most affected regions</w:t>
      </w:r>
    </w:p>
    <w:p w:rsidR="00000000" w:rsidRDefault="00000000">
      <w:pPr>
        <w:pStyle w:val="ParaNo"/>
        <w:tabs>
          <w:tab w:val="clear" w:pos="360"/>
          <w:tab w:val="clear" w:pos="737"/>
        </w:tabs>
        <w:rPr>
          <w:lang w:val="en-GB"/>
        </w:rPr>
      </w:pPr>
      <w:r>
        <w:rPr>
          <w:lang w:val="en-GB"/>
        </w:rPr>
        <w:t>The National Draft Plan of Action for Food and Nourishment has provided and defined concrete objectives on measures that have to be undertaken by the Ministry of Health in collaboration with other economic sectors, for meeting the need for an appropriate and healthy food for the population.  These objectives are included in a strategy, which clearly defines the deadline for the realization of this right (2008).</w:t>
      </w:r>
    </w:p>
    <w:p w:rsidR="00000000" w:rsidRDefault="00000000">
      <w:pPr>
        <w:pStyle w:val="Heading2"/>
      </w:pPr>
      <w:r>
        <w:t>An overview of food security in Albania</w:t>
      </w:r>
    </w:p>
    <w:p w:rsidR="00000000" w:rsidRDefault="00000000">
      <w:pPr>
        <w:pStyle w:val="ParaNo"/>
        <w:tabs>
          <w:tab w:val="clear" w:pos="737"/>
        </w:tabs>
        <w:ind w:left="0" w:firstLine="0"/>
        <w:rPr>
          <w:lang w:val="en-GB"/>
        </w:rPr>
      </w:pPr>
      <w:r>
        <w:rPr>
          <w:lang w:val="en-GB"/>
        </w:rPr>
        <w:t>There is not yet a clear definition either of the household or of national food security in Albania.  However, household food security means the ability of the household to produce or buy goods and safe foodstuffs to meet the needs of its members.</w:t>
      </w:r>
    </w:p>
    <w:p w:rsidR="00000000" w:rsidRDefault="00000000">
      <w:pPr>
        <w:pStyle w:val="ParaNo"/>
        <w:tabs>
          <w:tab w:val="clear" w:pos="737"/>
        </w:tabs>
        <w:ind w:left="0" w:firstLine="0"/>
        <w:rPr>
          <w:lang w:val="en-GB"/>
        </w:rPr>
      </w:pPr>
      <w:r>
        <w:rPr>
          <w:lang w:val="en-GB"/>
        </w:rPr>
        <w:t>At the national level, the best definitions correspond to achieving, at reasonable prices, a satisfactory equilibrium between offer and demand.  Obviously, the national food security (or insecurity) situation is in close relation with all households’ food security and it is satisfactory only when all the people achieve food security to a reasonable degree.</w:t>
      </w:r>
    </w:p>
    <w:p w:rsidR="00000000" w:rsidRDefault="00000000">
      <w:pPr>
        <w:pStyle w:val="ParaNo"/>
        <w:tabs>
          <w:tab w:val="clear" w:pos="737"/>
        </w:tabs>
        <w:ind w:left="0" w:firstLine="0"/>
        <w:rPr>
          <w:lang w:val="en-GB"/>
        </w:rPr>
      </w:pPr>
      <w:r>
        <w:rPr>
          <w:lang w:val="en-GB"/>
        </w:rPr>
        <w:t>However, even if food security has been achieved at one level, it does not make it immediately possible at all other levels.  A country with a national food security situation may also count households or groups of population who live in deep food insecurity.  Lack of food security is, in most cases, a consequence of poverty and increase in food security means in other words a quantitative and qualitative increase of food availability for the poor.</w:t>
      </w:r>
    </w:p>
    <w:p w:rsidR="00000000" w:rsidRDefault="00000000">
      <w:pPr>
        <w:pStyle w:val="ParaNo"/>
        <w:tabs>
          <w:tab w:val="clear" w:pos="737"/>
        </w:tabs>
        <w:ind w:left="0" w:firstLine="0"/>
        <w:rPr>
          <w:lang w:val="en-GB"/>
        </w:rPr>
      </w:pPr>
      <w:r>
        <w:rPr>
          <w:lang w:val="en-GB"/>
        </w:rPr>
        <w:t>Food security and poverty in Albania vary according to the:  geographical location; demographics and households; education and employment; consumption patterns; and possession of assets.</w:t>
      </w:r>
    </w:p>
    <w:p w:rsidR="00000000" w:rsidRDefault="00000000">
      <w:pPr>
        <w:pStyle w:val="ParaNo"/>
        <w:tabs>
          <w:tab w:val="clear" w:pos="737"/>
        </w:tabs>
        <w:ind w:left="0" w:firstLine="0"/>
        <w:rPr>
          <w:lang w:val="en-GB"/>
        </w:rPr>
      </w:pPr>
      <w:r>
        <w:rPr>
          <w:lang w:val="en-GB"/>
        </w:rPr>
        <w:t>Under the former regime, Albania was strongly oriented towards production self</w:t>
      </w:r>
      <w:r>
        <w:rPr>
          <w:lang w:val="en-GB"/>
        </w:rPr>
        <w:noBreakHyphen/>
        <w:t>sufficiency in staple foods.  This involved heavy customer subsidies and rationing.  Since the start of the transition, when major changes overcame the agricultural sector, Albania had a structural deficit in major agricultural commodities, in particular, in cereal, oilseeds and sugar.</w:t>
      </w:r>
    </w:p>
    <w:p w:rsidR="00000000" w:rsidRDefault="00000000">
      <w:pPr>
        <w:pStyle w:val="ParaNo"/>
        <w:tabs>
          <w:tab w:val="clear" w:pos="737"/>
        </w:tabs>
        <w:ind w:left="0" w:firstLine="0"/>
        <w:rPr>
          <w:lang w:val="en-GB"/>
        </w:rPr>
      </w:pPr>
      <w:r>
        <w:rPr>
          <w:lang w:val="en-GB"/>
        </w:rPr>
        <w:t>The level of self</w:t>
      </w:r>
      <w:r>
        <w:rPr>
          <w:lang w:val="en-GB"/>
        </w:rPr>
        <w:noBreakHyphen/>
        <w:t>sufficiency, however, varies to a large extent across the population.  While the rural areas are largely self</w:t>
      </w:r>
      <w:r>
        <w:rPr>
          <w:lang w:val="en-GB"/>
        </w:rPr>
        <w:noBreakHyphen/>
        <w:t>sufficient, the urban population is more dependent upon imported food supplies.  Income is relatively low; the proportion of income spent on food is high (about 75 per cent of households’ income).</w:t>
      </w:r>
    </w:p>
    <w:p w:rsidR="00000000" w:rsidRDefault="00000000">
      <w:pPr>
        <w:pStyle w:val="ParaNo"/>
        <w:tabs>
          <w:tab w:val="clear" w:pos="737"/>
        </w:tabs>
        <w:ind w:left="0" w:firstLine="0"/>
        <w:rPr>
          <w:lang w:val="en-GB"/>
        </w:rPr>
      </w:pPr>
      <w:r>
        <w:rPr>
          <w:lang w:val="en-GB"/>
        </w:rPr>
        <w:t>Today, the national balance of cereal and other staple food products is met by imports.  Wheat and wheat flour are the main food commodities imported, and in recent years, imports have ranged between about 200,000 to 400,000 tonnes per year, to which food aid has contributed insignificantly.</w:t>
      </w:r>
    </w:p>
    <w:p w:rsidR="00000000" w:rsidRDefault="00000000">
      <w:pPr>
        <w:pStyle w:val="ParaNo"/>
        <w:tabs>
          <w:tab w:val="clear" w:pos="737"/>
        </w:tabs>
        <w:ind w:left="0" w:firstLine="0"/>
        <w:rPr>
          <w:lang w:val="en-GB"/>
        </w:rPr>
      </w:pPr>
      <w:r>
        <w:rPr>
          <w:lang w:val="en-GB"/>
        </w:rPr>
        <w:t>According to the estimates of the Ministry of Agriculture and Food, the cereal import requirement for the marketing year July 1999/June 2000 was about 480,000 tonnes, comprising 373,000 tonnes of wheat, 81,000 tonnes of maize, 17 tonnes of rice and 10,000 tonnes of other cereals.</w:t>
      </w:r>
    </w:p>
    <w:p w:rsidR="00000000" w:rsidRDefault="00000000">
      <w:pPr>
        <w:pStyle w:val="ParaNo"/>
        <w:tabs>
          <w:tab w:val="clear" w:pos="737"/>
        </w:tabs>
        <w:ind w:left="0" w:firstLine="0"/>
        <w:rPr>
          <w:lang w:val="en-GB"/>
        </w:rPr>
      </w:pPr>
      <w:r>
        <w:rPr>
          <w:lang w:val="en-GB"/>
        </w:rPr>
        <w:t xml:space="preserve">On average, household food security has improved considerably since the early 1990s and a greater variety of foods are now available throughout the country at relatively stable and uniform prices.  </w:t>
      </w:r>
    </w:p>
    <w:p w:rsidR="00000000" w:rsidRDefault="00000000">
      <w:pPr>
        <w:pStyle w:val="ParaNo"/>
        <w:tabs>
          <w:tab w:val="clear" w:pos="737"/>
        </w:tabs>
        <w:ind w:left="0" w:firstLine="0"/>
        <w:rPr>
          <w:lang w:val="en-GB"/>
        </w:rPr>
      </w:pPr>
      <w:r>
        <w:rPr>
          <w:lang w:val="en-GB"/>
        </w:rPr>
        <w:br w:type="page"/>
        <w:t>Nevertheless, household food security continues to be a problem for destitute households, and particularly for those living in the North and north</w:t>
      </w:r>
      <w:r>
        <w:rPr>
          <w:lang w:val="en-GB"/>
        </w:rPr>
        <w:noBreakHyphen/>
        <w:t>eastern mountainous regions.  Many of the foodstuffs needed for a diversified and healthy diet, while available on the markets, are beyond the financial means of households living mostly in rural but also in some suburban areas.</w:t>
      </w:r>
    </w:p>
    <w:p w:rsidR="00000000" w:rsidRDefault="00000000">
      <w:pPr>
        <w:pStyle w:val="ParaNo"/>
        <w:tabs>
          <w:tab w:val="clear" w:pos="737"/>
        </w:tabs>
        <w:ind w:left="0" w:firstLine="0"/>
        <w:rPr>
          <w:lang w:val="en-GB"/>
        </w:rPr>
      </w:pPr>
      <w:r>
        <w:rPr>
          <w:lang w:val="en-GB"/>
        </w:rPr>
        <w:t>Among those households, food insecurity is more a problem of inadequate access to food due to extremely low incomes, rather than a problem of food shortages or inadequate food supply.</w:t>
      </w:r>
    </w:p>
    <w:p w:rsidR="00000000" w:rsidRDefault="00000000">
      <w:pPr>
        <w:pStyle w:val="ParaNo"/>
        <w:tabs>
          <w:tab w:val="clear" w:pos="737"/>
        </w:tabs>
        <w:ind w:left="0" w:firstLine="0"/>
        <w:rPr>
          <w:lang w:val="en-GB"/>
        </w:rPr>
      </w:pPr>
      <w:r>
        <w:rPr>
          <w:lang w:val="en-GB"/>
        </w:rPr>
        <w:t>The population of Albania amounted to 3.35 million people in 1998 and has been increasing at a low average rate in recent years.  According to the FAO food balance sheet data, food available in Albania in 1997 (recently released figures) was 2,961 Kcal per person and per day, half of which was provided by wheat, and only a very small proportion of which is provided by meat and other animal products.</w:t>
      </w:r>
    </w:p>
    <w:p w:rsidR="00000000" w:rsidRDefault="00000000">
      <w:pPr>
        <w:pStyle w:val="ParaNo"/>
        <w:tabs>
          <w:tab w:val="clear" w:pos="737"/>
        </w:tabs>
        <w:ind w:left="0" w:firstLine="0"/>
        <w:rPr>
          <w:lang w:val="en-GB"/>
        </w:rPr>
      </w:pPr>
      <w:r>
        <w:rPr>
          <w:lang w:val="en-GB"/>
        </w:rPr>
        <w:t>The typical Albanian diet is based heavily on wheat, in the form of bread.  Potatoes, white beans, cabbage, eggplant, tomatoes and onions are commonly consumed and, more rarely, green leafy vegetables and citrus fruits.  As a result of the erratic and seasonal availability of food supply, as well as high prices (relative to income), the diet tends to be monotonous, with only a few items being consumed in any given period of time.</w:t>
      </w:r>
    </w:p>
    <w:p w:rsidR="00000000" w:rsidRDefault="00000000">
      <w:pPr>
        <w:pStyle w:val="ParaNo"/>
        <w:tabs>
          <w:tab w:val="clear" w:pos="737"/>
        </w:tabs>
        <w:ind w:left="0" w:firstLine="0"/>
        <w:rPr>
          <w:lang w:val="en-GB"/>
        </w:rPr>
      </w:pPr>
      <w:r>
        <w:rPr>
          <w:lang w:val="en-GB"/>
        </w:rPr>
        <w:t>According to World Bank data on the poverty, about 83 per cent of the poor dwell in rural areas and about 58 per cent of them live mainly in northern, north</w:t>
      </w:r>
      <w:r>
        <w:rPr>
          <w:lang w:val="en-GB"/>
        </w:rPr>
        <w:noBreakHyphen/>
        <w:t>eastern and south</w:t>
      </w:r>
      <w:r>
        <w:rPr>
          <w:lang w:val="en-GB"/>
        </w:rPr>
        <w:noBreakHyphen/>
        <w:t>eastern mountainous areas.  Most of those rural poor people (60 per cent of the poor) live off farming.</w:t>
      </w:r>
    </w:p>
    <w:p w:rsidR="00000000" w:rsidRDefault="00000000">
      <w:pPr>
        <w:pStyle w:val="ParaNo"/>
        <w:tabs>
          <w:tab w:val="clear" w:pos="737"/>
        </w:tabs>
        <w:ind w:left="0" w:firstLine="0"/>
        <w:rPr>
          <w:lang w:val="en-GB"/>
        </w:rPr>
      </w:pPr>
      <w:r>
        <w:rPr>
          <w:lang w:val="en-GB"/>
        </w:rPr>
        <w:t>Over 80 per cent of the poor heads of family have a low education level (8</w:t>
      </w:r>
      <w:r>
        <w:rPr>
          <w:lang w:val="en-GB"/>
        </w:rPr>
        <w:noBreakHyphen/>
        <w:t>year elementary school or less) and one third of poor families have more than five children and young heads of family (younger than 36 years old).</w:t>
      </w:r>
    </w:p>
    <w:p w:rsidR="00000000" w:rsidRDefault="00000000">
      <w:pPr>
        <w:pStyle w:val="ParaNo"/>
        <w:tabs>
          <w:tab w:val="clear" w:pos="737"/>
        </w:tabs>
        <w:ind w:left="0" w:firstLine="0"/>
        <w:rPr>
          <w:lang w:val="en-GB"/>
        </w:rPr>
      </w:pPr>
      <w:r>
        <w:rPr>
          <w:lang w:val="en-GB"/>
        </w:rPr>
        <w:t>Farm production is now carried out by approximately 460,000 very small family farms (on average 1.1 ha per farm) and very fragmented (on average four parcels per farm, but the allotments may include plots too far from the homestead) and the productivity remains very low.  Small farm sizes are especially prevalent in the northern parts of the country.</w:t>
      </w:r>
    </w:p>
    <w:p w:rsidR="00000000" w:rsidRDefault="00000000">
      <w:pPr>
        <w:pStyle w:val="ParaNo"/>
        <w:tabs>
          <w:tab w:val="clear" w:pos="737"/>
        </w:tabs>
        <w:ind w:left="0" w:firstLine="0"/>
        <w:rPr>
          <w:lang w:val="en-GB"/>
        </w:rPr>
      </w:pPr>
      <w:r>
        <w:rPr>
          <w:lang w:val="en-GB"/>
        </w:rPr>
        <w:t>Food insecurity is more a problem of low income rather than a lack of access to food supply.  Average farm income is 350,000 leks (about US$ 2,500 or about US$ 1.3 per day and per capita for a family with five members).</w:t>
      </w:r>
    </w:p>
    <w:p w:rsidR="00000000" w:rsidRDefault="00000000">
      <w:pPr>
        <w:pStyle w:val="ParaNo"/>
        <w:tabs>
          <w:tab w:val="clear" w:pos="737"/>
        </w:tabs>
        <w:ind w:left="0" w:firstLine="0"/>
        <w:rPr>
          <w:lang w:val="en-GB"/>
        </w:rPr>
      </w:pPr>
      <w:r>
        <w:rPr>
          <w:lang w:val="en-GB"/>
        </w:rPr>
        <w:t>Large discrepancies in income level exist between farmers located on the plains and in hilly and mountainous areas.  The main factors causing such discrepancies between the zones are:  agricultural potential, off</w:t>
      </w:r>
      <w:r>
        <w:rPr>
          <w:lang w:val="en-GB"/>
        </w:rPr>
        <w:noBreakHyphen/>
        <w:t>farm employment opportunities, proximity to urban areas (especially in big towns), status of rural and agricultural infrastructure, etc.  In the northern and north</w:t>
      </w:r>
      <w:r>
        <w:rPr>
          <w:lang w:val="en-GB"/>
        </w:rPr>
        <w:noBreakHyphen/>
        <w:t>eastern mountain areas, almost one third of the population lives under the level of poverty and one quarter live in very small</w:t>
      </w:r>
      <w:r>
        <w:rPr>
          <w:lang w:val="en-GB"/>
        </w:rPr>
        <w:noBreakHyphen/>
        <w:t>sized farms (with less than 0.5 ha per family and very fragmented), incapable of achieving subsistence levels from farming activities alone.  Lacking off</w:t>
      </w:r>
      <w:r>
        <w:rPr>
          <w:lang w:val="en-GB"/>
        </w:rPr>
        <w:noBreakHyphen/>
        <w:t>farm employment opportunities, the annual income of a typical farm family of five persons in mountainous areas (of about US$ 2,000) is less than half of the typical income on the plains.</w:t>
      </w:r>
    </w:p>
    <w:p w:rsidR="00000000" w:rsidRDefault="00000000">
      <w:pPr>
        <w:pStyle w:val="ParaNo"/>
        <w:tabs>
          <w:tab w:val="clear" w:pos="737"/>
        </w:tabs>
        <w:ind w:left="0" w:firstLine="0"/>
        <w:rPr>
          <w:lang w:val="en-GB"/>
        </w:rPr>
      </w:pPr>
      <w:r>
        <w:rPr>
          <w:lang w:val="en-GB"/>
        </w:rPr>
        <w:t>Two</w:t>
      </w:r>
      <w:r>
        <w:rPr>
          <w:lang w:val="en-GB"/>
        </w:rPr>
        <w:noBreakHyphen/>
        <w:t>thirds of the average income of a rural family (US$ 2,500) are derived from farming.  The remaining third is derived from off</w:t>
      </w:r>
      <w:r>
        <w:rPr>
          <w:lang w:val="en-GB"/>
        </w:rPr>
        <w:noBreakHyphen/>
        <w:t>farm activities, which provide about 70 per cent of households’ cash income.  Sales of livestock products, vegetables, fruit and grapes, and processed products are, however, beginning to contribute to an increasing degree to farm household income.</w:t>
      </w:r>
    </w:p>
    <w:p w:rsidR="00000000" w:rsidRDefault="00000000">
      <w:pPr>
        <w:pStyle w:val="ParaNo"/>
        <w:tabs>
          <w:tab w:val="clear" w:pos="737"/>
        </w:tabs>
        <w:ind w:left="0" w:firstLine="0"/>
        <w:rPr>
          <w:lang w:val="en-GB"/>
        </w:rPr>
      </w:pPr>
      <w:r>
        <w:rPr>
          <w:lang w:val="en-GB"/>
        </w:rPr>
        <w:t>The annual remittances (on average US$ 500 per rural household per year) represent about half of the off</w:t>
      </w:r>
      <w:r>
        <w:rPr>
          <w:lang w:val="en-GB"/>
        </w:rPr>
        <w:noBreakHyphen/>
        <w:t>farm income for households with relatives working abroad and rise to about 80 per cent for households with smallholdings in the mountain areas.  Generally, in most rural areas, the off</w:t>
      </w:r>
      <w:r>
        <w:rPr>
          <w:lang w:val="en-GB"/>
        </w:rPr>
        <w:noBreakHyphen/>
        <w:t>farm employment opportunities are very limited and a considerable part of the poor household income is spent on foodstuffs, taking up to about 75 per cent of total households’ income.</w:t>
      </w:r>
    </w:p>
    <w:p w:rsidR="00000000" w:rsidRDefault="00000000">
      <w:pPr>
        <w:pStyle w:val="ParaNo"/>
        <w:tabs>
          <w:tab w:val="clear" w:pos="737"/>
        </w:tabs>
        <w:ind w:left="0" w:firstLine="0"/>
        <w:rPr>
          <w:lang w:val="en-GB"/>
        </w:rPr>
      </w:pPr>
      <w:r>
        <w:rPr>
          <w:lang w:val="en-GB"/>
        </w:rPr>
        <w:t>About 18 per cent of the population in urban areas live below the poverty line of one United States dollar per day and per adult equivalent.  The incidence of poverty in urban areas varies considerably among towns.  This poverty is closely associated with the level of unemployment, education, remittances, and other socio</w:t>
      </w:r>
      <w:r>
        <w:rPr>
          <w:lang w:val="en-GB"/>
        </w:rPr>
        <w:noBreakHyphen/>
        <w:t xml:space="preserve">economic opportunities. </w:t>
      </w:r>
    </w:p>
    <w:p w:rsidR="00000000" w:rsidRDefault="00000000">
      <w:pPr>
        <w:pStyle w:val="ParaNo"/>
        <w:tabs>
          <w:tab w:val="clear" w:pos="737"/>
        </w:tabs>
        <w:ind w:left="0" w:firstLine="0"/>
        <w:rPr>
          <w:lang w:val="en-GB"/>
        </w:rPr>
      </w:pPr>
      <w:r>
        <w:rPr>
          <w:lang w:val="en-GB"/>
        </w:rPr>
        <w:t>Urban households spend about 70 per cent of their income on food and about 12 per cent on electricity.  While home and land ownership does rise with income, access to urban services does not differ significantly for the poor compared to the non</w:t>
      </w:r>
      <w:r>
        <w:rPr>
          <w:lang w:val="en-GB"/>
        </w:rPr>
        <w:noBreakHyphen/>
        <w:t xml:space="preserve">poor. </w:t>
      </w:r>
    </w:p>
    <w:p w:rsidR="00000000" w:rsidRDefault="00000000">
      <w:pPr>
        <w:pStyle w:val="ParaNo"/>
        <w:tabs>
          <w:tab w:val="clear" w:pos="737"/>
        </w:tabs>
        <w:ind w:left="0" w:firstLine="0"/>
        <w:rPr>
          <w:lang w:val="en-GB"/>
        </w:rPr>
      </w:pPr>
      <w:r>
        <w:rPr>
          <w:lang w:val="en-GB"/>
        </w:rPr>
        <w:t>At the national level, 15</w:t>
      </w:r>
      <w:r>
        <w:rPr>
          <w:lang w:val="en-GB"/>
        </w:rPr>
        <w:noBreakHyphen/>
        <w:t>20 per cent of the households overall depend on a social assistance programme, which provides cash payments to families whose incomes are insufficient to meet minimum subsistence requirements.  In the North and the North</w:t>
      </w:r>
      <w:r>
        <w:rPr>
          <w:lang w:val="en-GB"/>
        </w:rPr>
        <w:noBreakHyphen/>
        <w:t>east, more than 30 per cent of families depend on these benefits, which range from US$ 25</w:t>
      </w:r>
      <w:r>
        <w:rPr>
          <w:lang w:val="en-GB"/>
        </w:rPr>
        <w:noBreakHyphen/>
        <w:t>40 per month, depending on household size.</w:t>
      </w:r>
    </w:p>
    <w:p w:rsidR="00000000" w:rsidRDefault="00000000">
      <w:pPr>
        <w:pStyle w:val="ParaNo"/>
        <w:tabs>
          <w:tab w:val="clear" w:pos="737"/>
        </w:tabs>
        <w:spacing w:after="0"/>
        <w:ind w:left="0" w:firstLine="0"/>
        <w:rPr>
          <w:lang w:val="en-GB"/>
        </w:rPr>
      </w:pPr>
      <w:r>
        <w:rPr>
          <w:lang w:val="en-GB"/>
        </w:rPr>
        <w:t>The specific weight for group consumption patterns of food for rural populations for 1998 is given as follows in figure 1.</w:t>
      </w:r>
    </w:p>
    <w:p w:rsidR="00000000" w:rsidRDefault="00000000">
      <w:pPr>
        <w:pStyle w:val="ParaNo"/>
        <w:tabs>
          <w:tab w:val="clear" w:pos="737"/>
        </w:tabs>
        <w:spacing w:before="240"/>
        <w:ind w:left="0" w:firstLine="0"/>
        <w:rPr>
          <w:lang w:val="en-GB"/>
        </w:rPr>
      </w:pPr>
      <w:r>
        <w:rPr>
          <w:lang w:val="en-GB"/>
        </w:rPr>
        <w:t>Albania remains a predominantly agricultural country, agriculture being the engine of economic growth since transition started in 1991, with a contribution ranging from 50 to 53 per cent of GDP over recent years.  Agriculture employs the majority of Albanians who live in rural areas, who represent about 54 per cent of the total population.</w:t>
      </w:r>
    </w:p>
    <w:p w:rsidR="00000000" w:rsidRDefault="00000000">
      <w:pPr>
        <w:pStyle w:val="ParaNo"/>
        <w:tabs>
          <w:tab w:val="clear" w:pos="737"/>
        </w:tabs>
        <w:ind w:left="0" w:firstLine="0"/>
        <w:rPr>
          <w:lang w:val="en-GB"/>
        </w:rPr>
      </w:pPr>
      <w:r>
        <w:rPr>
          <w:lang w:val="en-GB"/>
        </w:rPr>
        <w:t>Employment in agriculture’s private sector represents about 71 per cent (in 1999) of total employment.  Food crops and fruit trees lead agricultural production with close to 40 per cent of gross agriculture output (GAO).  Livestock accounts for 30 per cent and horticulture 6 per cent of GAO.  Forage and forestry products account for the remainder.</w:t>
      </w:r>
    </w:p>
    <w:p w:rsidR="00000000" w:rsidRDefault="00000000">
      <w:pPr>
        <w:pStyle w:val="ParaNo"/>
        <w:tabs>
          <w:tab w:val="clear" w:pos="737"/>
        </w:tabs>
        <w:ind w:left="0" w:firstLine="0"/>
        <w:rPr>
          <w:lang w:val="en-GB"/>
        </w:rPr>
      </w:pPr>
      <w:r>
        <w:rPr>
          <w:lang w:val="en-GB"/>
        </w:rPr>
        <w:t>It has been recently estimated that, at the current level of productivity achieved in the agriculture and food sector, local production satisfies up to 70 per cent of domestic demand.  Nevertheless, the agricultural trade balance is a major component of the country’s trade deficit that reached US$ 198.2 million in 1998.</w:t>
      </w:r>
    </w:p>
    <w:p w:rsidR="00000000" w:rsidRDefault="00000000">
      <w:pPr>
        <w:pStyle w:val="ParaNo"/>
        <w:tabs>
          <w:tab w:val="clear" w:pos="737"/>
        </w:tabs>
        <w:ind w:left="0" w:firstLine="0"/>
        <w:rPr>
          <w:lang w:val="en-GB"/>
        </w:rPr>
      </w:pPr>
      <w:r>
        <w:rPr>
          <w:lang w:val="en-GB"/>
        </w:rPr>
        <w:t>Agricultural exports represent now about 16 per cent of total exports, while agricultural imports range from 25 to 30 per cent of total imports.</w:t>
      </w:r>
    </w:p>
    <w:p w:rsidR="00000000" w:rsidRDefault="00000000">
      <w:pPr>
        <w:pStyle w:val="ParaNo"/>
        <w:tabs>
          <w:tab w:val="clear" w:pos="737"/>
        </w:tabs>
        <w:ind w:left="0" w:firstLine="0"/>
        <w:rPr>
          <w:lang w:val="en-GB"/>
        </w:rPr>
      </w:pPr>
      <w:r>
        <w:rPr>
          <w:lang w:val="en-GB"/>
        </w:rPr>
        <w:br w:type="page"/>
        <w:t>Albanian agricultural and rural life remains to a large extent at a subsistence level.  Farmers continue subsistence farming on very diversified and extensive farms, faced with the collapse of basic State services and poor maintenance of basic infrastructure.  Priority is given to satisfying basic requirements with very little marketable agricultural surplus.  The principal food crops are cereals (mainly wheat), vegetables, potatoes and white beans.  In terms of area, wheat is the most important crop (approximately 40 per cent of farm area is destined to wheat for consumption) but it contributes little as a source of farm income.  Fodder crops (fodder maize and alfalfa) occupy around 16 per cent of farm area and are expanding as cropping patterns shift from grain to fodder crops.</w:t>
      </w:r>
    </w:p>
    <w:p w:rsidR="00000000" w:rsidRDefault="00000000">
      <w:pPr>
        <w:pStyle w:val="ParaNo"/>
        <w:tabs>
          <w:tab w:val="clear" w:pos="737"/>
        </w:tabs>
        <w:ind w:left="0" w:firstLine="0"/>
        <w:rPr>
          <w:lang w:val="en-GB"/>
        </w:rPr>
      </w:pPr>
      <w:r>
        <w:rPr>
          <w:noProof/>
          <w:sz w:val="20"/>
          <w:lang w:val="en-US"/>
        </w:rPr>
        <w:pict>
          <v:shape id="_x0000_s1046" type="#_x0000_t75" style="position:absolute;left:0;text-align:left;margin-left:79.05pt;margin-top:-175.5pt;width:439.6pt;height:373.25pt;z-index:4;mso-position-horizontal-relative:page" o:allowoverlap="f">
            <v:imagedata r:id="rId13" o:title=""/>
            <w10:wrap type="topAndBottom" anchorx="page"/>
          </v:shape>
          <o:OLEObject Type="Embed" ProgID="Word.Document.8" ShapeID="_x0000_s1046" DrawAspect="Content" ObjectID="_1394883062" r:id="rId14">
            <o:FieldCodes>\s</o:FieldCodes>
          </o:OLEObject>
        </w:pict>
      </w:r>
      <w:r>
        <w:rPr>
          <w:lang w:val="en-GB"/>
        </w:rPr>
        <w:t>Prior to the transition, some 70 per cent of the arable lands were irrigated, affording the opportunity to produce two to three crops of vegetable produce per year.  Following the destruction of irrigation systems during the last decade, irrigated area has been reduced by more than 50 per cent.  Irrigation and drainage rehabilitation projects are under way to bring them back to full</w:t>
      </w:r>
      <w:r>
        <w:rPr>
          <w:lang w:val="en-GB"/>
        </w:rPr>
        <w:noBreakHyphen/>
        <w:t>time and proper irrigation practices.</w:t>
      </w:r>
    </w:p>
    <w:p w:rsidR="00000000" w:rsidRDefault="00000000">
      <w:pPr>
        <w:pStyle w:val="ParaNo"/>
        <w:tabs>
          <w:tab w:val="clear" w:pos="737"/>
        </w:tabs>
        <w:ind w:left="0" w:firstLine="0"/>
        <w:rPr>
          <w:lang w:val="en-GB"/>
        </w:rPr>
      </w:pPr>
      <w:r>
        <w:rPr>
          <w:lang w:val="en-GB"/>
        </w:rPr>
        <w:t>During 1998 and 1999, the area planted increased by about 20,000 ha, mainly with grains, potatoes, white beans and fodder crops.  The area planted with fruit trees, vineyards and citrus doubled as compared to the previous years of transition.  Cash earnings from farming are rather small, whereas livestock, fruit and vegetable production is the most attractive to farmers in terms of cash</w:t>
      </w:r>
      <w:r>
        <w:rPr>
          <w:lang w:val="en-GB"/>
        </w:rPr>
        <w:noBreakHyphen/>
        <w:t>income activities.</w:t>
      </w:r>
    </w:p>
    <w:p w:rsidR="00000000" w:rsidRDefault="00000000">
      <w:pPr>
        <w:pStyle w:val="ParaNo"/>
      </w:pPr>
      <w:proofErr w:type="spellStart"/>
      <w:r>
        <w:t>The</w:t>
      </w:r>
      <w:proofErr w:type="spellEnd"/>
      <w:r>
        <w:t xml:space="preserve"> agriculture </w:t>
      </w:r>
      <w:proofErr w:type="spellStart"/>
      <w:r>
        <w:t>sector</w:t>
      </w:r>
      <w:proofErr w:type="spellEnd"/>
      <w:r>
        <w:t xml:space="preserve"> has experienced drastic changes since 1991.  The important progress has been made in terms of land reform, the privatization of former collective farms and agro</w:t>
      </w:r>
      <w:r>
        <w:noBreakHyphen/>
        <w:t>processing enterprises and in establishing a largely free incentive framework.  However, since 1995, output growth has stagnated and early high growth rates have slowed, dropping from 13 per cent in 1995 to 8 per cent in 1996, and 1 per cent in 1997.  A certain recovery started in 1998 when the agricultural output grew by 4 per cent and in 1999 by around 6 per cent.</w:t>
      </w:r>
    </w:p>
    <w:p w:rsidR="00000000" w:rsidRDefault="00000000">
      <w:pPr>
        <w:pStyle w:val="ParaNo"/>
        <w:tabs>
          <w:tab w:val="clear" w:pos="737"/>
        </w:tabs>
        <w:ind w:left="0" w:firstLine="0"/>
        <w:rPr>
          <w:lang w:val="en-GB"/>
        </w:rPr>
      </w:pPr>
      <w:r>
        <w:rPr>
          <w:lang w:val="en-GB"/>
        </w:rPr>
        <w:t>After the initial disruption in the first two years of transition (1991 and 1992), cereal production has generally remained stable around 600,000 to 650,000 tonnes per year but largely below the pre</w:t>
      </w:r>
      <w:r>
        <w:rPr>
          <w:lang w:val="en-GB"/>
        </w:rPr>
        <w:noBreakHyphen/>
        <w:t xml:space="preserve">transition level of around 1 million tonnes.  Before 1990, substantial amounts of oilseed, sugarbeets and tobacco were produced for both domestic consumption and export.  </w:t>
      </w:r>
    </w:p>
    <w:p w:rsidR="00000000" w:rsidRDefault="00000000">
      <w:pPr>
        <w:pStyle w:val="ParaNo"/>
        <w:tabs>
          <w:tab w:val="clear" w:pos="737"/>
        </w:tabs>
        <w:ind w:left="0" w:firstLine="0"/>
        <w:rPr>
          <w:lang w:val="en-GB"/>
        </w:rPr>
      </w:pPr>
      <w:r>
        <w:rPr>
          <w:lang w:val="en-GB"/>
        </w:rPr>
        <w:t>Although tobacco is still an important cash crop, vegetables and fruit crops are favoured as the best cash crops suited to prevailing small</w:t>
      </w:r>
      <w:r>
        <w:rPr>
          <w:lang w:val="en-GB"/>
        </w:rPr>
        <w:noBreakHyphen/>
        <w:t>scale farming.  The recognition of higher returns from vegetable and fruit production has caused a rapid expansion of plastic</w:t>
      </w:r>
      <w:r>
        <w:rPr>
          <w:lang w:val="en-GB"/>
        </w:rPr>
        <w:noBreakHyphen/>
        <w:t>sheet greenhouses (plastic tunnels) as well as an increased sowing of summer vegetables where irrigation services are guaranteed.</w:t>
      </w:r>
    </w:p>
    <w:p w:rsidR="00000000" w:rsidRDefault="00000000">
      <w:pPr>
        <w:pStyle w:val="ParaNo"/>
        <w:tabs>
          <w:tab w:val="clear" w:pos="737"/>
        </w:tabs>
        <w:ind w:left="0" w:firstLine="0"/>
        <w:rPr>
          <w:lang w:val="en-GB"/>
        </w:rPr>
      </w:pPr>
      <w:r>
        <w:rPr>
          <w:lang w:val="en-GB"/>
        </w:rPr>
        <w:t>Given the profound changes that took place in Albanian agriculture, and the situation the country was going through, the new Government of Albania that assumed office after the elections of 29 June 1997 set as one of the objectives of its programme the formulation of a strategy for agricultural development.</w:t>
      </w:r>
    </w:p>
    <w:p w:rsidR="00000000" w:rsidRDefault="00000000">
      <w:pPr>
        <w:pStyle w:val="ParaNo"/>
        <w:tabs>
          <w:tab w:val="clear" w:pos="737"/>
        </w:tabs>
        <w:ind w:left="0" w:firstLine="0"/>
        <w:rPr>
          <w:lang w:val="en-GB"/>
        </w:rPr>
      </w:pPr>
      <w:r>
        <w:rPr>
          <w:lang w:val="en-GB"/>
        </w:rPr>
        <w:t>This objective is in the framework of commitments of the Government of Albania to face the formidable task of establishing an economic order that would reflect the will and the aspirations of the population.  In this context, the Government, recognizing the importance of the agricultural sector in the national economy, the Ministry of Agriculture and Food formulated a Strategy for Agricultural Development (the “green strategy”).</w:t>
      </w:r>
    </w:p>
    <w:p w:rsidR="00000000" w:rsidRDefault="00000000">
      <w:pPr>
        <w:pStyle w:val="ParaNo"/>
        <w:tabs>
          <w:tab w:val="clear" w:pos="737"/>
        </w:tabs>
        <w:ind w:left="0" w:firstLine="0"/>
        <w:rPr>
          <w:lang w:val="en-GB"/>
        </w:rPr>
      </w:pPr>
      <w:r>
        <w:rPr>
          <w:lang w:val="en-GB"/>
        </w:rPr>
        <w:t>Relying mainly on private family farms, this strategy aims at:  setting up relatively sustainable and efficient structures and increasing the agricultural production; stabilizing the internal market of agricultural products and their marketing; increasing agricultural exports and reducing imports of food products; improving the welfare of farmers and strengthening the Albanian economy as a whole; protecting the environment and managing the natural resources of the country, easing the integration of Albania into the European Union.</w:t>
      </w:r>
    </w:p>
    <w:p w:rsidR="00000000" w:rsidRDefault="00000000">
      <w:pPr>
        <w:pStyle w:val="ParaNo"/>
        <w:tabs>
          <w:tab w:val="clear" w:pos="737"/>
        </w:tabs>
        <w:ind w:left="0" w:firstLine="0"/>
        <w:rPr>
          <w:lang w:val="en-GB"/>
        </w:rPr>
      </w:pPr>
      <w:r>
        <w:rPr>
          <w:lang w:val="en-GB"/>
        </w:rPr>
        <w:t>The work for the formulation of the green strategy was started in September 1997 by a group of specialists from the Ministry of Agriculture and Food, the Agricultural University of Tirana and other institutions, initially with the elaboration of basic ideas about strategy.  As a result, a draft outline document of the strategy was produced.</w:t>
      </w:r>
    </w:p>
    <w:p w:rsidR="00000000" w:rsidRDefault="00000000">
      <w:pPr>
        <w:pStyle w:val="ParaNo"/>
        <w:tabs>
          <w:tab w:val="clear" w:pos="737"/>
        </w:tabs>
        <w:ind w:left="0" w:firstLine="0"/>
        <w:rPr>
          <w:lang w:val="en-GB"/>
        </w:rPr>
      </w:pPr>
      <w:r>
        <w:rPr>
          <w:lang w:val="en-GB"/>
        </w:rPr>
        <w:t>On the basis of this outline, 7 working groups, divided into 33 subgroups, which elaborated respective policies and sub</w:t>
      </w:r>
      <w:r>
        <w:rPr>
          <w:lang w:val="en-GB"/>
        </w:rPr>
        <w:noBreakHyphen/>
        <w:t>policies, were set up.  Various papers, prepared over the last four to five years with the assistance of the World Bank, the European Union and other international institutions as well as models of strategies of other eastern European countries, in the area of agricultural policies, potentials, the prospective and issues related to crop and livestock production, agro</w:t>
      </w:r>
      <w:r>
        <w:rPr>
          <w:lang w:val="en-GB"/>
        </w:rPr>
        <w:noBreakHyphen/>
        <w:t xml:space="preserve">industry, fisheries, environment and the like, were made available to the working groups.  </w:t>
      </w:r>
    </w:p>
    <w:p w:rsidR="00000000" w:rsidRDefault="00000000">
      <w:pPr>
        <w:pStyle w:val="ParaNo"/>
        <w:tabs>
          <w:tab w:val="clear" w:pos="737"/>
        </w:tabs>
        <w:ind w:left="0" w:firstLine="0"/>
        <w:rPr>
          <w:lang w:val="en-GB"/>
        </w:rPr>
      </w:pPr>
      <w:r>
        <w:rPr>
          <w:lang w:val="en-GB"/>
        </w:rPr>
        <w:t>During this period, wide consultations were held with scientists from all fields of the agricultural system, the Agricultural University, research institutes of the agricultural system, the agro</w:t>
      </w:r>
      <w:r>
        <w:rPr>
          <w:lang w:val="en-GB"/>
        </w:rPr>
        <w:noBreakHyphen/>
        <w:t>food industry, forestry, fisheries and representatives of associations and trade unions that operate in these fields.  The draft strategy paper was at first presented in and subject to discussion at an ad hoc conference held in April 1998.</w:t>
      </w:r>
    </w:p>
    <w:p w:rsidR="00000000" w:rsidRDefault="00000000">
      <w:pPr>
        <w:pStyle w:val="ParaNo"/>
        <w:tabs>
          <w:tab w:val="clear" w:pos="737"/>
        </w:tabs>
        <w:ind w:left="0" w:firstLine="0"/>
        <w:rPr>
          <w:lang w:val="en-GB"/>
        </w:rPr>
      </w:pPr>
      <w:r>
        <w:rPr>
          <w:lang w:val="en-GB"/>
        </w:rPr>
        <w:t>Meanwhile, systematic consultations with the World Bank, the International Monetary Fund (IMF), the Food and Agriculture Organization of the United Nations (FAO), Centre International de Hautes Etudes Agronomiques Méditerranéenes (CIHEAM) and other international agencies whose suggestions have been taken into account in finalizing the paper.</w:t>
      </w:r>
    </w:p>
    <w:p w:rsidR="00000000" w:rsidRDefault="00000000">
      <w:pPr>
        <w:pStyle w:val="ParaNo"/>
        <w:tabs>
          <w:tab w:val="clear" w:pos="737"/>
        </w:tabs>
        <w:ind w:left="0" w:firstLine="0"/>
        <w:rPr>
          <w:lang w:val="en-GB"/>
        </w:rPr>
      </w:pPr>
      <w:r>
        <w:rPr>
          <w:lang w:val="en-GB"/>
        </w:rPr>
        <w:t>The “Strategy for agricultural development” is a document to be used in a medium/long</w:t>
      </w:r>
      <w:r>
        <w:rPr>
          <w:lang w:val="en-GB"/>
        </w:rPr>
        <w:noBreakHyphen/>
        <w:t>term perspective, but at the same time it foresees actions to be undertaken in the short term.  The Interagency Economic Policy Committee has also discussed the draft Strategy Paper.</w:t>
      </w:r>
    </w:p>
    <w:p w:rsidR="00000000" w:rsidRDefault="00000000">
      <w:pPr>
        <w:pStyle w:val="Heading3"/>
      </w:pPr>
      <w:r>
        <w:t>Main objectives (related to food)</w:t>
      </w:r>
    </w:p>
    <w:p w:rsidR="00000000" w:rsidRDefault="00000000">
      <w:pPr>
        <w:pStyle w:val="ParaNo"/>
        <w:tabs>
          <w:tab w:val="clear" w:pos="737"/>
        </w:tabs>
        <w:ind w:left="0" w:firstLine="0"/>
        <w:rPr>
          <w:lang w:val="en-GB"/>
        </w:rPr>
      </w:pPr>
      <w:r>
        <w:rPr>
          <w:lang w:val="en-GB"/>
        </w:rPr>
        <w:t>The main objectives of the strategy for agriculture development are the following:</w:t>
      </w:r>
    </w:p>
    <w:p w:rsidR="00000000" w:rsidRDefault="00000000">
      <w:pPr>
        <w:pStyle w:val="ParaNo"/>
        <w:numPr>
          <w:ilvl w:val="0"/>
          <w:numId w:val="194"/>
        </w:numPr>
        <w:rPr>
          <w:lang w:val="en-GB"/>
        </w:rPr>
      </w:pPr>
      <w:r>
        <w:rPr>
          <w:lang w:val="en-GB"/>
        </w:rPr>
        <w:t>Acquisition of a satisfactory level of living for the rural population, especially through an increase of the individual incomes of those working directly in agriculture;</w:t>
      </w:r>
    </w:p>
    <w:p w:rsidR="00000000" w:rsidRDefault="00000000">
      <w:pPr>
        <w:pStyle w:val="ParaNo"/>
        <w:numPr>
          <w:ilvl w:val="0"/>
          <w:numId w:val="194"/>
        </w:numPr>
        <w:rPr>
          <w:lang w:val="en-GB"/>
        </w:rPr>
      </w:pPr>
      <w:r>
        <w:rPr>
          <w:lang w:val="en-GB"/>
        </w:rPr>
        <w:t>Guaranteeing food security in the country with relation to both the quality and quantity of food.</w:t>
      </w:r>
    </w:p>
    <w:p w:rsidR="00000000" w:rsidRDefault="00000000">
      <w:pPr>
        <w:pStyle w:val="Heading3"/>
      </w:pPr>
      <w:r>
        <w:t>Food industry</w:t>
      </w:r>
    </w:p>
    <w:p w:rsidR="00000000" w:rsidRDefault="00000000">
      <w:pPr>
        <w:pStyle w:val="ParaNo"/>
        <w:tabs>
          <w:tab w:val="clear" w:pos="737"/>
        </w:tabs>
        <w:ind w:left="0" w:firstLine="0"/>
        <w:rPr>
          <w:lang w:val="en-GB"/>
        </w:rPr>
      </w:pPr>
      <w:r>
        <w:rPr>
          <w:lang w:val="en-GB"/>
        </w:rPr>
        <w:t>There are 1,900 factories and processing lines, organized mainly in small and medium</w:t>
      </w:r>
      <w:r>
        <w:rPr>
          <w:lang w:val="en-GB"/>
        </w:rPr>
        <w:noBreakHyphen/>
        <w:t>scale enterprises, in the food industry.  The general production of the food industry is low.  The domestic consumption of foodstuffs increases from year to year.  Albania is a big importer and a small exporter of foodstuffs.  Almost all branches of this industry have a negative trade balance.</w:t>
      </w:r>
    </w:p>
    <w:p w:rsidR="00000000" w:rsidRDefault="00000000">
      <w:pPr>
        <w:pStyle w:val="ParaNo"/>
        <w:tabs>
          <w:tab w:val="clear" w:pos="737"/>
        </w:tabs>
        <w:ind w:left="0" w:firstLine="0"/>
        <w:rPr>
          <w:lang w:val="en-GB"/>
        </w:rPr>
      </w:pPr>
      <w:r>
        <w:rPr>
          <w:lang w:val="en-GB"/>
        </w:rPr>
        <w:t>The transition period in our country was associated with a significant decline of production and destruction of part of production units.  The decline of production was affected by:</w:t>
      </w:r>
    </w:p>
    <w:p w:rsidR="00000000" w:rsidRDefault="00000000">
      <w:pPr>
        <w:numPr>
          <w:ilvl w:val="0"/>
          <w:numId w:val="65"/>
        </w:numPr>
      </w:pPr>
      <w:r>
        <w:t>Competition from imports;</w:t>
      </w:r>
    </w:p>
    <w:p w:rsidR="00000000" w:rsidRDefault="00000000">
      <w:pPr>
        <w:numPr>
          <w:ilvl w:val="0"/>
          <w:numId w:val="65"/>
        </w:numPr>
      </w:pPr>
      <w:r>
        <w:t>Marketing a considerable part of agricultural products directly by the farmer to the consumer as well as partial processing by family farms themselves;</w:t>
      </w:r>
    </w:p>
    <w:p w:rsidR="00000000" w:rsidRDefault="00000000">
      <w:pPr>
        <w:numPr>
          <w:ilvl w:val="0"/>
          <w:numId w:val="65"/>
        </w:numPr>
      </w:pPr>
      <w:r>
        <w:t>Interruption of the activity of enterprises due to the obsolescence of their technology;</w:t>
      </w:r>
    </w:p>
    <w:p w:rsidR="00000000" w:rsidRDefault="00000000">
      <w:pPr>
        <w:numPr>
          <w:ilvl w:val="0"/>
          <w:numId w:val="65"/>
        </w:numPr>
      </w:pPr>
      <w:r>
        <w:t>Insufficient financial means for the necessary technological renovations, as well as lack of capital for opening up new activities.</w:t>
      </w:r>
    </w:p>
    <w:p w:rsidR="00000000" w:rsidRDefault="00000000">
      <w:pPr>
        <w:pStyle w:val="ParaNo"/>
        <w:tabs>
          <w:tab w:val="clear" w:pos="737"/>
        </w:tabs>
        <w:ind w:left="0" w:firstLine="0"/>
        <w:rPr>
          <w:lang w:val="en-GB"/>
        </w:rPr>
      </w:pPr>
      <w:r>
        <w:rPr>
          <w:lang w:val="en-GB"/>
        </w:rPr>
        <w:t>However, the agro</w:t>
      </w:r>
      <w:r>
        <w:rPr>
          <w:lang w:val="en-GB"/>
        </w:rPr>
        <w:noBreakHyphen/>
        <w:t>processing industry was one of the first branches of the economy of the country to undergo the privatization process.  The private sector made up 90 per cent of production as of 1998.  But not all enterprises have been restored to their former level of activity.</w:t>
      </w:r>
    </w:p>
    <w:p w:rsidR="00000000" w:rsidRDefault="00000000">
      <w:pPr>
        <w:pStyle w:val="ParaNo"/>
        <w:tabs>
          <w:tab w:val="clear" w:pos="737"/>
        </w:tabs>
        <w:ind w:left="0" w:firstLine="0"/>
        <w:rPr>
          <w:lang w:val="en-GB"/>
        </w:rPr>
      </w:pPr>
      <w:r>
        <w:rPr>
          <w:lang w:val="en-GB"/>
        </w:rPr>
        <w:t>Investments in the food industry are mainly by Albanian investors, whereas foreign investments are deemed to be small.  Presently, there exists a processing industry composed of small, scattered processing lines.  Its production does not yet meet the quality and quantity level of market supply and competition.</w:t>
      </w:r>
    </w:p>
    <w:p w:rsidR="00000000" w:rsidRDefault="00000000">
      <w:pPr>
        <w:pStyle w:val="ParaNo"/>
        <w:tabs>
          <w:tab w:val="clear" w:pos="737"/>
        </w:tabs>
        <w:ind w:left="0" w:firstLine="0"/>
        <w:rPr>
          <w:lang w:val="en-GB"/>
        </w:rPr>
      </w:pPr>
      <w:r>
        <w:rPr>
          <w:lang w:val="en-GB"/>
        </w:rPr>
        <w:t>The general trend is a gradual increase, depending on financial possibilities, in securing raw materials.  The flour milling industry, the pasta and bread industry, the industry of oils and fats (particularly the olive oil industry); the milk processing and the post</w:t>
      </w:r>
      <w:r>
        <w:rPr>
          <w:lang w:val="en-GB"/>
        </w:rPr>
        <w:noBreakHyphen/>
        <w:t>harvest industry have been identified as priority sectors.  On the other hand, more profitable results come from tobacco production, beer, wine and alcoholic drinks.</w:t>
      </w:r>
    </w:p>
    <w:p w:rsidR="00000000" w:rsidRDefault="00000000">
      <w:pPr>
        <w:pStyle w:val="Heading3"/>
      </w:pPr>
      <w:r>
        <w:t>Objectives</w:t>
      </w:r>
    </w:p>
    <w:p w:rsidR="00000000" w:rsidRDefault="00000000">
      <w:pPr>
        <w:pStyle w:val="ParaNo"/>
        <w:tabs>
          <w:tab w:val="clear" w:pos="737"/>
        </w:tabs>
        <w:ind w:left="0" w:firstLine="0"/>
        <w:rPr>
          <w:lang w:val="en-GB"/>
        </w:rPr>
      </w:pPr>
      <w:r>
        <w:rPr>
          <w:lang w:val="en-GB"/>
        </w:rPr>
        <w:t>The main objectives are:  the restoration of industry, aiming at enhancing new investments; the continuation of the work to establish an appropriate legal framework, as well as the enhancement of a transparent and sustainable regulatory environment in the marketplace, and, an increase in the efficiency of food control.</w:t>
      </w:r>
    </w:p>
    <w:p w:rsidR="00000000" w:rsidRDefault="00000000">
      <w:pPr>
        <w:pStyle w:val="Heading3"/>
      </w:pPr>
      <w:r>
        <w:t>Processing foodstuffs</w:t>
      </w:r>
    </w:p>
    <w:p w:rsidR="00000000" w:rsidRDefault="00000000">
      <w:pPr>
        <w:pStyle w:val="ParaNo"/>
        <w:tabs>
          <w:tab w:val="clear" w:pos="737"/>
        </w:tabs>
        <w:ind w:left="0" w:firstLine="0"/>
        <w:rPr>
          <w:lang w:val="en-GB"/>
        </w:rPr>
      </w:pPr>
      <w:r>
        <w:rPr>
          <w:lang w:val="en-GB"/>
        </w:rPr>
        <w:t>An immediate enhancement of investments is the principal means of raising living standards and aims to:</w:t>
      </w:r>
    </w:p>
    <w:p w:rsidR="00000000" w:rsidRDefault="00000000">
      <w:r>
        <w:tab/>
        <w:t>(a)</w:t>
      </w:r>
      <w:r>
        <w:tab/>
        <w:t>Define development priorities and support reactivation of important branches of the food industry.  In this context, work will be done to study certain production networks, the possible development of this industry in certain areas or all of the country, gradual completion of the legal framework as well as creation of programmes for the development of certain branches of this industry in certain regions or all over the country;</w:t>
      </w:r>
    </w:p>
    <w:p w:rsidR="00000000" w:rsidRDefault="00000000">
      <w:r>
        <w:tab/>
        <w:t>(b)</w:t>
      </w:r>
      <w:r>
        <w:tab/>
        <w:t>Support investment with credit lines.  With the improvement of the banking system and the relaunch of normal activity of agrarian credit lines and, in some cases, via favourable provision of credit to sectors of agriculture and livestock, conditions will be created for securing raw materials domestically in order to supply the processing industry.  These investments will be oriented mainly towards priority sectors such as milk processing and its by</w:t>
      </w:r>
      <w:r>
        <w:noBreakHyphen/>
        <w:t>products, grains, conservation, oil, etc.</w:t>
      </w:r>
    </w:p>
    <w:p w:rsidR="00000000" w:rsidRDefault="00000000">
      <w:pPr>
        <w:pStyle w:val="Heading3"/>
      </w:pPr>
      <w:r>
        <w:t>Control of foodstuffs</w:t>
      </w:r>
    </w:p>
    <w:p w:rsidR="00000000" w:rsidRDefault="00000000">
      <w:pPr>
        <w:pStyle w:val="ParaNo"/>
        <w:tabs>
          <w:tab w:val="clear" w:pos="737"/>
        </w:tabs>
        <w:ind w:left="0" w:firstLine="0"/>
        <w:rPr>
          <w:lang w:val="en-GB"/>
        </w:rPr>
      </w:pPr>
      <w:r>
        <w:rPr>
          <w:lang w:val="en-GB"/>
        </w:rPr>
        <w:t>Organization of strong, rigorous and efficient State food control through:</w:t>
      </w:r>
    </w:p>
    <w:p w:rsidR="00000000" w:rsidRDefault="00000000">
      <w:pPr>
        <w:numPr>
          <w:ilvl w:val="0"/>
          <w:numId w:val="195"/>
        </w:numPr>
      </w:pPr>
      <w:r>
        <w:t>Gradual completion of the legal framework;</w:t>
      </w:r>
    </w:p>
    <w:p w:rsidR="00000000" w:rsidRDefault="00000000">
      <w:pPr>
        <w:numPr>
          <w:ilvl w:val="0"/>
          <w:numId w:val="195"/>
        </w:numPr>
      </w:pPr>
      <w:r>
        <w:t>Improvement of food quality control when products are being produced and at customs;</w:t>
      </w:r>
    </w:p>
    <w:p w:rsidR="00000000" w:rsidRDefault="00000000">
      <w:pPr>
        <w:numPr>
          <w:ilvl w:val="0"/>
          <w:numId w:val="195"/>
        </w:numPr>
      </w:pPr>
      <w:r>
        <w:t>Strengthening the laboratory network performing analysis of foodstuffs;</w:t>
      </w:r>
    </w:p>
    <w:p w:rsidR="00000000" w:rsidRDefault="00000000">
      <w:pPr>
        <w:numPr>
          <w:ilvl w:val="0"/>
          <w:numId w:val="195"/>
        </w:numPr>
      </w:pPr>
      <w:r>
        <w:t>Stimulation and encouragement to the producers/traders who produce/trade safe and high</w:t>
      </w:r>
      <w:r>
        <w:noBreakHyphen/>
        <w:t>quality products.  Stimulation of establishment of producers and traders associations, encouragement and support to the consumers association as well as increase of the level of public information;</w:t>
      </w:r>
    </w:p>
    <w:p w:rsidR="00000000" w:rsidRDefault="00000000">
      <w:pPr>
        <w:numPr>
          <w:ilvl w:val="0"/>
          <w:numId w:val="195"/>
        </w:numPr>
      </w:pPr>
      <w:r>
        <w:t>Technical assistance to be addressed to producers and traders of foodstuffs.</w:t>
      </w:r>
    </w:p>
    <w:p w:rsidR="00000000" w:rsidRDefault="00000000">
      <w:r>
        <w:t>In every market economy the State is in charge of protecting the health of its citizens, guaranteeing their safety, protecting its consumers’ interests and protecting and safeguarding the environment.  To this end, work will be done to complete the drafting of the relevant legal basis that will be gradually harmonized with that of the European Union.</w:t>
      </w:r>
    </w:p>
    <w:p w:rsidR="00000000" w:rsidRDefault="00000000">
      <w:pPr>
        <w:pStyle w:val="ParaNo"/>
        <w:tabs>
          <w:tab w:val="clear" w:pos="737"/>
        </w:tabs>
        <w:ind w:left="0" w:firstLine="0"/>
        <w:rPr>
          <w:lang w:val="en-GB"/>
        </w:rPr>
      </w:pPr>
      <w:r>
        <w:rPr>
          <w:lang w:val="en-GB"/>
        </w:rPr>
        <w:t>State quality control of food will be focused, first, on the products produced locally, the production process and, secondly, on imported products, where the efficiency of quality control at customs offices will be increased with the long</w:t>
      </w:r>
      <w:r>
        <w:rPr>
          <w:lang w:val="en-GB"/>
        </w:rPr>
        <w:noBreakHyphen/>
        <w:t>term goal of exercising control for the place of origin.</w:t>
      </w:r>
    </w:p>
    <w:p w:rsidR="00000000" w:rsidRDefault="00000000">
      <w:pPr>
        <w:pStyle w:val="ParaNo"/>
        <w:tabs>
          <w:tab w:val="clear" w:pos="737"/>
        </w:tabs>
        <w:ind w:left="0" w:firstLine="0"/>
        <w:rPr>
          <w:lang w:val="en-GB"/>
        </w:rPr>
      </w:pPr>
      <w:r>
        <w:rPr>
          <w:lang w:val="en-GB"/>
        </w:rPr>
        <w:t>To this aim, attempts will be made to make food control aim at inspecting production establishments, the storage and distribution network</w:t>
      </w:r>
      <w:r>
        <w:rPr>
          <w:iCs/>
          <w:lang w:val="en-GB"/>
        </w:rPr>
        <w:t xml:space="preserve">.  </w:t>
      </w:r>
      <w:r>
        <w:rPr>
          <w:lang w:val="en-GB"/>
        </w:rPr>
        <w:t>Market supervision will also be enhanced</w:t>
      </w:r>
      <w:r>
        <w:rPr>
          <w:iCs/>
          <w:lang w:val="en-GB"/>
        </w:rPr>
        <w:t xml:space="preserve">.  </w:t>
      </w:r>
      <w:r>
        <w:rPr>
          <w:lang w:val="en-GB"/>
        </w:rPr>
        <w:t>On the other hand, work will be done on the institutionalization, cooperation and coordination of the work with the Ministry of Finance (taxes and customs duties), the Ministry of Justice, the Ministry of Interior and local authorities</w:t>
      </w:r>
      <w:r>
        <w:rPr>
          <w:iCs/>
          <w:lang w:val="en-GB"/>
        </w:rPr>
        <w:t xml:space="preserve">.  </w:t>
      </w:r>
      <w:r>
        <w:rPr>
          <w:lang w:val="en-GB"/>
        </w:rPr>
        <w:t>Collaboration will be increased also with NGOs related to this field.</w:t>
      </w:r>
    </w:p>
    <w:p w:rsidR="00000000" w:rsidRDefault="00000000">
      <w:pPr>
        <w:pStyle w:val="ParaNo"/>
        <w:tabs>
          <w:tab w:val="clear" w:pos="737"/>
        </w:tabs>
        <w:ind w:left="0" w:firstLine="0"/>
        <w:rPr>
          <w:lang w:val="en-GB"/>
        </w:rPr>
      </w:pPr>
      <w:r>
        <w:rPr>
          <w:lang w:val="en-GB"/>
        </w:rPr>
        <w:t>In 1998 damaged laboratories were completed that were supplied with equipment, the first regional laboratory for food control was built (in Durres) and the Food Research Institute, a national centre for food control, was strengthened as well.</w:t>
      </w:r>
    </w:p>
    <w:p w:rsidR="00000000" w:rsidRDefault="00000000">
      <w:pPr>
        <w:pStyle w:val="ParaNo"/>
        <w:tabs>
          <w:tab w:val="clear" w:pos="737"/>
        </w:tabs>
        <w:ind w:left="0" w:firstLine="0"/>
        <w:rPr>
          <w:lang w:val="en-GB"/>
        </w:rPr>
      </w:pPr>
      <w:r>
        <w:rPr>
          <w:lang w:val="en-GB"/>
        </w:rPr>
        <w:t>It is very important and essential for the purpose of the strategy that supportive legislation to these policies be drafted, contends the Ministry of Agriculture and Food.</w:t>
      </w:r>
    </w:p>
    <w:p w:rsidR="00000000" w:rsidRDefault="00000000">
      <w:pPr>
        <w:pStyle w:val="Heading3"/>
      </w:pPr>
      <w:r>
        <w:t>Right to housing</w:t>
      </w:r>
    </w:p>
    <w:p w:rsidR="00000000" w:rsidRDefault="00000000">
      <w:pPr>
        <w:pStyle w:val="ParaNo"/>
        <w:tabs>
          <w:tab w:val="clear" w:pos="737"/>
        </w:tabs>
        <w:ind w:left="0" w:firstLine="0"/>
        <w:rPr>
          <w:lang w:val="en-GB"/>
        </w:rPr>
      </w:pPr>
      <w:r>
        <w:rPr>
          <w:lang w:val="en-GB"/>
        </w:rPr>
        <w:t>The changes in the political system in the 1990s were accompanied with structural reforms aiming at the introduction of free</w:t>
      </w:r>
      <w:r>
        <w:rPr>
          <w:lang w:val="en-GB"/>
        </w:rPr>
        <w:noBreakHyphen/>
        <w:t>market mechanisms</w:t>
      </w:r>
      <w:r>
        <w:rPr>
          <w:iCs/>
          <w:lang w:val="en-GB"/>
        </w:rPr>
        <w:t xml:space="preserve">.  </w:t>
      </w:r>
      <w:r>
        <w:rPr>
          <w:lang w:val="en-GB"/>
        </w:rPr>
        <w:t>Such reforms also had their impact on the housing sector and were mainly reflected in the privatization of State</w:t>
      </w:r>
      <w:r>
        <w:rPr>
          <w:lang w:val="en-GB"/>
        </w:rPr>
        <w:noBreakHyphen/>
        <w:t>owned houses, the liberalization of leases and the beginning of private construction, had a great impact on the informal sector.</w:t>
      </w:r>
    </w:p>
    <w:p w:rsidR="00000000" w:rsidRDefault="00000000">
      <w:pPr>
        <w:pStyle w:val="ParaNo"/>
        <w:tabs>
          <w:tab w:val="clear" w:pos="737"/>
        </w:tabs>
        <w:ind w:left="0" w:firstLine="0"/>
        <w:rPr>
          <w:lang w:val="en-GB"/>
        </w:rPr>
      </w:pPr>
      <w:r>
        <w:rPr>
          <w:lang w:val="en-GB"/>
        </w:rPr>
        <w:t>The families who are considered for housing provision by the State, identified as “houseless”, are the ones who have not profited by the privatization of houses in 1993, according to Law No</w:t>
      </w:r>
      <w:r>
        <w:rPr>
          <w:iCs/>
          <w:lang w:val="en-GB"/>
        </w:rPr>
        <w:t>. </w:t>
      </w:r>
      <w:r>
        <w:rPr>
          <w:lang w:val="en-GB"/>
        </w:rPr>
        <w:t>7652, dated 23 December 1992, “On the privatization of State buildings”, or that have privatized a building under the forms provided at that time</w:t>
      </w:r>
      <w:r>
        <w:rPr>
          <w:iCs/>
          <w:lang w:val="en-GB"/>
        </w:rPr>
        <w:t xml:space="preserve"> </w:t>
      </w:r>
      <w:r>
        <w:rPr>
          <w:lang w:val="en-GB"/>
        </w:rPr>
        <w:t>(decision of the Council of Ministers No</w:t>
      </w:r>
      <w:r>
        <w:rPr>
          <w:iCs/>
          <w:lang w:val="en-GB"/>
        </w:rPr>
        <w:t>. </w:t>
      </w:r>
      <w:r>
        <w:rPr>
          <w:lang w:val="en-GB"/>
        </w:rPr>
        <w:t>49 dated 29 January 1993, “On the determination of the criteria for the houseless”, defines the term houseless).</w:t>
      </w:r>
    </w:p>
    <w:p w:rsidR="00000000" w:rsidRDefault="00000000">
      <w:pPr>
        <w:pStyle w:val="ParaNo"/>
        <w:tabs>
          <w:tab w:val="clear" w:pos="737"/>
        </w:tabs>
        <w:ind w:left="0" w:firstLine="0"/>
        <w:rPr>
          <w:lang w:val="en-GB"/>
        </w:rPr>
      </w:pPr>
      <w:r>
        <w:rPr>
          <w:lang w:val="en-GB"/>
        </w:rPr>
        <w:t>The arguments that justify and support State intervention in this direction, during said period, are:</w:t>
      </w:r>
    </w:p>
    <w:p w:rsidR="00000000" w:rsidRDefault="00000000">
      <w:pPr>
        <w:pStyle w:val="BodyText2"/>
        <w:numPr>
          <w:ilvl w:val="0"/>
          <w:numId w:val="196"/>
        </w:numPr>
        <w:spacing w:after="220"/>
        <w:jc w:val="left"/>
      </w:pPr>
      <w:r>
        <w:t>The need for the establishment of the private housing market, which was accomplished through the privatization of 220,000 State</w:t>
      </w:r>
      <w:r>
        <w:noBreakHyphen/>
        <w:t>owned houses, as well as through a liberal policy toward the free market;</w:t>
      </w:r>
    </w:p>
    <w:p w:rsidR="00000000" w:rsidRDefault="00000000">
      <w:pPr>
        <w:numPr>
          <w:ilvl w:val="0"/>
          <w:numId w:val="196"/>
        </w:numPr>
        <w:spacing w:after="220"/>
      </w:pPr>
      <w:r>
        <w:t>Cuts in the subventions for maintenance of buildings and the establishment of the conditions for a better maintenance by making the families owners of the buildings;</w:t>
      </w:r>
    </w:p>
    <w:p w:rsidR="00000000" w:rsidRDefault="00000000">
      <w:pPr>
        <w:numPr>
          <w:ilvl w:val="0"/>
          <w:numId w:val="196"/>
        </w:numPr>
        <w:spacing w:after="220"/>
      </w:pPr>
      <w:r>
        <w:t>Moral and political norms, according to which the privatization of the buildings is done almost for free and the commitment of the State towards families that could not benefit from the privatization of houses.</w:t>
      </w:r>
    </w:p>
    <w:p w:rsidR="00000000" w:rsidRDefault="00000000">
      <w:pPr>
        <w:pStyle w:val="ParaNo"/>
        <w:tabs>
          <w:tab w:val="clear" w:pos="737"/>
        </w:tabs>
        <w:ind w:left="0" w:firstLine="0"/>
        <w:rPr>
          <w:lang w:val="en-GB"/>
        </w:rPr>
      </w:pPr>
      <w:r>
        <w:rPr>
          <w:lang w:val="en-GB"/>
        </w:rPr>
        <w:t>The effects of such policies have resulted in:</w:t>
      </w:r>
    </w:p>
    <w:p w:rsidR="00000000" w:rsidRDefault="00000000">
      <w:pPr>
        <w:pStyle w:val="BodyText2"/>
        <w:numPr>
          <w:ilvl w:val="0"/>
          <w:numId w:val="197"/>
        </w:numPr>
        <w:spacing w:after="220"/>
        <w:jc w:val="left"/>
      </w:pPr>
      <w:r>
        <w:t>The flourishing of the private market, considering the fact that the new owner could sell, lease or grant as collateral his house;</w:t>
      </w:r>
    </w:p>
    <w:p w:rsidR="00000000" w:rsidRDefault="00000000">
      <w:pPr>
        <w:numPr>
          <w:ilvl w:val="0"/>
          <w:numId w:val="197"/>
        </w:numPr>
        <w:spacing w:after="220"/>
      </w:pPr>
      <w:r>
        <w:t>The prospering of the informal house market as a result of liberal policies towards the private sector and as a result of the mass migration of the population;</w:t>
      </w:r>
    </w:p>
    <w:p w:rsidR="00000000" w:rsidRDefault="00000000">
      <w:pPr>
        <w:pStyle w:val="BodyText2"/>
        <w:numPr>
          <w:ilvl w:val="0"/>
          <w:numId w:val="197"/>
        </w:numPr>
        <w:spacing w:after="220"/>
        <w:jc w:val="left"/>
      </w:pPr>
      <w:r>
        <w:t>Deterioration of the conditions of the privatized buildings as a result of the lack of maintenance</w:t>
      </w:r>
      <w:r>
        <w:rPr>
          <w:iCs/>
        </w:rPr>
        <w:t xml:space="preserve">.  </w:t>
      </w:r>
      <w:r>
        <w:t>The families who became owners of the buildings were not used to or prepared to become owners, and on the other hand, many such families did not have the economic conditions to support the status of owner that comprises also maintenance obligations;</w:t>
      </w:r>
    </w:p>
    <w:p w:rsidR="00000000" w:rsidRDefault="00000000">
      <w:pPr>
        <w:numPr>
          <w:ilvl w:val="0"/>
          <w:numId w:val="197"/>
        </w:numPr>
        <w:spacing w:after="220"/>
      </w:pPr>
      <w:r>
        <w:t>A boost of house prices in the free market in the main cities, as a result of the great demand and limited supply;</w:t>
      </w:r>
    </w:p>
    <w:p w:rsidR="00000000" w:rsidRDefault="00000000">
      <w:pPr>
        <w:numPr>
          <w:ilvl w:val="0"/>
          <w:numId w:val="197"/>
        </w:numPr>
      </w:pPr>
      <w:r>
        <w:t>Limitation of access to housing for different groups of society such as newly established families, marginalized classes, etc.</w:t>
      </w:r>
    </w:p>
    <w:p w:rsidR="00000000" w:rsidRDefault="00000000">
      <w:pPr>
        <w:pStyle w:val="ParaNo"/>
        <w:tabs>
          <w:tab w:val="clear" w:pos="737"/>
        </w:tabs>
        <w:ind w:left="0" w:firstLine="0"/>
        <w:rPr>
          <w:lang w:val="en-GB"/>
        </w:rPr>
      </w:pPr>
      <w:r>
        <w:rPr>
          <w:lang w:val="en-GB"/>
        </w:rPr>
        <w:t>During this period, for housing purposes 11,000 apartments were built and transferred through the market to accommodate 9,227 families</w:t>
      </w:r>
      <w:r>
        <w:rPr>
          <w:iCs/>
          <w:lang w:val="en-GB"/>
        </w:rPr>
        <w:t xml:space="preserve">.  </w:t>
      </w:r>
      <w:r>
        <w:rPr>
          <w:lang w:val="en-GB"/>
        </w:rPr>
        <w:t>There were 2,274 apartments with suspended contracts caused by:  court proceedings, occupancy, financial inability, etc.</w:t>
      </w:r>
    </w:p>
    <w:p w:rsidR="00000000" w:rsidRDefault="00000000">
      <w:pPr>
        <w:pStyle w:val="ParaNo"/>
        <w:tabs>
          <w:tab w:val="clear" w:pos="737"/>
        </w:tabs>
        <w:ind w:left="0" w:firstLine="0"/>
        <w:rPr>
          <w:lang w:val="en-GB"/>
        </w:rPr>
      </w:pPr>
      <w:r>
        <w:rPr>
          <w:lang w:val="en-GB"/>
        </w:rPr>
        <w:t>The sources of financing for housing during 1992</w:t>
      </w:r>
      <w:r>
        <w:rPr>
          <w:lang w:val="en-GB"/>
        </w:rPr>
        <w:noBreakHyphen/>
        <w:t>2003 were:  (a) the State budget, in the form of investment in new buildings and subventions, and (b) private investors.</w:t>
      </w:r>
    </w:p>
    <w:p w:rsidR="00000000" w:rsidRDefault="00000000">
      <w:pPr>
        <w:pStyle w:val="Heading3"/>
      </w:pPr>
      <w:r>
        <w:t>Equality with regard to housing</w:t>
      </w:r>
    </w:p>
    <w:p w:rsidR="00000000" w:rsidRDefault="00000000">
      <w:pPr>
        <w:pStyle w:val="ParaNo"/>
        <w:tabs>
          <w:tab w:val="clear" w:pos="737"/>
        </w:tabs>
        <w:spacing w:after="0"/>
        <w:ind w:left="0" w:firstLine="0"/>
        <w:rPr>
          <w:lang w:val="en-GB"/>
        </w:rPr>
      </w:pPr>
      <w:r>
        <w:rPr>
          <w:lang w:val="en-GB"/>
        </w:rPr>
        <w:t>In current housing policy, all categories of the houseless are treated equally, independently from their social and economic status</w:t>
      </w:r>
      <w:r>
        <w:rPr>
          <w:iCs/>
          <w:lang w:val="en-GB"/>
        </w:rPr>
        <w:t xml:space="preserve">.  </w:t>
      </w:r>
      <w:r>
        <w:rPr>
          <w:lang w:val="en-GB"/>
        </w:rPr>
        <w:t>Such policy is based on the “equality” of housing treatment for the families who have not benefited from the privatization of buildings</w:t>
      </w:r>
      <w:r>
        <w:rPr>
          <w:iCs/>
          <w:lang w:val="en-GB"/>
        </w:rPr>
        <w:t xml:space="preserve">.  </w:t>
      </w:r>
      <w:r>
        <w:rPr>
          <w:lang w:val="en-GB"/>
        </w:rPr>
        <w:t>Within such a policy, there are no marginalized groups identified</w:t>
      </w:r>
      <w:r>
        <w:rPr>
          <w:iCs/>
          <w:lang w:val="en-GB"/>
        </w:rPr>
        <w:t xml:space="preserve">.  </w:t>
      </w:r>
      <w:r>
        <w:rPr>
          <w:lang w:val="en-GB"/>
        </w:rPr>
        <w:t>We have to mention the fact that some normative acts providing for the privileged treatment of the second</w:t>
      </w:r>
      <w:r>
        <w:rPr>
          <w:lang w:val="en-GB"/>
        </w:rPr>
        <w:noBreakHyphen/>
        <w:t>category group, who have a special status such as orphans, blind, invalids, have been adopted.</w:t>
      </w:r>
    </w:p>
    <w:p w:rsidR="00000000" w:rsidRDefault="00000000">
      <w:pPr>
        <w:pStyle w:val="Heading2"/>
        <w:rPr>
          <w:sz w:val="18"/>
        </w:rPr>
      </w:pPr>
      <w:r>
        <w:br w:type="page"/>
      </w:r>
      <w:r>
        <w:rPr>
          <w:sz w:val="18"/>
        </w:rPr>
        <w:t>Table 37</w:t>
      </w:r>
    </w:p>
    <w:p w:rsidR="00000000" w:rsidRDefault="00000000">
      <w:pPr>
        <w:pStyle w:val="Heading2"/>
        <w:rPr>
          <w:sz w:val="18"/>
        </w:rPr>
      </w:pPr>
      <w:r>
        <w:rPr>
          <w:sz w:val="18"/>
        </w:rPr>
        <w:t>Number of persons without proper housing (2003)</w:t>
      </w:r>
    </w:p>
    <w:tbl>
      <w:tblPr>
        <w:tblW w:w="9376" w:type="dxa"/>
        <w:tblInd w:w="113" w:type="dxa"/>
        <w:tblLayout w:type="fixed"/>
        <w:tblCellMar>
          <w:left w:w="0" w:type="dxa"/>
          <w:bottom w:w="113" w:type="dxa"/>
          <w:right w:w="0" w:type="dxa"/>
        </w:tblCellMar>
        <w:tblLook w:val="0000" w:firstRow="0" w:lastRow="0" w:firstColumn="0" w:lastColumn="0" w:noHBand="0" w:noVBand="0"/>
      </w:tblPr>
      <w:tblGrid>
        <w:gridCol w:w="496"/>
        <w:gridCol w:w="1594"/>
        <w:gridCol w:w="926"/>
        <w:gridCol w:w="840"/>
        <w:gridCol w:w="840"/>
        <w:gridCol w:w="840"/>
        <w:gridCol w:w="946"/>
        <w:gridCol w:w="969"/>
        <w:gridCol w:w="971"/>
        <w:gridCol w:w="954"/>
      </w:tblGrid>
      <w:tr w:rsidR="00000000">
        <w:trPr>
          <w:cantSplit/>
          <w:tblHeader/>
        </w:trPr>
        <w:tc>
          <w:tcPr>
            <w:tcW w:w="496" w:type="dxa"/>
            <w:vMerge w:val="restart"/>
            <w:tcBorders>
              <w:top w:val="single" w:sz="4" w:space="0" w:color="auto"/>
              <w:left w:val="single" w:sz="4" w:space="0" w:color="auto"/>
              <w:right w:val="single" w:sz="4" w:space="0" w:color="auto"/>
            </w:tcBorders>
            <w:tcMar>
              <w:top w:w="15" w:type="dxa"/>
              <w:left w:w="108" w:type="dxa"/>
              <w:bottom w:w="0" w:type="dxa"/>
              <w:right w:w="15" w:type="dxa"/>
            </w:tcMar>
          </w:tcPr>
          <w:p w:rsidR="00000000" w:rsidRDefault="00000000">
            <w:pPr>
              <w:pStyle w:val="FootnoteText"/>
              <w:spacing w:after="0"/>
              <w:rPr>
                <w:sz w:val="19"/>
              </w:rPr>
            </w:pPr>
            <w:r>
              <w:rPr>
                <w:sz w:val="19"/>
              </w:rPr>
              <w:t>No.</w:t>
            </w:r>
          </w:p>
        </w:tc>
        <w:tc>
          <w:tcPr>
            <w:tcW w:w="1594" w:type="dxa"/>
            <w:vMerge w:val="restart"/>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rPr>
            </w:pPr>
            <w:r>
              <w:rPr>
                <w:sz w:val="19"/>
              </w:rPr>
              <w:t>Local government bodies</w:t>
            </w:r>
          </w:p>
        </w:tc>
        <w:tc>
          <w:tcPr>
            <w:tcW w:w="1766"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rPr>
            </w:pPr>
            <w:r>
              <w:rPr>
                <w:sz w:val="19"/>
              </w:rPr>
              <w:t>Number of families and houseless persons, according to local units</w:t>
            </w:r>
          </w:p>
        </w:tc>
        <w:tc>
          <w:tcPr>
            <w:tcW w:w="1680"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rPr>
            </w:pPr>
            <w:r>
              <w:rPr>
                <w:sz w:val="19"/>
              </w:rPr>
              <w:t>Number of houseless families and persons (that seek extension)</w:t>
            </w:r>
          </w:p>
        </w:tc>
        <w:tc>
          <w:tcPr>
            <w:tcW w:w="1915"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rPr>
            </w:pPr>
            <w:r>
              <w:rPr>
                <w:sz w:val="19"/>
              </w:rPr>
              <w:t>Number of families living in buildings without prior permit</w:t>
            </w:r>
          </w:p>
        </w:tc>
        <w:tc>
          <w:tcPr>
            <w:tcW w:w="1925"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rPr>
            </w:pPr>
            <w:r>
              <w:rPr>
                <w:sz w:val="19"/>
              </w:rPr>
              <w:t>Number of families and persons on waiting lists for local housing</w:t>
            </w:r>
          </w:p>
        </w:tc>
      </w:tr>
      <w:tr w:rsidR="00000000">
        <w:trPr>
          <w:cantSplit/>
          <w:tblHeader/>
        </w:trPr>
        <w:tc>
          <w:tcPr>
            <w:tcW w:w="496" w:type="dxa"/>
            <w:vMerge/>
            <w:tcBorders>
              <w:left w:val="single" w:sz="4" w:space="0" w:color="auto"/>
              <w:right w:val="single" w:sz="4" w:space="0" w:color="auto"/>
            </w:tcBorders>
            <w:tcMar>
              <w:top w:w="15" w:type="dxa"/>
              <w:left w:w="108" w:type="dxa"/>
              <w:bottom w:w="0" w:type="dxa"/>
              <w:right w:w="15" w:type="dxa"/>
            </w:tcMar>
          </w:tcPr>
          <w:p w:rsidR="00000000" w:rsidRDefault="00000000">
            <w:pPr>
              <w:pStyle w:val="FootnoteText"/>
              <w:spacing w:after="0"/>
              <w:jc w:val="center"/>
              <w:rPr>
                <w:sz w:val="19"/>
              </w:rPr>
            </w:pPr>
          </w:p>
        </w:tc>
        <w:tc>
          <w:tcPr>
            <w:tcW w:w="1594" w:type="dxa"/>
            <w:vMerge/>
            <w:tcBorders>
              <w:left w:val="nil"/>
              <w:right w:val="single" w:sz="4" w:space="0" w:color="auto"/>
            </w:tcBorders>
            <w:tcMar>
              <w:top w:w="15" w:type="dxa"/>
              <w:left w:w="108" w:type="dxa"/>
              <w:bottom w:w="0" w:type="dxa"/>
              <w:right w:w="15" w:type="dxa"/>
            </w:tcMar>
          </w:tcPr>
          <w:p w:rsidR="00000000" w:rsidRDefault="00000000">
            <w:pPr>
              <w:spacing w:after="0"/>
              <w:jc w:val="center"/>
              <w:rPr>
                <w:sz w:val="19"/>
              </w:rPr>
            </w:pPr>
          </w:p>
        </w:tc>
        <w:tc>
          <w:tcPr>
            <w:tcW w:w="926"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Families</w:t>
            </w:r>
            <w:proofErr w:type="spellEnd"/>
          </w:p>
        </w:tc>
        <w:tc>
          <w:tcPr>
            <w:tcW w:w="840"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Persons</w:t>
            </w:r>
            <w:proofErr w:type="spellEnd"/>
          </w:p>
        </w:tc>
        <w:tc>
          <w:tcPr>
            <w:tcW w:w="840"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Families</w:t>
            </w:r>
            <w:proofErr w:type="spellEnd"/>
          </w:p>
        </w:tc>
        <w:tc>
          <w:tcPr>
            <w:tcW w:w="840"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Persons</w:t>
            </w:r>
            <w:proofErr w:type="spellEnd"/>
          </w:p>
        </w:tc>
        <w:tc>
          <w:tcPr>
            <w:tcW w:w="946"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Families</w:t>
            </w:r>
            <w:proofErr w:type="spellEnd"/>
          </w:p>
        </w:tc>
        <w:tc>
          <w:tcPr>
            <w:tcW w:w="969"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Persons</w:t>
            </w:r>
            <w:proofErr w:type="spellEnd"/>
          </w:p>
        </w:tc>
        <w:tc>
          <w:tcPr>
            <w:tcW w:w="971"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Families</w:t>
            </w:r>
            <w:proofErr w:type="spellEnd"/>
          </w:p>
        </w:tc>
        <w:tc>
          <w:tcPr>
            <w:tcW w:w="954" w:type="dxa"/>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lang w:val="fr-FR"/>
              </w:rPr>
            </w:pPr>
            <w:proofErr w:type="spellStart"/>
            <w:r>
              <w:rPr>
                <w:sz w:val="19"/>
                <w:lang w:val="fr-FR"/>
              </w:rPr>
              <w:t>Persons</w:t>
            </w:r>
            <w:proofErr w:type="spellEnd"/>
          </w:p>
        </w:tc>
      </w:tr>
      <w:tr w:rsidR="00000000">
        <w:tc>
          <w:tcPr>
            <w:tcW w:w="496"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000000" w:rsidRDefault="00000000">
            <w:pPr>
              <w:pStyle w:val="FootnoteText"/>
              <w:spacing w:after="0"/>
              <w:rPr>
                <w:sz w:val="19"/>
                <w:lang w:val="fr-FR"/>
              </w:rPr>
            </w:pPr>
            <w:r>
              <w:rPr>
                <w:sz w:val="19"/>
                <w:lang w:val="fr-FR"/>
              </w:rPr>
              <w:t>I.</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nl-NL"/>
              </w:rPr>
            </w:pPr>
            <w:r>
              <w:rPr>
                <w:sz w:val="19"/>
                <w:lang w:val="nl-NL"/>
              </w:rPr>
              <w:t>Region Gjirokaster</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1 023</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3 060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530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1 727</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20</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27</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w:t>
            </w:r>
            <w:r>
              <w:rPr>
                <w:iCs/>
                <w:sz w:val="19"/>
                <w:lang w:val="nl-NL"/>
              </w:rPr>
              <w:t xml:space="preserve">. </w:t>
            </w:r>
            <w:r>
              <w:rPr>
                <w:sz w:val="19"/>
                <w:lang w:val="nl-NL"/>
              </w:rPr>
              <w:t>Gjirokaster</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509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1 727</w:t>
            </w: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Permet</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406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 xml:space="preserve">M. Tepelene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280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1 380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Memaliaj</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307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1 530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5.</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Libohove</w:t>
            </w:r>
            <w:proofErr w:type="spellEnd"/>
            <w:r>
              <w:rPr>
                <w:sz w:val="19"/>
              </w:rPr>
              <w:t xml:space="preserve"> </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150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21</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7</w:t>
            </w: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27</w:t>
            </w: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rPr>
          <w:cantSplit/>
        </w:trPr>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II.</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de-DE"/>
              </w:rPr>
            </w:pPr>
            <w:r>
              <w:rPr>
                <w:sz w:val="19"/>
                <w:lang w:val="de-DE"/>
              </w:rPr>
              <w:t>Region Berat</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3 621</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13 180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393</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1 602</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2 567</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9 801</w:t>
            </w:r>
          </w:p>
        </w:tc>
      </w:tr>
      <w:tr w:rsidR="00000000">
        <w:trPr>
          <w:cantSplit/>
        </w:trPr>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w:t>
            </w:r>
          </w:p>
        </w:tc>
        <w:tc>
          <w:tcPr>
            <w:tcW w:w="159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Berat</w:t>
            </w:r>
          </w:p>
        </w:tc>
        <w:tc>
          <w:tcPr>
            <w:tcW w:w="92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1 756</w:t>
            </w: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7 024</w:t>
            </w: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224</w:t>
            </w:r>
          </w:p>
        </w:tc>
        <w:tc>
          <w:tcPr>
            <w:tcW w:w="969"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896</w:t>
            </w:r>
          </w:p>
        </w:tc>
        <w:tc>
          <w:tcPr>
            <w:tcW w:w="971"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1 756</w:t>
            </w:r>
          </w:p>
        </w:tc>
        <w:tc>
          <w:tcPr>
            <w:tcW w:w="95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7 024</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Kuçove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763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2 573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120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500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763</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2 573</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Ura</w:t>
            </w:r>
            <w:r>
              <w:rPr>
                <w:sz w:val="19"/>
                <w:lang w:val="fr-FR"/>
              </w:rPr>
              <w:noBreakHyphen/>
              <w:t>Vajgurore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193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27</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112</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27</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112</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Çorovode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445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1 450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12</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44</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30</w:t>
            </w: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5.</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Poliçan</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607</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1 940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10</w:t>
            </w: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50</w:t>
            </w: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15</w:t>
            </w: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62</w:t>
            </w: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proofErr w:type="spellStart"/>
            <w:r>
              <w:rPr>
                <w:sz w:val="19"/>
                <w:lang w:val="fr-FR"/>
              </w:rPr>
              <w:t>III</w:t>
            </w:r>
            <w:proofErr w:type="spellEnd"/>
            <w:r>
              <w:rPr>
                <w:sz w:val="19"/>
                <w:lang w:val="fr-FR"/>
              </w:rPr>
              <w:t>.</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de-DE"/>
              </w:rPr>
            </w:pPr>
            <w:r>
              <w:rPr>
                <w:sz w:val="19"/>
                <w:lang w:val="de-DE"/>
              </w:rPr>
              <w:t>Region Diber</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1 712</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7 170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7 020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Peshkopi</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672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2 800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2 650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Bulqize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430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1 720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1 720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Klos</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130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550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550</w:t>
            </w: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4.</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Burrel</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480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2 100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2 100</w:t>
            </w: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proofErr w:type="spellStart"/>
            <w:r>
              <w:rPr>
                <w:sz w:val="19"/>
                <w:lang w:val="fr-FR"/>
              </w:rPr>
              <w:t>IV</w:t>
            </w:r>
            <w:proofErr w:type="spellEnd"/>
            <w:r>
              <w:rPr>
                <w:sz w:val="19"/>
                <w:lang w:val="fr-FR"/>
              </w:rPr>
              <w:t>.</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de-DE"/>
              </w:rPr>
            </w:pPr>
            <w:r>
              <w:rPr>
                <w:sz w:val="19"/>
                <w:lang w:val="de-DE"/>
              </w:rPr>
              <w:t>Region Elbasan</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2 477</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9 912</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8 014</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Elbasan</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1 140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4 564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Cerrik</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181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724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Gramsh</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567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2 268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Peqin</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131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524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Librazhd</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299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1 196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6.</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Prrenjas</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159</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636</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V.</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de-DE"/>
              </w:rPr>
            </w:pPr>
            <w:r>
              <w:rPr>
                <w:sz w:val="19"/>
                <w:lang w:val="de-DE"/>
              </w:rPr>
              <w:t>Region Kukes</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2 144</w:t>
            </w: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37</w:t>
            </w:r>
          </w:p>
        </w:tc>
        <w:tc>
          <w:tcPr>
            <w:tcW w:w="9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Kukes</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1 199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Bicaj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Malzi</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Ujmisht</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5.</w:t>
            </w:r>
          </w:p>
        </w:tc>
        <w:tc>
          <w:tcPr>
            <w:tcW w:w="159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Terthore</w:t>
            </w:r>
            <w:proofErr w:type="spellEnd"/>
          </w:p>
        </w:tc>
        <w:tc>
          <w:tcPr>
            <w:tcW w:w="92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w:t>
            </w: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Shishtavec</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Topojan</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Bushtrice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Gryke</w:t>
            </w:r>
            <w:proofErr w:type="spellEnd"/>
            <w:r>
              <w:rPr>
                <w:sz w:val="19"/>
              </w:rPr>
              <w:t xml:space="preserve"> </w:t>
            </w:r>
            <w:proofErr w:type="spellStart"/>
            <w:r>
              <w:rPr>
                <w:sz w:val="19"/>
              </w:rPr>
              <w:t>Caje</w:t>
            </w:r>
            <w:proofErr w:type="spellEnd"/>
            <w:r>
              <w:rPr>
                <w:sz w:val="19"/>
              </w:rPr>
              <w:t xml:space="preserv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 xml:space="preserve">C. Kalis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Arren</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Kolsh</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 xml:space="preserve">M. Krume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340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Golaj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30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Fajze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Gjinaj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B</w:t>
            </w:r>
            <w:r>
              <w:rPr>
                <w:sz w:val="19"/>
                <w:lang w:val="nl-NL"/>
              </w:rPr>
              <w:noBreakHyphen/>
              <w:t>Curri</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340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Fierze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Lekbibaj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20.</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Margegaj</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11</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bl>
    <w:p w:rsidR="00000000" w:rsidRDefault="00000000">
      <w:pPr>
        <w:pStyle w:val="Header"/>
        <w:tabs>
          <w:tab w:val="clear" w:pos="4320"/>
          <w:tab w:val="clear" w:pos="8640"/>
        </w:tabs>
        <w:spacing w:after="1440"/>
      </w:pPr>
    </w:p>
    <w:tbl>
      <w:tblPr>
        <w:tblW w:w="9376" w:type="dxa"/>
        <w:tblInd w:w="-1" w:type="dxa"/>
        <w:tblLayout w:type="fixed"/>
        <w:tblCellMar>
          <w:left w:w="0" w:type="dxa"/>
          <w:bottom w:w="113" w:type="dxa"/>
          <w:right w:w="0" w:type="dxa"/>
        </w:tblCellMar>
        <w:tblLook w:val="0000" w:firstRow="0" w:lastRow="0" w:firstColumn="0" w:lastColumn="0" w:noHBand="0" w:noVBand="0"/>
      </w:tblPr>
      <w:tblGrid>
        <w:gridCol w:w="496"/>
        <w:gridCol w:w="1594"/>
        <w:gridCol w:w="926"/>
        <w:gridCol w:w="840"/>
        <w:gridCol w:w="840"/>
        <w:gridCol w:w="840"/>
        <w:gridCol w:w="946"/>
        <w:gridCol w:w="969"/>
        <w:gridCol w:w="971"/>
        <w:gridCol w:w="954"/>
      </w:tblGrid>
      <w:tr w:rsidR="00000000">
        <w:trPr>
          <w:cantSplit/>
          <w:tblHeader/>
        </w:trPr>
        <w:tc>
          <w:tcPr>
            <w:tcW w:w="9376" w:type="dxa"/>
            <w:gridSpan w:val="10"/>
            <w:tcBorders>
              <w:bottom w:val="single" w:sz="4" w:space="0" w:color="auto"/>
            </w:tcBorders>
            <w:tcMar>
              <w:top w:w="15" w:type="dxa"/>
              <w:left w:w="15" w:type="dxa"/>
              <w:bottom w:w="0" w:type="dxa"/>
              <w:right w:w="15" w:type="dxa"/>
            </w:tcMar>
            <w:vAlign w:val="center"/>
          </w:tcPr>
          <w:p w:rsidR="00000000" w:rsidRDefault="00000000">
            <w:pPr>
              <w:ind w:right="57"/>
              <w:jc w:val="center"/>
              <w:rPr>
                <w:b/>
                <w:bCs/>
                <w:sz w:val="19"/>
              </w:rPr>
            </w:pPr>
            <w:r>
              <w:br w:type="page"/>
            </w:r>
            <w:r>
              <w:br w:type="page"/>
            </w:r>
            <w:r>
              <w:rPr>
                <w:b/>
                <w:bCs/>
                <w:sz w:val="20"/>
              </w:rPr>
              <w:t>Table 37 (</w:t>
            </w:r>
            <w:r>
              <w:rPr>
                <w:b/>
                <w:bCs/>
                <w:i/>
                <w:sz w:val="20"/>
              </w:rPr>
              <w:t>continued</w:t>
            </w:r>
            <w:r>
              <w:rPr>
                <w:b/>
                <w:bCs/>
                <w:sz w:val="20"/>
              </w:rPr>
              <w:t>)</w:t>
            </w:r>
          </w:p>
        </w:tc>
      </w:tr>
      <w:tr w:rsidR="00000000">
        <w:trPr>
          <w:cantSplit/>
          <w:tblHeader/>
        </w:trPr>
        <w:tc>
          <w:tcPr>
            <w:tcW w:w="496" w:type="dxa"/>
            <w:vMerge w:val="restart"/>
            <w:tcBorders>
              <w:top w:val="single" w:sz="4" w:space="0" w:color="auto"/>
              <w:left w:val="single" w:sz="4" w:space="0" w:color="auto"/>
              <w:right w:val="single" w:sz="4" w:space="0" w:color="auto"/>
            </w:tcBorders>
            <w:tcMar>
              <w:top w:w="15" w:type="dxa"/>
              <w:left w:w="108" w:type="dxa"/>
              <w:bottom w:w="0" w:type="dxa"/>
              <w:right w:w="15" w:type="dxa"/>
            </w:tcMar>
          </w:tcPr>
          <w:p w:rsidR="00000000" w:rsidRDefault="00000000">
            <w:pPr>
              <w:pStyle w:val="FootnoteText"/>
              <w:spacing w:after="0"/>
              <w:rPr>
                <w:sz w:val="19"/>
              </w:rPr>
            </w:pPr>
            <w:r>
              <w:rPr>
                <w:sz w:val="19"/>
              </w:rPr>
              <w:t>No.</w:t>
            </w:r>
          </w:p>
        </w:tc>
        <w:tc>
          <w:tcPr>
            <w:tcW w:w="1594" w:type="dxa"/>
            <w:vMerge w:val="restart"/>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rPr>
                <w:sz w:val="19"/>
              </w:rPr>
            </w:pPr>
            <w:r>
              <w:rPr>
                <w:sz w:val="19"/>
              </w:rPr>
              <w:t>Local government bodies</w:t>
            </w:r>
          </w:p>
        </w:tc>
        <w:tc>
          <w:tcPr>
            <w:tcW w:w="1766"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ind w:right="57"/>
              <w:rPr>
                <w:sz w:val="19"/>
              </w:rPr>
            </w:pPr>
            <w:r>
              <w:rPr>
                <w:sz w:val="19"/>
              </w:rPr>
              <w:t>Number of families and houseless persons, according to local units</w:t>
            </w:r>
          </w:p>
        </w:tc>
        <w:tc>
          <w:tcPr>
            <w:tcW w:w="1680"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ind w:right="57"/>
              <w:rPr>
                <w:sz w:val="19"/>
              </w:rPr>
            </w:pPr>
            <w:r>
              <w:rPr>
                <w:sz w:val="19"/>
              </w:rPr>
              <w:t>Number of houseless families and persons (that seek extension)</w:t>
            </w:r>
          </w:p>
        </w:tc>
        <w:tc>
          <w:tcPr>
            <w:tcW w:w="1915"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ind w:right="57"/>
              <w:rPr>
                <w:sz w:val="19"/>
              </w:rPr>
            </w:pPr>
            <w:r>
              <w:rPr>
                <w:sz w:val="19"/>
              </w:rPr>
              <w:t>Number of families living in buildings without prior permit</w:t>
            </w:r>
          </w:p>
        </w:tc>
        <w:tc>
          <w:tcPr>
            <w:tcW w:w="1925" w:type="dxa"/>
            <w:gridSpan w:val="2"/>
            <w:tcBorders>
              <w:top w:val="single" w:sz="4" w:space="0" w:color="auto"/>
              <w:left w:val="nil"/>
              <w:right w:val="single" w:sz="4" w:space="0" w:color="auto"/>
            </w:tcBorders>
            <w:tcMar>
              <w:top w:w="15" w:type="dxa"/>
              <w:left w:w="108" w:type="dxa"/>
              <w:bottom w:w="0" w:type="dxa"/>
              <w:right w:w="15" w:type="dxa"/>
            </w:tcMar>
          </w:tcPr>
          <w:p w:rsidR="00000000" w:rsidRDefault="00000000">
            <w:pPr>
              <w:spacing w:after="0"/>
              <w:ind w:right="57"/>
              <w:rPr>
                <w:sz w:val="19"/>
              </w:rPr>
            </w:pPr>
            <w:r>
              <w:rPr>
                <w:sz w:val="19"/>
              </w:rPr>
              <w:t>Number of families and persons on waiting lists for local housing</w:t>
            </w:r>
          </w:p>
        </w:tc>
      </w:tr>
      <w:tr w:rsidR="00000000">
        <w:trPr>
          <w:cantSplit/>
          <w:tblHeader/>
        </w:trPr>
        <w:tc>
          <w:tcPr>
            <w:tcW w:w="496" w:type="dxa"/>
            <w:vMerge/>
            <w:tcBorders>
              <w:left w:val="single" w:sz="4" w:space="0" w:color="auto"/>
              <w:bottom w:val="single" w:sz="4" w:space="0" w:color="auto"/>
              <w:right w:val="single" w:sz="4" w:space="0" w:color="auto"/>
            </w:tcBorders>
            <w:tcMar>
              <w:top w:w="15" w:type="dxa"/>
              <w:left w:w="108" w:type="dxa"/>
              <w:bottom w:w="0" w:type="dxa"/>
              <w:right w:w="15" w:type="dxa"/>
            </w:tcMar>
          </w:tcPr>
          <w:p w:rsidR="00000000" w:rsidRDefault="00000000">
            <w:pPr>
              <w:pStyle w:val="FootnoteText"/>
              <w:spacing w:after="0"/>
              <w:rPr>
                <w:sz w:val="19"/>
              </w:rPr>
            </w:pPr>
          </w:p>
        </w:tc>
        <w:tc>
          <w:tcPr>
            <w:tcW w:w="1594" w:type="dxa"/>
            <w:vMerge/>
            <w:tcBorders>
              <w:left w:val="nil"/>
              <w:bottom w:val="single" w:sz="4" w:space="0" w:color="auto"/>
              <w:right w:val="single" w:sz="4" w:space="0" w:color="auto"/>
            </w:tcBorders>
            <w:tcMar>
              <w:top w:w="15" w:type="dxa"/>
              <w:left w:w="108" w:type="dxa"/>
              <w:bottom w:w="0" w:type="dxa"/>
              <w:right w:w="15" w:type="dxa"/>
            </w:tcMar>
          </w:tcPr>
          <w:p w:rsidR="00000000" w:rsidRDefault="00000000">
            <w:pPr>
              <w:spacing w:after="0"/>
              <w:rPr>
                <w:sz w:val="19"/>
              </w:rPr>
            </w:pPr>
          </w:p>
        </w:tc>
        <w:tc>
          <w:tcPr>
            <w:tcW w:w="926"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Families</w:t>
            </w:r>
            <w:proofErr w:type="spellEnd"/>
          </w:p>
        </w:tc>
        <w:tc>
          <w:tcPr>
            <w:tcW w:w="840"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Persons</w:t>
            </w:r>
            <w:proofErr w:type="spellEnd"/>
          </w:p>
        </w:tc>
        <w:tc>
          <w:tcPr>
            <w:tcW w:w="840"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Families</w:t>
            </w:r>
            <w:proofErr w:type="spellEnd"/>
          </w:p>
        </w:tc>
        <w:tc>
          <w:tcPr>
            <w:tcW w:w="840"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Persons</w:t>
            </w:r>
            <w:proofErr w:type="spellEnd"/>
          </w:p>
        </w:tc>
        <w:tc>
          <w:tcPr>
            <w:tcW w:w="946"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Families</w:t>
            </w:r>
            <w:proofErr w:type="spellEnd"/>
          </w:p>
        </w:tc>
        <w:tc>
          <w:tcPr>
            <w:tcW w:w="969"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Persons</w:t>
            </w:r>
            <w:proofErr w:type="spellEnd"/>
          </w:p>
        </w:tc>
        <w:tc>
          <w:tcPr>
            <w:tcW w:w="971"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Families</w:t>
            </w:r>
            <w:proofErr w:type="spellEnd"/>
          </w:p>
        </w:tc>
        <w:tc>
          <w:tcPr>
            <w:tcW w:w="954" w:type="dxa"/>
            <w:tcBorders>
              <w:top w:val="single" w:sz="4" w:space="0" w:color="auto"/>
              <w:left w:val="nil"/>
              <w:bottom w:val="single" w:sz="4" w:space="0" w:color="auto"/>
              <w:right w:val="single" w:sz="4" w:space="0" w:color="auto"/>
            </w:tcBorders>
            <w:tcMar>
              <w:top w:w="15" w:type="dxa"/>
              <w:left w:w="108" w:type="dxa"/>
              <w:bottom w:w="0" w:type="dxa"/>
              <w:right w:w="15" w:type="dxa"/>
            </w:tcMar>
          </w:tcPr>
          <w:p w:rsidR="00000000" w:rsidRDefault="00000000">
            <w:pPr>
              <w:spacing w:after="0"/>
              <w:ind w:right="57"/>
              <w:rPr>
                <w:sz w:val="19"/>
                <w:lang w:val="fr-FR"/>
              </w:rPr>
            </w:pPr>
            <w:proofErr w:type="spellStart"/>
            <w:r>
              <w:rPr>
                <w:sz w:val="19"/>
                <w:lang w:val="fr-FR"/>
              </w:rPr>
              <w:t>Persons</w:t>
            </w:r>
            <w:proofErr w:type="spellEnd"/>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21.</w:t>
            </w:r>
          </w:p>
        </w:tc>
        <w:tc>
          <w:tcPr>
            <w:tcW w:w="15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Llugaj</w:t>
            </w:r>
            <w:proofErr w:type="spellEnd"/>
          </w:p>
        </w:tc>
        <w:tc>
          <w:tcPr>
            <w:tcW w:w="92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w:t>
            </w: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Bujan</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Bytyç</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24.</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Tropoje</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17</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proofErr w:type="spellStart"/>
            <w:r>
              <w:rPr>
                <w:sz w:val="19"/>
                <w:lang w:val="fr-FR"/>
              </w:rPr>
              <w:t>VI</w:t>
            </w:r>
            <w:proofErr w:type="spellEnd"/>
            <w:r>
              <w:rPr>
                <w:sz w:val="19"/>
                <w:lang w:val="fr-FR"/>
              </w:rPr>
              <w:t>.</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rPr>
            </w:pPr>
            <w:r>
              <w:rPr>
                <w:sz w:val="19"/>
              </w:rPr>
              <w:t xml:space="preserve">Region </w:t>
            </w:r>
            <w:proofErr w:type="spellStart"/>
            <w:r>
              <w:rPr>
                <w:sz w:val="19"/>
              </w:rPr>
              <w:t>Shkoder</w:t>
            </w:r>
            <w:proofErr w:type="spellEnd"/>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4 412</w:t>
            </w: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District </w:t>
            </w:r>
            <w:proofErr w:type="spellStart"/>
            <w:r>
              <w:rPr>
                <w:sz w:val="19"/>
              </w:rPr>
              <w:t>Shkoder</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3 032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after="0"/>
              <w:rPr>
                <w:sz w:val="19"/>
              </w:rPr>
            </w:pPr>
            <w:r>
              <w:rPr>
                <w:sz w:val="19"/>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District </w:t>
            </w:r>
            <w:proofErr w:type="spellStart"/>
            <w:r>
              <w:rPr>
                <w:sz w:val="19"/>
              </w:rPr>
              <w:t>Laç</w:t>
            </w:r>
            <w:proofErr w:type="spellEnd"/>
            <w:r>
              <w:rPr>
                <w:sz w:val="19"/>
              </w:rPr>
              <w:t xml:space="preserve"> </w:t>
            </w:r>
            <w:proofErr w:type="spellStart"/>
            <w:r>
              <w:rPr>
                <w:sz w:val="19"/>
              </w:rPr>
              <w:t>Vau</w:t>
            </w:r>
            <w:r>
              <w:rPr>
                <w:sz w:val="19"/>
              </w:rPr>
              <w:noBreakHyphen/>
              <w:t>Dejes</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166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District Puke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423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District </w:t>
            </w:r>
            <w:proofErr w:type="spellStart"/>
            <w:r>
              <w:rPr>
                <w:sz w:val="19"/>
              </w:rPr>
              <w:t>Fushe</w:t>
            </w:r>
            <w:r>
              <w:rPr>
                <w:sz w:val="19"/>
              </w:rPr>
              <w:noBreakHyphen/>
              <w:t>Arres</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544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after="0"/>
              <w:rPr>
                <w:sz w:val="19"/>
              </w:rPr>
            </w:pPr>
            <w:r>
              <w:rPr>
                <w:sz w:val="19"/>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District </w:t>
            </w:r>
            <w:proofErr w:type="spellStart"/>
            <w:r>
              <w:rPr>
                <w:sz w:val="19"/>
              </w:rPr>
              <w:t>Malsi</w:t>
            </w:r>
            <w:r>
              <w:rPr>
                <w:sz w:val="19"/>
              </w:rPr>
              <w:noBreakHyphen/>
              <w:t>Madhe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247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6.</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Shenkoll</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18</w:t>
            </w: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14</w:t>
            </w: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VII.</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fr-FR"/>
              </w:rPr>
            </w:pPr>
            <w:proofErr w:type="spellStart"/>
            <w:r>
              <w:rPr>
                <w:sz w:val="19"/>
                <w:lang w:val="fr-FR"/>
              </w:rPr>
              <w:t>Region</w:t>
            </w:r>
            <w:proofErr w:type="spellEnd"/>
            <w:r>
              <w:rPr>
                <w:sz w:val="19"/>
                <w:lang w:val="fr-FR"/>
              </w:rPr>
              <w:t xml:space="preserve"> </w:t>
            </w:r>
            <w:proofErr w:type="spellStart"/>
            <w:r>
              <w:rPr>
                <w:sz w:val="19"/>
                <w:lang w:val="fr-FR"/>
              </w:rPr>
              <w:t>Tirane</w:t>
            </w:r>
            <w:proofErr w:type="spellEnd"/>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2 448</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1 365</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881</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103</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w:t>
            </w:r>
          </w:p>
        </w:tc>
        <w:tc>
          <w:tcPr>
            <w:tcW w:w="1594" w:type="dxa"/>
            <w:tcBorders>
              <w:top w:val="nil"/>
              <w:left w:val="nil"/>
              <w:right w:val="single" w:sz="4" w:space="0" w:color="auto"/>
            </w:tcBorders>
            <w:tcMar>
              <w:top w:w="15" w:type="dxa"/>
              <w:left w:w="15" w:type="dxa"/>
              <w:bottom w:w="0" w:type="dxa"/>
              <w:right w:w="15" w:type="dxa"/>
            </w:tcMar>
            <w:vAlign w:val="center"/>
          </w:tcPr>
          <w:p w:rsidR="00000000" w:rsidRDefault="00000000">
            <w:pPr>
              <w:pStyle w:val="Header"/>
              <w:tabs>
                <w:tab w:val="clear" w:pos="4320"/>
                <w:tab w:val="clear" w:pos="8640"/>
              </w:tabs>
              <w:spacing w:after="0"/>
              <w:rPr>
                <w:sz w:val="19"/>
              </w:rPr>
            </w:pPr>
            <w:r>
              <w:rPr>
                <w:sz w:val="19"/>
              </w:rPr>
              <w:t xml:space="preserve">M. </w:t>
            </w:r>
            <w:proofErr w:type="spellStart"/>
            <w:r>
              <w:rPr>
                <w:sz w:val="19"/>
              </w:rPr>
              <w:t>Tirane</w:t>
            </w:r>
            <w:proofErr w:type="spellEnd"/>
          </w:p>
        </w:tc>
        <w:tc>
          <w:tcPr>
            <w:tcW w:w="926"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2 448</w:t>
            </w:r>
          </w:p>
        </w:tc>
        <w:tc>
          <w:tcPr>
            <w:tcW w:w="840"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840"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840"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46"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69"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71"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103</w:t>
            </w:r>
          </w:p>
        </w:tc>
        <w:tc>
          <w:tcPr>
            <w:tcW w:w="954" w:type="dxa"/>
            <w:tcBorders>
              <w:top w:val="nil"/>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1</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113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7</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2</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132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269</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3</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95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4</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116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5</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186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6</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7</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124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45</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8</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155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187</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9</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145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133</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11.</w:t>
            </w:r>
          </w:p>
        </w:tc>
        <w:tc>
          <w:tcPr>
            <w:tcW w:w="159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10</w:t>
            </w:r>
          </w:p>
        </w:tc>
        <w:tc>
          <w:tcPr>
            <w:tcW w:w="92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98</w:t>
            </w: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151</w:t>
            </w:r>
          </w:p>
        </w:tc>
        <w:tc>
          <w:tcPr>
            <w:tcW w:w="969"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M. Unit No. 11</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117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Shengjergj</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14.</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Synej</w:t>
            </w:r>
            <w:proofErr w:type="spellEnd"/>
            <w:r>
              <w:rPr>
                <w:sz w:val="19"/>
              </w:rPr>
              <w:t xml:space="preserve"> (</w:t>
            </w:r>
            <w:proofErr w:type="spellStart"/>
            <w:r>
              <w:rPr>
                <w:sz w:val="19"/>
              </w:rPr>
              <w:t>Kavaje</w:t>
            </w:r>
            <w:proofErr w:type="spellEnd"/>
            <w:r>
              <w:rPr>
                <w:sz w:val="19"/>
              </w:rPr>
              <w:t>)</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13</w:t>
            </w: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VIII.</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de-DE"/>
              </w:rPr>
            </w:pPr>
            <w:r>
              <w:rPr>
                <w:sz w:val="19"/>
                <w:lang w:val="de-DE"/>
              </w:rPr>
              <w:t>Region Korçe</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3 738</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2 164</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465</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3 861</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de-DE"/>
              </w:rPr>
            </w:pPr>
            <w:r>
              <w:rPr>
                <w:sz w:val="19"/>
                <w:lang w:val="de-DE"/>
              </w:rPr>
              <w:t>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Korçe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2 820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410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2 820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Pogradec</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453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1 812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453</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Erseke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245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214</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Bilisht</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120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15</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Maliq</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352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352</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6.</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Leskovik</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12</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12</w:t>
            </w: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proofErr w:type="spellStart"/>
            <w:r>
              <w:rPr>
                <w:sz w:val="19"/>
                <w:lang w:val="fr-FR"/>
              </w:rPr>
              <w:t>IX</w:t>
            </w:r>
            <w:proofErr w:type="spellEnd"/>
            <w:r>
              <w:rPr>
                <w:sz w:val="19"/>
                <w:lang w:val="fr-FR"/>
              </w:rPr>
              <w:t>.</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fr-FR"/>
              </w:rPr>
            </w:pPr>
            <w:proofErr w:type="spellStart"/>
            <w:r>
              <w:rPr>
                <w:sz w:val="19"/>
                <w:lang w:val="fr-FR"/>
              </w:rPr>
              <w:t>Region</w:t>
            </w:r>
            <w:proofErr w:type="spellEnd"/>
            <w:r>
              <w:rPr>
                <w:sz w:val="19"/>
                <w:lang w:val="fr-FR"/>
              </w:rPr>
              <w:t xml:space="preserve"> </w:t>
            </w:r>
            <w:proofErr w:type="spellStart"/>
            <w:r>
              <w:rPr>
                <w:sz w:val="19"/>
                <w:lang w:val="fr-FR"/>
              </w:rPr>
              <w:t>Durres</w:t>
            </w:r>
            <w:proofErr w:type="spellEnd"/>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10 700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6 244</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9 310</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Durres</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8 260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1 482</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8 370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Shijak</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302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142</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18</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Sukth</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250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470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Manze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96</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120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Rrashbull</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90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Xhafzotaj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120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89</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87</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Katund i Ri</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250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187</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Gjepalaj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478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731</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Maminas</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304</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27</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10.</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Ishem</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107</w:t>
            </w: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14</w:t>
            </w: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single" w:sz="4" w:space="0" w:color="auto"/>
            </w:tcBorders>
            <w:noWrap/>
            <w:tcMar>
              <w:top w:w="15" w:type="dxa"/>
              <w:left w:w="15" w:type="dxa"/>
              <w:bottom w:w="0" w:type="dxa"/>
              <w:right w:w="15" w:type="dxa"/>
            </w:tcMar>
            <w:vAlign w:val="bottom"/>
          </w:tcPr>
          <w:p w:rsidR="00000000" w:rsidRDefault="00000000">
            <w:pPr>
              <w:spacing w:after="0"/>
              <w:rPr>
                <w:sz w:val="19"/>
                <w:lang w:val="de-DE"/>
              </w:rPr>
            </w:pPr>
          </w:p>
        </w:tc>
        <w:tc>
          <w:tcPr>
            <w:tcW w:w="1594" w:type="dxa"/>
            <w:tcBorders>
              <w:top w:val="single" w:sz="4" w:space="0" w:color="auto"/>
            </w:tcBorders>
            <w:noWrap/>
            <w:tcMar>
              <w:top w:w="15" w:type="dxa"/>
              <w:left w:w="15" w:type="dxa"/>
              <w:bottom w:w="0" w:type="dxa"/>
              <w:right w:w="15" w:type="dxa"/>
            </w:tcMar>
            <w:vAlign w:val="bottom"/>
          </w:tcPr>
          <w:p w:rsidR="00000000" w:rsidRDefault="00000000">
            <w:pPr>
              <w:spacing w:after="0"/>
              <w:rPr>
                <w:sz w:val="19"/>
                <w:lang w:val="de-DE"/>
              </w:rPr>
            </w:pPr>
          </w:p>
        </w:tc>
        <w:tc>
          <w:tcPr>
            <w:tcW w:w="926"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noWrap/>
            <w:tcMar>
              <w:top w:w="15" w:type="dxa"/>
              <w:left w:w="15" w:type="dxa"/>
              <w:bottom w:w="0" w:type="dxa"/>
              <w:right w:w="15" w:type="dxa"/>
            </w:tcMar>
            <w:vAlign w:val="bottom"/>
          </w:tcPr>
          <w:p w:rsidR="00000000" w:rsidRDefault="00000000">
            <w:pPr>
              <w:spacing w:after="0"/>
              <w:rPr>
                <w:sz w:val="19"/>
                <w:lang w:val="de-DE"/>
              </w:rPr>
            </w:pPr>
          </w:p>
        </w:tc>
        <w:tc>
          <w:tcPr>
            <w:tcW w:w="1594" w:type="dxa"/>
            <w:noWrap/>
            <w:tcMar>
              <w:top w:w="15" w:type="dxa"/>
              <w:left w:w="15" w:type="dxa"/>
              <w:bottom w:w="0" w:type="dxa"/>
              <w:right w:w="15" w:type="dxa"/>
            </w:tcMar>
            <w:vAlign w:val="bottom"/>
          </w:tcPr>
          <w:p w:rsidR="00000000" w:rsidRDefault="00000000">
            <w:pPr>
              <w:spacing w:after="0"/>
              <w:rPr>
                <w:sz w:val="19"/>
                <w:lang w:val="de-DE"/>
              </w:rPr>
            </w:pPr>
          </w:p>
        </w:tc>
        <w:tc>
          <w:tcPr>
            <w:tcW w:w="926"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noWrap/>
            <w:tcMar>
              <w:top w:w="15" w:type="dxa"/>
              <w:left w:w="15" w:type="dxa"/>
              <w:bottom w:w="0" w:type="dxa"/>
              <w:right w:w="15" w:type="dxa"/>
            </w:tcMar>
            <w:vAlign w:val="bottom"/>
          </w:tcPr>
          <w:p w:rsidR="00000000" w:rsidRDefault="00000000">
            <w:pPr>
              <w:spacing w:after="0"/>
              <w:rPr>
                <w:sz w:val="19"/>
                <w:lang w:val="de-DE"/>
              </w:rPr>
            </w:pPr>
          </w:p>
        </w:tc>
        <w:tc>
          <w:tcPr>
            <w:tcW w:w="1594" w:type="dxa"/>
            <w:noWrap/>
            <w:tcMar>
              <w:top w:w="15" w:type="dxa"/>
              <w:left w:w="15" w:type="dxa"/>
              <w:bottom w:w="0" w:type="dxa"/>
              <w:right w:w="15" w:type="dxa"/>
            </w:tcMar>
            <w:vAlign w:val="bottom"/>
          </w:tcPr>
          <w:p w:rsidR="00000000" w:rsidRDefault="00000000">
            <w:pPr>
              <w:spacing w:after="0"/>
              <w:rPr>
                <w:sz w:val="19"/>
                <w:lang w:val="de-DE"/>
              </w:rPr>
            </w:pPr>
          </w:p>
        </w:tc>
        <w:tc>
          <w:tcPr>
            <w:tcW w:w="926"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11.</w:t>
            </w:r>
          </w:p>
        </w:tc>
        <w:tc>
          <w:tcPr>
            <w:tcW w:w="159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Kruje</w:t>
            </w:r>
          </w:p>
        </w:tc>
        <w:tc>
          <w:tcPr>
            <w:tcW w:w="92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456</w:t>
            </w: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65</w:t>
            </w:r>
          </w:p>
        </w:tc>
        <w:tc>
          <w:tcPr>
            <w:tcW w:w="969"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589</w:t>
            </w:r>
          </w:p>
        </w:tc>
        <w:tc>
          <w:tcPr>
            <w:tcW w:w="95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Fushe</w:t>
            </w:r>
            <w:r>
              <w:rPr>
                <w:sz w:val="19"/>
                <w:lang w:val="nl-NL"/>
              </w:rPr>
              <w:noBreakHyphen/>
              <w:t>Kruje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157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870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Nikel</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86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483</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13.</w:t>
            </w:r>
          </w:p>
        </w:tc>
        <w:tc>
          <w:tcPr>
            <w:tcW w:w="159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Nikel</w:t>
            </w:r>
          </w:p>
        </w:tc>
        <w:tc>
          <w:tcPr>
            <w:tcW w:w="92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86</w:t>
            </w: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483</w:t>
            </w:r>
          </w:p>
        </w:tc>
        <w:tc>
          <w:tcPr>
            <w:tcW w:w="969"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14.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Bubq</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13</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15.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Thumane</w:t>
            </w:r>
            <w:proofErr w:type="spellEnd"/>
            <w:r>
              <w:rPr>
                <w:sz w:val="19"/>
                <w:lang w:val="fr-FR"/>
              </w:rPr>
              <w:t xml:space="preserv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1 200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16.</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Cudhi</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7</w:t>
            </w: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X.</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nl-NL"/>
              </w:rPr>
            </w:pPr>
            <w:r>
              <w:rPr>
                <w:sz w:val="19"/>
                <w:lang w:val="nl-NL"/>
              </w:rPr>
              <w:t>Region Vlore</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8 216</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0</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2 602</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0</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nl-NL"/>
              </w:rPr>
            </w:pPr>
            <w:r>
              <w:rPr>
                <w:sz w:val="19"/>
                <w:lang w:val="nl-NL"/>
              </w:rPr>
              <w:t>7 314</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 xml:space="preserve">M. Vlore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4 168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4 168</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 xml:space="preserve">M. Himare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34</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Orikum</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340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430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41</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Selenice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147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Qender</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70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40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Novosele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15</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11</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Shushice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16</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11</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Armen</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321</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Vllahine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6</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Kote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40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23</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Brataj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H</w:t>
            </w:r>
            <w:r>
              <w:rPr>
                <w:sz w:val="19"/>
                <w:lang w:val="de-DE"/>
              </w:rPr>
              <w:noBreakHyphen/>
              <w:t>Vranisht</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Sarande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1 584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800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Konispol</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15</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Ksamil</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1 600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930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1 960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Livadhja</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Aliko</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5</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28</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Lukove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600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Delvine</w:t>
            </w:r>
            <w:proofErr w:type="spellEnd"/>
            <w:r>
              <w:rPr>
                <w:sz w:val="19"/>
              </w:rPr>
              <w:t xml:space="preserve"> </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147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55</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147</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20.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Finiq</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7</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21.</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Vergo</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XI.</w:t>
            </w:r>
          </w:p>
        </w:tc>
        <w:tc>
          <w:tcPr>
            <w:tcW w:w="15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rPr>
                <w:sz w:val="19"/>
                <w:lang w:val="fr-FR"/>
              </w:rPr>
            </w:pPr>
            <w:proofErr w:type="spellStart"/>
            <w:r>
              <w:rPr>
                <w:sz w:val="19"/>
                <w:lang w:val="fr-FR"/>
              </w:rPr>
              <w:t>Region</w:t>
            </w:r>
            <w:proofErr w:type="spellEnd"/>
            <w:r>
              <w:rPr>
                <w:sz w:val="19"/>
                <w:lang w:val="fr-FR"/>
              </w:rPr>
              <w:t xml:space="preserve"> Fier</w:t>
            </w:r>
          </w:p>
        </w:tc>
        <w:tc>
          <w:tcPr>
            <w:tcW w:w="92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3 764</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12 075</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0</w:t>
            </w:r>
          </w:p>
        </w:tc>
        <w:tc>
          <w:tcPr>
            <w:tcW w:w="84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0</w:t>
            </w:r>
          </w:p>
        </w:tc>
        <w:tc>
          <w:tcPr>
            <w:tcW w:w="94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2 292</w:t>
            </w:r>
          </w:p>
        </w:tc>
        <w:tc>
          <w:tcPr>
            <w:tcW w:w="9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6 294</w:t>
            </w:r>
          </w:p>
        </w:tc>
        <w:tc>
          <w:tcPr>
            <w:tcW w:w="97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1 365</w:t>
            </w:r>
          </w:p>
        </w:tc>
        <w:tc>
          <w:tcPr>
            <w:tcW w:w="95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lang w:val="fr-FR"/>
              </w:rPr>
            </w:pPr>
            <w:r>
              <w:rPr>
                <w:sz w:val="19"/>
                <w:lang w:val="fr-FR"/>
              </w:rPr>
              <w:t>4 512</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M. Fier</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669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2 000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36</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150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Lushnje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1 080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3 200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997</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1 080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3 200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Patos</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1 300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3 900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56</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168</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Ballsh</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369</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1 660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160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733</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M. </w:t>
            </w:r>
            <w:proofErr w:type="spellStart"/>
            <w:r>
              <w:rPr>
                <w:sz w:val="19"/>
                <w:lang w:val="fr-FR"/>
              </w:rPr>
              <w:t>Roskovec</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162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486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16</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48</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Bubullim</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1 000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Grabjan</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48</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68</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Hysgjokaj</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7</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21</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Dushk</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216</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56</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210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139</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745</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Terbuf</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15</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750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2 750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Ballagat</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Fiershegan</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200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320</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1 500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Karbunare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11</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Selite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180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2</w:t>
            </w: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12</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180</w:t>
            </w: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15.</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r>
              <w:rPr>
                <w:sz w:val="19"/>
                <w:lang w:val="fr-FR"/>
              </w:rPr>
              <w:t xml:space="preserve">C. </w:t>
            </w:r>
            <w:proofErr w:type="spellStart"/>
            <w:r>
              <w:rPr>
                <w:sz w:val="19"/>
                <w:lang w:val="fr-FR"/>
              </w:rPr>
              <w:t>Fratar</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30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r>
              <w:rPr>
                <w:sz w:val="19"/>
                <w:lang w:val="fr-FR"/>
              </w:rPr>
              <w:t>150</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fr-FR"/>
              </w:rPr>
            </w:pPr>
          </w:p>
        </w:tc>
      </w:tr>
      <w:tr w:rsidR="00000000">
        <w:tc>
          <w:tcPr>
            <w:tcW w:w="496" w:type="dxa"/>
            <w:tcBorders>
              <w:top w:val="single" w:sz="4" w:space="0" w:color="auto"/>
            </w:tcBorders>
            <w:noWrap/>
            <w:tcMar>
              <w:top w:w="15" w:type="dxa"/>
              <w:left w:w="15" w:type="dxa"/>
              <w:bottom w:w="0" w:type="dxa"/>
              <w:right w:w="15" w:type="dxa"/>
            </w:tcMar>
            <w:vAlign w:val="bottom"/>
          </w:tcPr>
          <w:p w:rsidR="00000000" w:rsidRDefault="00000000">
            <w:pPr>
              <w:spacing w:after="0"/>
              <w:rPr>
                <w:sz w:val="19"/>
                <w:lang w:val="fr-FR"/>
              </w:rPr>
            </w:pPr>
          </w:p>
        </w:tc>
        <w:tc>
          <w:tcPr>
            <w:tcW w:w="1594" w:type="dxa"/>
            <w:tcBorders>
              <w:top w:val="single" w:sz="4" w:space="0" w:color="auto"/>
            </w:tcBorders>
            <w:tcMar>
              <w:top w:w="15" w:type="dxa"/>
              <w:left w:w="15" w:type="dxa"/>
              <w:bottom w:w="0" w:type="dxa"/>
              <w:right w:w="15" w:type="dxa"/>
            </w:tcMar>
            <w:vAlign w:val="center"/>
          </w:tcPr>
          <w:p w:rsidR="00000000" w:rsidRDefault="00000000">
            <w:pPr>
              <w:spacing w:after="0"/>
              <w:rPr>
                <w:sz w:val="19"/>
              </w:rPr>
            </w:pPr>
          </w:p>
        </w:tc>
        <w:tc>
          <w:tcPr>
            <w:tcW w:w="926"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840"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840"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840"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46"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69"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71"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c>
          <w:tcPr>
            <w:tcW w:w="954" w:type="dxa"/>
            <w:tcBorders>
              <w:top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p>
        </w:tc>
      </w:tr>
      <w:tr w:rsidR="00000000">
        <w:tc>
          <w:tcPr>
            <w:tcW w:w="496" w:type="dxa"/>
            <w:noWrap/>
            <w:tcMar>
              <w:top w:w="15" w:type="dxa"/>
              <w:left w:w="15" w:type="dxa"/>
              <w:bottom w:w="0" w:type="dxa"/>
              <w:right w:w="15" w:type="dxa"/>
            </w:tcMar>
            <w:vAlign w:val="bottom"/>
          </w:tcPr>
          <w:p w:rsidR="00000000" w:rsidRDefault="00000000">
            <w:pPr>
              <w:spacing w:after="0"/>
              <w:rPr>
                <w:sz w:val="19"/>
                <w:lang w:val="fr-FR"/>
              </w:rPr>
            </w:pPr>
          </w:p>
        </w:tc>
        <w:tc>
          <w:tcPr>
            <w:tcW w:w="1594" w:type="dxa"/>
            <w:tcMar>
              <w:top w:w="15" w:type="dxa"/>
              <w:left w:w="15" w:type="dxa"/>
              <w:bottom w:w="0" w:type="dxa"/>
              <w:right w:w="15" w:type="dxa"/>
            </w:tcMar>
            <w:vAlign w:val="center"/>
          </w:tcPr>
          <w:p w:rsidR="00000000" w:rsidRDefault="00000000">
            <w:pPr>
              <w:spacing w:after="0"/>
              <w:rPr>
                <w:sz w:val="19"/>
              </w:rPr>
            </w:pPr>
          </w:p>
        </w:tc>
        <w:tc>
          <w:tcPr>
            <w:tcW w:w="926"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946" w:type="dxa"/>
            <w:tcMar>
              <w:top w:w="15" w:type="dxa"/>
              <w:left w:w="15" w:type="dxa"/>
              <w:bottom w:w="0" w:type="dxa"/>
              <w:right w:w="15" w:type="dxa"/>
            </w:tcMar>
            <w:vAlign w:val="center"/>
          </w:tcPr>
          <w:p w:rsidR="00000000" w:rsidRDefault="00000000">
            <w:pPr>
              <w:spacing w:after="0"/>
              <w:ind w:right="113"/>
              <w:jc w:val="right"/>
              <w:rPr>
                <w:sz w:val="19"/>
              </w:rPr>
            </w:pPr>
          </w:p>
        </w:tc>
        <w:tc>
          <w:tcPr>
            <w:tcW w:w="969" w:type="dxa"/>
            <w:tcMar>
              <w:top w:w="15" w:type="dxa"/>
              <w:left w:w="15" w:type="dxa"/>
              <w:bottom w:w="0" w:type="dxa"/>
              <w:right w:w="15" w:type="dxa"/>
            </w:tcMar>
            <w:vAlign w:val="center"/>
          </w:tcPr>
          <w:p w:rsidR="00000000" w:rsidRDefault="00000000">
            <w:pPr>
              <w:spacing w:after="0"/>
              <w:ind w:right="113"/>
              <w:jc w:val="right"/>
              <w:rPr>
                <w:sz w:val="19"/>
              </w:rPr>
            </w:pPr>
          </w:p>
        </w:tc>
        <w:tc>
          <w:tcPr>
            <w:tcW w:w="971" w:type="dxa"/>
            <w:tcMar>
              <w:top w:w="15" w:type="dxa"/>
              <w:left w:w="15" w:type="dxa"/>
              <w:bottom w:w="0" w:type="dxa"/>
              <w:right w:w="15" w:type="dxa"/>
            </w:tcMar>
            <w:vAlign w:val="center"/>
          </w:tcPr>
          <w:p w:rsidR="00000000" w:rsidRDefault="00000000">
            <w:pPr>
              <w:spacing w:after="0"/>
              <w:ind w:right="113"/>
              <w:jc w:val="right"/>
              <w:rPr>
                <w:sz w:val="19"/>
              </w:rPr>
            </w:pPr>
          </w:p>
        </w:tc>
        <w:tc>
          <w:tcPr>
            <w:tcW w:w="954" w:type="dxa"/>
            <w:tcMar>
              <w:top w:w="15" w:type="dxa"/>
              <w:left w:w="15" w:type="dxa"/>
              <w:bottom w:w="0" w:type="dxa"/>
              <w:right w:w="15" w:type="dxa"/>
            </w:tcMar>
            <w:vAlign w:val="center"/>
          </w:tcPr>
          <w:p w:rsidR="00000000" w:rsidRDefault="00000000">
            <w:pPr>
              <w:spacing w:after="0"/>
              <w:ind w:right="113"/>
              <w:jc w:val="right"/>
              <w:rPr>
                <w:sz w:val="19"/>
              </w:rPr>
            </w:pPr>
          </w:p>
        </w:tc>
      </w:tr>
      <w:tr w:rsidR="00000000">
        <w:tc>
          <w:tcPr>
            <w:tcW w:w="496" w:type="dxa"/>
            <w:noWrap/>
            <w:tcMar>
              <w:top w:w="15" w:type="dxa"/>
              <w:left w:w="15" w:type="dxa"/>
              <w:bottom w:w="0" w:type="dxa"/>
              <w:right w:w="15" w:type="dxa"/>
            </w:tcMar>
            <w:vAlign w:val="bottom"/>
          </w:tcPr>
          <w:p w:rsidR="00000000" w:rsidRDefault="00000000">
            <w:pPr>
              <w:spacing w:after="0"/>
              <w:rPr>
                <w:sz w:val="19"/>
                <w:lang w:val="fr-FR"/>
              </w:rPr>
            </w:pPr>
          </w:p>
        </w:tc>
        <w:tc>
          <w:tcPr>
            <w:tcW w:w="1594" w:type="dxa"/>
            <w:tcMar>
              <w:top w:w="15" w:type="dxa"/>
              <w:left w:w="15" w:type="dxa"/>
              <w:bottom w:w="0" w:type="dxa"/>
              <w:right w:w="15" w:type="dxa"/>
            </w:tcMar>
            <w:vAlign w:val="center"/>
          </w:tcPr>
          <w:p w:rsidR="00000000" w:rsidRDefault="00000000">
            <w:pPr>
              <w:spacing w:after="0"/>
              <w:rPr>
                <w:sz w:val="19"/>
              </w:rPr>
            </w:pPr>
          </w:p>
        </w:tc>
        <w:tc>
          <w:tcPr>
            <w:tcW w:w="926"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946" w:type="dxa"/>
            <w:tcMar>
              <w:top w:w="15" w:type="dxa"/>
              <w:left w:w="15" w:type="dxa"/>
              <w:bottom w:w="0" w:type="dxa"/>
              <w:right w:w="15" w:type="dxa"/>
            </w:tcMar>
            <w:vAlign w:val="center"/>
          </w:tcPr>
          <w:p w:rsidR="00000000" w:rsidRDefault="00000000">
            <w:pPr>
              <w:spacing w:after="0"/>
              <w:ind w:right="113"/>
              <w:jc w:val="right"/>
              <w:rPr>
                <w:sz w:val="19"/>
              </w:rPr>
            </w:pPr>
          </w:p>
        </w:tc>
        <w:tc>
          <w:tcPr>
            <w:tcW w:w="969" w:type="dxa"/>
            <w:tcMar>
              <w:top w:w="15" w:type="dxa"/>
              <w:left w:w="15" w:type="dxa"/>
              <w:bottom w:w="0" w:type="dxa"/>
              <w:right w:w="15" w:type="dxa"/>
            </w:tcMar>
            <w:vAlign w:val="center"/>
          </w:tcPr>
          <w:p w:rsidR="00000000" w:rsidRDefault="00000000">
            <w:pPr>
              <w:spacing w:after="0"/>
              <w:ind w:right="113"/>
              <w:jc w:val="right"/>
              <w:rPr>
                <w:sz w:val="19"/>
              </w:rPr>
            </w:pPr>
          </w:p>
        </w:tc>
        <w:tc>
          <w:tcPr>
            <w:tcW w:w="971" w:type="dxa"/>
            <w:tcMar>
              <w:top w:w="15" w:type="dxa"/>
              <w:left w:w="15" w:type="dxa"/>
              <w:bottom w:w="0" w:type="dxa"/>
              <w:right w:w="15" w:type="dxa"/>
            </w:tcMar>
            <w:vAlign w:val="center"/>
          </w:tcPr>
          <w:p w:rsidR="00000000" w:rsidRDefault="00000000">
            <w:pPr>
              <w:spacing w:after="0"/>
              <w:ind w:right="113"/>
              <w:jc w:val="right"/>
              <w:rPr>
                <w:sz w:val="19"/>
              </w:rPr>
            </w:pPr>
          </w:p>
        </w:tc>
        <w:tc>
          <w:tcPr>
            <w:tcW w:w="954" w:type="dxa"/>
            <w:tcMar>
              <w:top w:w="15" w:type="dxa"/>
              <w:left w:w="15" w:type="dxa"/>
              <w:bottom w:w="0" w:type="dxa"/>
              <w:right w:w="15" w:type="dxa"/>
            </w:tcMar>
            <w:vAlign w:val="center"/>
          </w:tcPr>
          <w:p w:rsidR="00000000" w:rsidRDefault="00000000">
            <w:pPr>
              <w:spacing w:after="0"/>
              <w:ind w:right="113"/>
              <w:jc w:val="right"/>
              <w:rPr>
                <w:sz w:val="19"/>
              </w:rPr>
            </w:pPr>
          </w:p>
        </w:tc>
      </w:tr>
      <w:tr w:rsidR="00000000">
        <w:tc>
          <w:tcPr>
            <w:tcW w:w="496" w:type="dxa"/>
            <w:noWrap/>
            <w:tcMar>
              <w:top w:w="15" w:type="dxa"/>
              <w:left w:w="15" w:type="dxa"/>
              <w:bottom w:w="0" w:type="dxa"/>
              <w:right w:w="15" w:type="dxa"/>
            </w:tcMar>
            <w:vAlign w:val="bottom"/>
          </w:tcPr>
          <w:p w:rsidR="00000000" w:rsidRDefault="00000000">
            <w:pPr>
              <w:spacing w:after="0"/>
              <w:rPr>
                <w:sz w:val="19"/>
                <w:lang w:val="fr-FR"/>
              </w:rPr>
            </w:pPr>
          </w:p>
        </w:tc>
        <w:tc>
          <w:tcPr>
            <w:tcW w:w="1594" w:type="dxa"/>
            <w:tcMar>
              <w:top w:w="15" w:type="dxa"/>
              <w:left w:w="15" w:type="dxa"/>
              <w:bottom w:w="0" w:type="dxa"/>
              <w:right w:w="15" w:type="dxa"/>
            </w:tcMar>
            <w:vAlign w:val="center"/>
          </w:tcPr>
          <w:p w:rsidR="00000000" w:rsidRDefault="00000000">
            <w:pPr>
              <w:spacing w:after="0"/>
              <w:rPr>
                <w:sz w:val="19"/>
              </w:rPr>
            </w:pPr>
          </w:p>
        </w:tc>
        <w:tc>
          <w:tcPr>
            <w:tcW w:w="926"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840" w:type="dxa"/>
            <w:tcMar>
              <w:top w:w="15" w:type="dxa"/>
              <w:left w:w="15" w:type="dxa"/>
              <w:bottom w:w="0" w:type="dxa"/>
              <w:right w:w="15" w:type="dxa"/>
            </w:tcMar>
            <w:vAlign w:val="center"/>
          </w:tcPr>
          <w:p w:rsidR="00000000" w:rsidRDefault="00000000">
            <w:pPr>
              <w:spacing w:after="0"/>
              <w:ind w:right="113"/>
              <w:jc w:val="right"/>
              <w:rPr>
                <w:sz w:val="19"/>
              </w:rPr>
            </w:pPr>
          </w:p>
        </w:tc>
        <w:tc>
          <w:tcPr>
            <w:tcW w:w="946" w:type="dxa"/>
            <w:tcMar>
              <w:top w:w="15" w:type="dxa"/>
              <w:left w:w="15" w:type="dxa"/>
              <w:bottom w:w="0" w:type="dxa"/>
              <w:right w:w="15" w:type="dxa"/>
            </w:tcMar>
            <w:vAlign w:val="center"/>
          </w:tcPr>
          <w:p w:rsidR="00000000" w:rsidRDefault="00000000">
            <w:pPr>
              <w:spacing w:after="0"/>
              <w:ind w:right="113"/>
              <w:jc w:val="right"/>
              <w:rPr>
                <w:sz w:val="19"/>
              </w:rPr>
            </w:pPr>
          </w:p>
        </w:tc>
        <w:tc>
          <w:tcPr>
            <w:tcW w:w="969" w:type="dxa"/>
            <w:tcMar>
              <w:top w:w="15" w:type="dxa"/>
              <w:left w:w="15" w:type="dxa"/>
              <w:bottom w:w="0" w:type="dxa"/>
              <w:right w:w="15" w:type="dxa"/>
            </w:tcMar>
            <w:vAlign w:val="center"/>
          </w:tcPr>
          <w:p w:rsidR="00000000" w:rsidRDefault="00000000">
            <w:pPr>
              <w:spacing w:after="0"/>
              <w:ind w:right="113"/>
              <w:jc w:val="right"/>
              <w:rPr>
                <w:sz w:val="19"/>
              </w:rPr>
            </w:pPr>
          </w:p>
        </w:tc>
        <w:tc>
          <w:tcPr>
            <w:tcW w:w="971" w:type="dxa"/>
            <w:tcMar>
              <w:top w:w="15" w:type="dxa"/>
              <w:left w:w="15" w:type="dxa"/>
              <w:bottom w:w="0" w:type="dxa"/>
              <w:right w:w="15" w:type="dxa"/>
            </w:tcMar>
            <w:vAlign w:val="center"/>
          </w:tcPr>
          <w:p w:rsidR="00000000" w:rsidRDefault="00000000">
            <w:pPr>
              <w:spacing w:after="0"/>
              <w:ind w:right="113"/>
              <w:jc w:val="right"/>
              <w:rPr>
                <w:sz w:val="19"/>
              </w:rPr>
            </w:pPr>
          </w:p>
        </w:tc>
        <w:tc>
          <w:tcPr>
            <w:tcW w:w="954" w:type="dxa"/>
            <w:tcMar>
              <w:top w:w="15" w:type="dxa"/>
              <w:left w:w="15" w:type="dxa"/>
              <w:bottom w:w="0" w:type="dxa"/>
              <w:right w:w="15" w:type="dxa"/>
            </w:tcMar>
            <w:vAlign w:val="center"/>
          </w:tcPr>
          <w:p w:rsidR="00000000" w:rsidRDefault="00000000">
            <w:pPr>
              <w:spacing w:after="0"/>
              <w:ind w:right="113"/>
              <w:jc w:val="right"/>
              <w:rPr>
                <w:sz w:val="19"/>
              </w:rPr>
            </w:pPr>
          </w:p>
        </w:tc>
      </w:tr>
      <w:tr w:rsidR="00000000">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fr-FR"/>
              </w:rPr>
            </w:pPr>
            <w:proofErr w:type="spellStart"/>
            <w:r>
              <w:rPr>
                <w:sz w:val="19"/>
                <w:lang w:val="fr-FR"/>
              </w:rPr>
              <w:t>XII</w:t>
            </w:r>
            <w:proofErr w:type="spellEnd"/>
            <w:r>
              <w:rPr>
                <w:sz w:val="19"/>
                <w:lang w:val="fr-FR"/>
              </w:rPr>
              <w:t>.</w:t>
            </w:r>
          </w:p>
        </w:tc>
        <w:tc>
          <w:tcPr>
            <w:tcW w:w="1594" w:type="dxa"/>
            <w:tcBorders>
              <w:left w:val="nil"/>
              <w:right w:val="single" w:sz="4" w:space="0" w:color="auto"/>
            </w:tcBorders>
            <w:tcMar>
              <w:top w:w="15" w:type="dxa"/>
              <w:left w:w="15" w:type="dxa"/>
              <w:bottom w:w="0" w:type="dxa"/>
              <w:right w:w="15" w:type="dxa"/>
            </w:tcMar>
            <w:vAlign w:val="center"/>
          </w:tcPr>
          <w:p w:rsidR="00000000" w:rsidRDefault="00000000">
            <w:pPr>
              <w:spacing w:after="0"/>
              <w:rPr>
                <w:sz w:val="19"/>
              </w:rPr>
            </w:pPr>
            <w:r>
              <w:rPr>
                <w:sz w:val="19"/>
              </w:rPr>
              <w:t xml:space="preserve">Region </w:t>
            </w:r>
            <w:proofErr w:type="spellStart"/>
            <w:r>
              <w:rPr>
                <w:sz w:val="19"/>
              </w:rPr>
              <w:t>Lezhe</w:t>
            </w:r>
            <w:proofErr w:type="spellEnd"/>
          </w:p>
        </w:tc>
        <w:tc>
          <w:tcPr>
            <w:tcW w:w="926"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3 263</w:t>
            </w:r>
          </w:p>
        </w:tc>
        <w:tc>
          <w:tcPr>
            <w:tcW w:w="840"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13 545</w:t>
            </w:r>
          </w:p>
        </w:tc>
        <w:tc>
          <w:tcPr>
            <w:tcW w:w="840"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840"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946"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c>
          <w:tcPr>
            <w:tcW w:w="969"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43 986</w:t>
            </w:r>
          </w:p>
        </w:tc>
        <w:tc>
          <w:tcPr>
            <w:tcW w:w="971"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13 169</w:t>
            </w:r>
          </w:p>
        </w:tc>
        <w:tc>
          <w:tcPr>
            <w:tcW w:w="954" w:type="dxa"/>
            <w:tcBorders>
              <w:left w:val="nil"/>
              <w:right w:val="single" w:sz="4" w:space="0" w:color="auto"/>
            </w:tcBorders>
            <w:tcMar>
              <w:top w:w="15" w:type="dxa"/>
              <w:left w:w="15" w:type="dxa"/>
              <w:bottom w:w="0" w:type="dxa"/>
              <w:right w:w="15" w:type="dxa"/>
            </w:tcMar>
            <w:vAlign w:val="center"/>
          </w:tcPr>
          <w:p w:rsidR="00000000" w:rsidRDefault="00000000">
            <w:pPr>
              <w:spacing w:after="0"/>
              <w:ind w:right="113"/>
              <w:jc w:val="right"/>
              <w:rPr>
                <w:sz w:val="19"/>
              </w:rPr>
            </w:pPr>
            <w:r>
              <w:rPr>
                <w:sz w:val="19"/>
              </w:rPr>
              <w:t>0</w:t>
            </w: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M. </w:t>
            </w:r>
            <w:proofErr w:type="spellStart"/>
            <w:r>
              <w:rPr>
                <w:sz w:val="19"/>
              </w:rPr>
              <w:t>Lezhe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910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3 682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6 543</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3 150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Shengjin</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211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874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1 940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1 210</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Shenkoll</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5 711</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Zejmen</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3 070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5.</w:t>
            </w:r>
          </w:p>
        </w:tc>
        <w:tc>
          <w:tcPr>
            <w:tcW w:w="159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Kolsh</w:t>
            </w:r>
          </w:p>
        </w:tc>
        <w:tc>
          <w:tcPr>
            <w:tcW w:w="92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3 125</w:t>
            </w:r>
          </w:p>
        </w:tc>
        <w:tc>
          <w:tcPr>
            <w:tcW w:w="971"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Balldre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3 015</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Dajç</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1 250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Blinisht</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537</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Kallmet</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234</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Ungrej</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11.</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Laç</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1 070</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4 123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7 329</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4 135</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12.</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M. Mamuras</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654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2 831</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5 532</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r>
              <w:rPr>
                <w:sz w:val="19"/>
                <w:lang w:val="nl-NL"/>
              </w:rPr>
              <w:t>2 834</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nl-NL"/>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13.</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nl-NL"/>
              </w:rPr>
            </w:pPr>
            <w:r>
              <w:rPr>
                <w:sz w:val="19"/>
                <w:lang w:val="nl-NL"/>
              </w:rPr>
              <w:t>C. Milot</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132</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634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2 409</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602</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14.</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F</w:t>
            </w:r>
            <w:r>
              <w:rPr>
                <w:sz w:val="19"/>
                <w:lang w:val="de-DE"/>
              </w:rPr>
              <w:noBreakHyphen/>
              <w:t>Kuqe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2 904</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15.</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Rreshen</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213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1 074</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317</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934</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16.</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M. Rubik</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73</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327</w:t>
            </w: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70</w:t>
            </w: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r>
              <w:rPr>
                <w:sz w:val="19"/>
                <w:lang w:val="de-DE"/>
              </w:rPr>
              <w:t>304</w:t>
            </w: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17.</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Kaçinar</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18.</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lang w:val="de-DE"/>
              </w:rPr>
            </w:pPr>
            <w:r>
              <w:rPr>
                <w:sz w:val="19"/>
                <w:lang w:val="de-DE"/>
              </w:rPr>
              <w:t>C. Kthelle</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lang w:val="de-DE"/>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19.</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Selite</w:t>
            </w:r>
            <w:proofErr w:type="spellEnd"/>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20.</w:t>
            </w:r>
          </w:p>
        </w:tc>
        <w:tc>
          <w:tcPr>
            <w:tcW w:w="15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C. Fan</w:t>
            </w:r>
          </w:p>
        </w:tc>
        <w:tc>
          <w:tcPr>
            <w:tcW w:w="92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21.</w:t>
            </w: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 xml:space="preserve">C. </w:t>
            </w:r>
            <w:proofErr w:type="spellStart"/>
            <w:r>
              <w:rPr>
                <w:sz w:val="19"/>
              </w:rPr>
              <w:t>Orosh</w:t>
            </w:r>
            <w:proofErr w:type="spellEnd"/>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p>
        </w:tc>
      </w:tr>
      <w:tr w:rsidR="00000000">
        <w:tc>
          <w:tcPr>
            <w:tcW w:w="496" w:type="dxa"/>
            <w:tcBorders>
              <w:top w:val="single" w:sz="4" w:space="0" w:color="auto"/>
              <w:left w:val="single" w:sz="4" w:space="0" w:color="auto"/>
              <w:bottom w:val="single" w:sz="4" w:space="0" w:color="auto"/>
            </w:tcBorders>
            <w:noWrap/>
            <w:tcMar>
              <w:top w:w="15" w:type="dxa"/>
              <w:left w:w="15" w:type="dxa"/>
              <w:bottom w:w="0" w:type="dxa"/>
              <w:right w:w="15" w:type="dxa"/>
            </w:tcMar>
            <w:vAlign w:val="bottom"/>
          </w:tcPr>
          <w:p w:rsidR="00000000" w:rsidRDefault="00000000">
            <w:pPr>
              <w:spacing w:after="0"/>
              <w:rPr>
                <w:sz w:val="19"/>
              </w:rPr>
            </w:pPr>
          </w:p>
        </w:tc>
        <w:tc>
          <w:tcPr>
            <w:tcW w:w="15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rPr>
                <w:sz w:val="19"/>
              </w:rPr>
            </w:pPr>
            <w:r>
              <w:rPr>
                <w:sz w:val="19"/>
              </w:rPr>
              <w:t>Total</w:t>
            </w:r>
          </w:p>
        </w:tc>
        <w:tc>
          <w:tcPr>
            <w:tcW w:w="92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47 518</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61 106</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1 895</w:t>
            </w:r>
          </w:p>
        </w:tc>
        <w:tc>
          <w:tcPr>
            <w:tcW w:w="8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1 727</w:t>
            </w:r>
          </w:p>
        </w:tc>
        <w:tc>
          <w:tcPr>
            <w:tcW w:w="94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12 934</w:t>
            </w:r>
          </w:p>
        </w:tc>
        <w:tc>
          <w:tcPr>
            <w:tcW w:w="9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59 923</w:t>
            </w:r>
          </w:p>
        </w:tc>
        <w:tc>
          <w:tcPr>
            <w:tcW w:w="97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37 689</w:t>
            </w:r>
          </w:p>
        </w:tc>
        <w:tc>
          <w:tcPr>
            <w:tcW w:w="95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ind w:right="113"/>
              <w:jc w:val="right"/>
              <w:rPr>
                <w:sz w:val="19"/>
              </w:rPr>
            </w:pPr>
            <w:r>
              <w:rPr>
                <w:sz w:val="19"/>
              </w:rPr>
              <w:t>21 333</w:t>
            </w:r>
          </w:p>
        </w:tc>
      </w:tr>
    </w:tbl>
    <w:p w:rsidR="00000000" w:rsidRDefault="00000000">
      <w:pPr>
        <w:pStyle w:val="Heading2"/>
        <w:spacing w:before="240"/>
        <w:rPr>
          <w:sz w:val="20"/>
        </w:rPr>
      </w:pPr>
      <w:r>
        <w:rPr>
          <w:sz w:val="20"/>
        </w:rPr>
        <w:t>Table 38</w:t>
      </w:r>
    </w:p>
    <w:p w:rsidR="00000000" w:rsidRDefault="00000000">
      <w:pPr>
        <w:pStyle w:val="Heading2"/>
        <w:rPr>
          <w:sz w:val="20"/>
        </w:rPr>
      </w:pPr>
      <w:r>
        <w:rPr>
          <w:sz w:val="20"/>
        </w:rPr>
        <w:t>Families provided with housing assistance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851"/>
        <w:gridCol w:w="1790"/>
        <w:gridCol w:w="954"/>
        <w:gridCol w:w="850"/>
        <w:gridCol w:w="944"/>
        <w:gridCol w:w="854"/>
        <w:gridCol w:w="703"/>
        <w:gridCol w:w="998"/>
        <w:gridCol w:w="1418"/>
      </w:tblGrid>
      <w:tr w:rsidR="00000000">
        <w:trPr>
          <w:cantSplit/>
        </w:trPr>
        <w:tc>
          <w:tcPr>
            <w:tcW w:w="851" w:type="dxa"/>
            <w:vMerge w:val="restart"/>
            <w:tcMar>
              <w:top w:w="15" w:type="dxa"/>
              <w:left w:w="108" w:type="dxa"/>
              <w:bottom w:w="0" w:type="dxa"/>
              <w:right w:w="108" w:type="dxa"/>
            </w:tcMar>
          </w:tcPr>
          <w:p w:rsidR="00000000" w:rsidRDefault="00000000">
            <w:pPr>
              <w:spacing w:after="0"/>
              <w:jc w:val="both"/>
              <w:rPr>
                <w:sz w:val="19"/>
                <w:szCs w:val="22"/>
              </w:rPr>
            </w:pPr>
            <w:r>
              <w:rPr>
                <w:sz w:val="19"/>
                <w:szCs w:val="22"/>
              </w:rPr>
              <w:t>No.</w:t>
            </w:r>
          </w:p>
        </w:tc>
        <w:tc>
          <w:tcPr>
            <w:tcW w:w="1790" w:type="dxa"/>
            <w:vMerge w:val="restart"/>
            <w:tcMar>
              <w:top w:w="15" w:type="dxa"/>
              <w:left w:w="108" w:type="dxa"/>
              <w:bottom w:w="0" w:type="dxa"/>
              <w:right w:w="108" w:type="dxa"/>
            </w:tcMar>
          </w:tcPr>
          <w:p w:rsidR="00000000" w:rsidRDefault="00000000">
            <w:pPr>
              <w:spacing w:after="0"/>
              <w:rPr>
                <w:sz w:val="19"/>
                <w:szCs w:val="22"/>
              </w:rPr>
            </w:pPr>
            <w:r>
              <w:rPr>
                <w:sz w:val="19"/>
                <w:szCs w:val="22"/>
              </w:rPr>
              <w:t>Local government bodies</w:t>
            </w:r>
          </w:p>
        </w:tc>
        <w:tc>
          <w:tcPr>
            <w:tcW w:w="1804" w:type="dxa"/>
            <w:gridSpan w:val="2"/>
            <w:vMerge w:val="restart"/>
            <w:tcMar>
              <w:top w:w="15" w:type="dxa"/>
              <w:left w:w="108" w:type="dxa"/>
              <w:bottom w:w="0" w:type="dxa"/>
              <w:right w:w="108" w:type="dxa"/>
            </w:tcMar>
          </w:tcPr>
          <w:p w:rsidR="00000000" w:rsidRDefault="00000000">
            <w:pPr>
              <w:spacing w:after="0"/>
              <w:rPr>
                <w:sz w:val="19"/>
                <w:szCs w:val="22"/>
              </w:rPr>
            </w:pPr>
            <w:r>
              <w:rPr>
                <w:sz w:val="19"/>
                <w:szCs w:val="22"/>
              </w:rPr>
              <w:t>Number of families and persons in public, private and rented houses</w:t>
            </w:r>
          </w:p>
        </w:tc>
        <w:tc>
          <w:tcPr>
            <w:tcW w:w="1798" w:type="dxa"/>
            <w:gridSpan w:val="2"/>
            <w:vMerge w:val="restart"/>
            <w:tcMar>
              <w:top w:w="15" w:type="dxa"/>
              <w:left w:w="108" w:type="dxa"/>
              <w:bottom w:w="0" w:type="dxa"/>
              <w:right w:w="108" w:type="dxa"/>
            </w:tcMar>
          </w:tcPr>
          <w:p w:rsidR="00000000" w:rsidRDefault="00000000">
            <w:pPr>
              <w:spacing w:after="0"/>
              <w:rPr>
                <w:sz w:val="19"/>
                <w:szCs w:val="22"/>
              </w:rPr>
            </w:pPr>
            <w:r>
              <w:rPr>
                <w:sz w:val="19"/>
                <w:szCs w:val="22"/>
              </w:rPr>
              <w:t>Number of families and persons without proper housing</w:t>
            </w:r>
          </w:p>
        </w:tc>
        <w:tc>
          <w:tcPr>
            <w:tcW w:w="3119" w:type="dxa"/>
            <w:gridSpan w:val="3"/>
            <w:tcBorders>
              <w:bottom w:val="single" w:sz="4" w:space="0" w:color="auto"/>
            </w:tcBorders>
            <w:tcMar>
              <w:top w:w="15" w:type="dxa"/>
              <w:left w:w="108" w:type="dxa"/>
              <w:bottom w:w="0" w:type="dxa"/>
              <w:right w:w="108" w:type="dxa"/>
            </w:tcMar>
          </w:tcPr>
          <w:p w:rsidR="00000000" w:rsidRDefault="00000000">
            <w:pPr>
              <w:spacing w:after="0"/>
              <w:jc w:val="center"/>
              <w:rPr>
                <w:sz w:val="19"/>
                <w:szCs w:val="22"/>
              </w:rPr>
            </w:pPr>
            <w:r>
              <w:rPr>
                <w:sz w:val="19"/>
                <w:szCs w:val="22"/>
              </w:rPr>
              <w:t>Number of families served</w:t>
            </w:r>
          </w:p>
        </w:tc>
      </w:tr>
      <w:tr w:rsidR="00000000">
        <w:trPr>
          <w:cantSplit/>
          <w:trHeight w:val="230"/>
        </w:trPr>
        <w:tc>
          <w:tcPr>
            <w:tcW w:w="851" w:type="dxa"/>
            <w:vMerge/>
          </w:tcPr>
          <w:p w:rsidR="00000000" w:rsidRDefault="00000000">
            <w:pPr>
              <w:spacing w:after="0"/>
              <w:jc w:val="both"/>
              <w:rPr>
                <w:sz w:val="19"/>
                <w:szCs w:val="22"/>
              </w:rPr>
            </w:pPr>
          </w:p>
        </w:tc>
        <w:tc>
          <w:tcPr>
            <w:tcW w:w="1790" w:type="dxa"/>
            <w:vMerge/>
          </w:tcPr>
          <w:p w:rsidR="00000000" w:rsidRDefault="00000000">
            <w:pPr>
              <w:spacing w:after="0"/>
              <w:rPr>
                <w:sz w:val="19"/>
                <w:szCs w:val="22"/>
              </w:rPr>
            </w:pPr>
          </w:p>
        </w:tc>
        <w:tc>
          <w:tcPr>
            <w:tcW w:w="1804" w:type="dxa"/>
            <w:gridSpan w:val="2"/>
            <w:vMerge/>
            <w:tcBorders>
              <w:bottom w:val="single" w:sz="4" w:space="0" w:color="auto"/>
            </w:tcBorders>
          </w:tcPr>
          <w:p w:rsidR="00000000" w:rsidRDefault="00000000">
            <w:pPr>
              <w:spacing w:after="0"/>
              <w:rPr>
                <w:sz w:val="19"/>
                <w:szCs w:val="22"/>
              </w:rPr>
            </w:pPr>
          </w:p>
        </w:tc>
        <w:tc>
          <w:tcPr>
            <w:tcW w:w="1798" w:type="dxa"/>
            <w:gridSpan w:val="2"/>
            <w:vMerge/>
            <w:tcBorders>
              <w:bottom w:val="single" w:sz="4" w:space="0" w:color="auto"/>
            </w:tcBorders>
            <w:tcMar>
              <w:left w:w="108" w:type="dxa"/>
              <w:right w:w="108" w:type="dxa"/>
            </w:tcMar>
          </w:tcPr>
          <w:p w:rsidR="00000000" w:rsidRDefault="00000000">
            <w:pPr>
              <w:spacing w:after="0"/>
              <w:rPr>
                <w:sz w:val="19"/>
                <w:szCs w:val="22"/>
              </w:rPr>
            </w:pPr>
          </w:p>
        </w:tc>
        <w:tc>
          <w:tcPr>
            <w:tcW w:w="703" w:type="dxa"/>
            <w:vMerge w:val="restart"/>
            <w:tcBorders>
              <w:top w:val="single" w:sz="4" w:space="0" w:color="auto"/>
              <w:bottom w:val="nil"/>
            </w:tcBorders>
            <w:tcMar>
              <w:top w:w="15" w:type="dxa"/>
              <w:left w:w="108" w:type="dxa"/>
              <w:bottom w:w="0" w:type="dxa"/>
              <w:right w:w="108" w:type="dxa"/>
            </w:tcMar>
          </w:tcPr>
          <w:p w:rsidR="00000000" w:rsidRDefault="00000000">
            <w:pPr>
              <w:spacing w:after="0"/>
              <w:jc w:val="center"/>
              <w:rPr>
                <w:sz w:val="19"/>
                <w:szCs w:val="22"/>
              </w:rPr>
            </w:pPr>
            <w:r>
              <w:rPr>
                <w:sz w:val="19"/>
                <w:szCs w:val="22"/>
              </w:rPr>
              <w:t>Total</w:t>
            </w:r>
          </w:p>
        </w:tc>
        <w:tc>
          <w:tcPr>
            <w:tcW w:w="998" w:type="dxa"/>
            <w:vMerge w:val="restart"/>
            <w:tcBorders>
              <w:top w:val="single" w:sz="4" w:space="0" w:color="auto"/>
              <w:bottom w:val="nil"/>
            </w:tcBorders>
            <w:tcMar>
              <w:left w:w="108" w:type="dxa"/>
              <w:right w:w="108" w:type="dxa"/>
            </w:tcMar>
          </w:tcPr>
          <w:p w:rsidR="00000000" w:rsidRDefault="00000000">
            <w:pPr>
              <w:spacing w:after="0"/>
              <w:rPr>
                <w:sz w:val="19"/>
                <w:szCs w:val="22"/>
              </w:rPr>
            </w:pPr>
            <w:r>
              <w:rPr>
                <w:sz w:val="19"/>
                <w:szCs w:val="22"/>
              </w:rPr>
              <w:t xml:space="preserve">Treated with </w:t>
            </w:r>
            <w:r>
              <w:rPr>
                <w:sz w:val="19"/>
                <w:szCs w:val="22"/>
              </w:rPr>
              <w:br/>
              <w:t>bank loans</w:t>
            </w:r>
          </w:p>
        </w:tc>
        <w:tc>
          <w:tcPr>
            <w:tcW w:w="1418" w:type="dxa"/>
            <w:vMerge w:val="restart"/>
            <w:tcBorders>
              <w:top w:val="single" w:sz="4" w:space="0" w:color="auto"/>
              <w:bottom w:val="nil"/>
            </w:tcBorders>
            <w:tcMar>
              <w:left w:w="108" w:type="dxa"/>
              <w:right w:w="108" w:type="dxa"/>
            </w:tcMar>
          </w:tcPr>
          <w:p w:rsidR="00000000" w:rsidRDefault="00000000">
            <w:pPr>
              <w:spacing w:after="0"/>
              <w:rPr>
                <w:sz w:val="19"/>
                <w:szCs w:val="22"/>
              </w:rPr>
            </w:pPr>
            <w:r>
              <w:rPr>
                <w:sz w:val="19"/>
                <w:szCs w:val="22"/>
              </w:rPr>
              <w:t>Provided with housing by the National Building Organ</w:t>
            </w:r>
          </w:p>
        </w:tc>
      </w:tr>
      <w:tr w:rsidR="00000000">
        <w:trPr>
          <w:cantSplit/>
        </w:trPr>
        <w:tc>
          <w:tcPr>
            <w:tcW w:w="851" w:type="dxa"/>
            <w:vMerge/>
            <w:tcBorders>
              <w:bottom w:val="single" w:sz="4" w:space="0" w:color="auto"/>
            </w:tcBorders>
          </w:tcPr>
          <w:p w:rsidR="00000000" w:rsidRDefault="00000000">
            <w:pPr>
              <w:spacing w:after="0"/>
              <w:jc w:val="both"/>
              <w:rPr>
                <w:sz w:val="19"/>
                <w:szCs w:val="22"/>
              </w:rPr>
            </w:pPr>
          </w:p>
        </w:tc>
        <w:tc>
          <w:tcPr>
            <w:tcW w:w="1790" w:type="dxa"/>
            <w:vMerge/>
            <w:tcBorders>
              <w:bottom w:val="single" w:sz="4" w:space="0" w:color="auto"/>
            </w:tcBorders>
          </w:tcPr>
          <w:p w:rsidR="00000000" w:rsidRDefault="00000000">
            <w:pPr>
              <w:spacing w:after="0"/>
              <w:rPr>
                <w:sz w:val="19"/>
                <w:szCs w:val="22"/>
              </w:rPr>
            </w:pPr>
          </w:p>
        </w:tc>
        <w:tc>
          <w:tcPr>
            <w:tcW w:w="954" w:type="dxa"/>
            <w:tcBorders>
              <w:top w:val="single" w:sz="4" w:space="0" w:color="auto"/>
              <w:bottom w:val="single" w:sz="4" w:space="0" w:color="auto"/>
            </w:tcBorders>
          </w:tcPr>
          <w:p w:rsidR="00000000" w:rsidRDefault="00000000">
            <w:pPr>
              <w:spacing w:after="0"/>
              <w:rPr>
                <w:sz w:val="19"/>
                <w:lang w:val="fr-FR"/>
              </w:rPr>
            </w:pPr>
            <w:proofErr w:type="spellStart"/>
            <w:r>
              <w:rPr>
                <w:sz w:val="19"/>
                <w:lang w:val="fr-FR"/>
              </w:rPr>
              <w:t>Families</w:t>
            </w:r>
            <w:proofErr w:type="spellEnd"/>
          </w:p>
        </w:tc>
        <w:tc>
          <w:tcPr>
            <w:tcW w:w="850" w:type="dxa"/>
            <w:tcBorders>
              <w:top w:val="single" w:sz="4" w:space="0" w:color="auto"/>
              <w:bottom w:val="single" w:sz="4" w:space="0" w:color="auto"/>
            </w:tcBorders>
            <w:tcMar>
              <w:top w:w="15" w:type="dxa"/>
              <w:left w:w="108" w:type="dxa"/>
              <w:bottom w:w="0" w:type="dxa"/>
              <w:right w:w="108" w:type="dxa"/>
            </w:tcMar>
          </w:tcPr>
          <w:p w:rsidR="00000000" w:rsidRDefault="00000000">
            <w:pPr>
              <w:spacing w:after="0"/>
              <w:rPr>
                <w:sz w:val="19"/>
                <w:lang w:val="fr-FR"/>
              </w:rPr>
            </w:pPr>
            <w:proofErr w:type="spellStart"/>
            <w:r>
              <w:rPr>
                <w:sz w:val="19"/>
                <w:lang w:val="fr-FR"/>
              </w:rPr>
              <w:t>Persons</w:t>
            </w:r>
            <w:proofErr w:type="spellEnd"/>
          </w:p>
        </w:tc>
        <w:tc>
          <w:tcPr>
            <w:tcW w:w="944" w:type="dxa"/>
            <w:tcBorders>
              <w:top w:val="single" w:sz="4" w:space="0" w:color="auto"/>
              <w:bottom w:val="single" w:sz="4" w:space="0" w:color="auto"/>
            </w:tcBorders>
            <w:tcMar>
              <w:top w:w="15" w:type="dxa"/>
              <w:bottom w:w="0" w:type="dxa"/>
            </w:tcMar>
          </w:tcPr>
          <w:p w:rsidR="00000000" w:rsidRDefault="00000000">
            <w:pPr>
              <w:spacing w:after="0"/>
              <w:rPr>
                <w:sz w:val="19"/>
                <w:lang w:val="fr-FR"/>
              </w:rPr>
            </w:pPr>
            <w:proofErr w:type="spellStart"/>
            <w:r>
              <w:rPr>
                <w:sz w:val="19"/>
                <w:lang w:val="fr-FR"/>
              </w:rPr>
              <w:t>Families</w:t>
            </w:r>
            <w:proofErr w:type="spellEnd"/>
          </w:p>
        </w:tc>
        <w:tc>
          <w:tcPr>
            <w:tcW w:w="854" w:type="dxa"/>
            <w:tcBorders>
              <w:top w:val="single" w:sz="4" w:space="0" w:color="auto"/>
              <w:bottom w:val="single" w:sz="4" w:space="0" w:color="auto"/>
            </w:tcBorders>
            <w:tcMar>
              <w:top w:w="15" w:type="dxa"/>
              <w:bottom w:w="0" w:type="dxa"/>
            </w:tcMar>
          </w:tcPr>
          <w:p w:rsidR="00000000" w:rsidRDefault="00000000">
            <w:pPr>
              <w:spacing w:after="0"/>
              <w:rPr>
                <w:sz w:val="19"/>
                <w:lang w:val="nl-NL"/>
              </w:rPr>
            </w:pPr>
            <w:r>
              <w:rPr>
                <w:sz w:val="19"/>
                <w:lang w:val="nl-NL"/>
              </w:rPr>
              <w:t>Persons</w:t>
            </w:r>
          </w:p>
        </w:tc>
        <w:tc>
          <w:tcPr>
            <w:tcW w:w="703" w:type="dxa"/>
            <w:vMerge/>
            <w:tcBorders>
              <w:top w:val="single" w:sz="4" w:space="0" w:color="auto"/>
              <w:bottom w:val="single" w:sz="4" w:space="0" w:color="auto"/>
            </w:tcBorders>
            <w:tcMar>
              <w:left w:w="108" w:type="dxa"/>
              <w:right w:w="108" w:type="dxa"/>
            </w:tcMar>
          </w:tcPr>
          <w:p w:rsidR="00000000" w:rsidRDefault="00000000">
            <w:pPr>
              <w:spacing w:after="0"/>
              <w:rPr>
                <w:sz w:val="19"/>
                <w:szCs w:val="22"/>
                <w:lang w:val="nl-NL"/>
              </w:rPr>
            </w:pPr>
          </w:p>
        </w:tc>
        <w:tc>
          <w:tcPr>
            <w:tcW w:w="998" w:type="dxa"/>
            <w:vMerge/>
            <w:tcBorders>
              <w:top w:val="single" w:sz="4" w:space="0" w:color="auto"/>
              <w:bottom w:val="single" w:sz="4" w:space="0" w:color="auto"/>
            </w:tcBorders>
            <w:tcMar>
              <w:left w:w="108" w:type="dxa"/>
              <w:right w:w="108" w:type="dxa"/>
            </w:tcMar>
          </w:tcPr>
          <w:p w:rsidR="00000000" w:rsidRDefault="00000000">
            <w:pPr>
              <w:spacing w:after="0"/>
              <w:rPr>
                <w:sz w:val="19"/>
                <w:szCs w:val="22"/>
                <w:lang w:val="nl-NL"/>
              </w:rPr>
            </w:pPr>
          </w:p>
        </w:tc>
        <w:tc>
          <w:tcPr>
            <w:tcW w:w="1418" w:type="dxa"/>
            <w:vMerge/>
            <w:tcBorders>
              <w:top w:val="single" w:sz="4" w:space="0" w:color="auto"/>
              <w:bottom w:val="single" w:sz="4" w:space="0" w:color="auto"/>
            </w:tcBorders>
            <w:tcMar>
              <w:left w:w="108" w:type="dxa"/>
              <w:right w:w="108" w:type="dxa"/>
            </w:tcMar>
          </w:tcPr>
          <w:p w:rsidR="00000000" w:rsidRDefault="00000000">
            <w:pPr>
              <w:spacing w:after="0"/>
              <w:rPr>
                <w:sz w:val="19"/>
                <w:szCs w:val="22"/>
                <w:lang w:val="nl-NL"/>
              </w:rPr>
            </w:pPr>
          </w:p>
        </w:tc>
      </w:tr>
      <w:tr w:rsidR="00000000">
        <w:tc>
          <w:tcPr>
            <w:tcW w:w="851" w:type="dxa"/>
            <w:tcBorders>
              <w:top w:val="nil"/>
            </w:tcBorders>
            <w:tcMar>
              <w:top w:w="15" w:type="dxa"/>
              <w:left w:w="108" w:type="dxa"/>
              <w:bottom w:w="0" w:type="dxa"/>
              <w:right w:w="108" w:type="dxa"/>
            </w:tcMar>
          </w:tcPr>
          <w:p w:rsidR="00000000" w:rsidRDefault="00000000">
            <w:pPr>
              <w:spacing w:after="0"/>
              <w:ind w:left="113"/>
              <w:jc w:val="both"/>
              <w:rPr>
                <w:sz w:val="19"/>
                <w:lang w:val="nl-NL"/>
              </w:rPr>
            </w:pPr>
            <w:r>
              <w:rPr>
                <w:sz w:val="19"/>
                <w:lang w:val="nl-NL"/>
              </w:rPr>
              <w:t>I.</w:t>
            </w:r>
          </w:p>
        </w:tc>
        <w:tc>
          <w:tcPr>
            <w:tcW w:w="1790" w:type="dxa"/>
            <w:tcBorders>
              <w:top w:val="nil"/>
            </w:tcBorders>
            <w:tcMar>
              <w:top w:w="15" w:type="dxa"/>
              <w:left w:w="108" w:type="dxa"/>
              <w:bottom w:w="0" w:type="dxa"/>
              <w:right w:w="108" w:type="dxa"/>
            </w:tcMar>
          </w:tcPr>
          <w:p w:rsidR="00000000" w:rsidRDefault="00000000">
            <w:pPr>
              <w:spacing w:after="0"/>
              <w:rPr>
                <w:sz w:val="19"/>
                <w:lang w:val="nl-NL"/>
              </w:rPr>
            </w:pPr>
            <w:r>
              <w:rPr>
                <w:sz w:val="19"/>
                <w:lang w:val="nl-NL"/>
              </w:rPr>
              <w:t>Region Gjirokaster</w:t>
            </w:r>
          </w:p>
        </w:tc>
        <w:tc>
          <w:tcPr>
            <w:tcW w:w="954" w:type="dxa"/>
            <w:tcBorders>
              <w:top w:val="nil"/>
            </w:tcBorders>
            <w:tcMar>
              <w:top w:w="15" w:type="dxa"/>
              <w:left w:w="108" w:type="dxa"/>
              <w:bottom w:w="0" w:type="dxa"/>
              <w:right w:w="108" w:type="dxa"/>
            </w:tcMar>
          </w:tcPr>
          <w:p w:rsidR="00000000" w:rsidRDefault="00000000">
            <w:pPr>
              <w:spacing w:after="0"/>
              <w:ind w:right="113"/>
              <w:jc w:val="right"/>
              <w:rPr>
                <w:sz w:val="19"/>
                <w:lang w:val="nl-NL"/>
              </w:rPr>
            </w:pPr>
          </w:p>
        </w:tc>
        <w:tc>
          <w:tcPr>
            <w:tcW w:w="850"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p>
        </w:tc>
        <w:tc>
          <w:tcPr>
            <w:tcW w:w="944"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52</w:t>
            </w:r>
          </w:p>
        </w:tc>
        <w:tc>
          <w:tcPr>
            <w:tcW w:w="854"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0</w:t>
            </w:r>
          </w:p>
        </w:tc>
        <w:tc>
          <w:tcPr>
            <w:tcW w:w="703"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111</w:t>
            </w:r>
          </w:p>
        </w:tc>
        <w:tc>
          <w:tcPr>
            <w:tcW w:w="998" w:type="dxa"/>
            <w:tcBorders>
              <w:top w:val="nil"/>
            </w:tcBorders>
            <w:tcMar>
              <w:top w:w="15" w:type="dxa"/>
              <w:left w:w="108" w:type="dxa"/>
              <w:bottom w:w="0" w:type="dxa"/>
              <w:right w:w="108" w:type="dxa"/>
            </w:tcMar>
          </w:tcPr>
          <w:p w:rsidR="00000000" w:rsidRDefault="00000000">
            <w:pPr>
              <w:spacing w:after="0"/>
              <w:ind w:right="284"/>
              <w:jc w:val="right"/>
              <w:rPr>
                <w:sz w:val="19"/>
                <w:lang w:val="nl-NL"/>
              </w:rPr>
            </w:pPr>
            <w:r>
              <w:rPr>
                <w:sz w:val="19"/>
                <w:lang w:val="nl-NL"/>
              </w:rPr>
              <w:t>40</w:t>
            </w:r>
          </w:p>
        </w:tc>
        <w:tc>
          <w:tcPr>
            <w:tcW w:w="1418" w:type="dxa"/>
            <w:tcBorders>
              <w:top w:val="nil"/>
            </w:tcBorders>
            <w:tcMar>
              <w:top w:w="15" w:type="dxa"/>
              <w:left w:w="108" w:type="dxa"/>
              <w:bottom w:w="0" w:type="dxa"/>
              <w:right w:w="108" w:type="dxa"/>
            </w:tcMar>
          </w:tcPr>
          <w:p w:rsidR="00000000" w:rsidRDefault="00000000">
            <w:pPr>
              <w:spacing w:after="0"/>
              <w:ind w:right="454"/>
              <w:jc w:val="right"/>
              <w:rPr>
                <w:sz w:val="19"/>
                <w:lang w:val="nl-NL"/>
              </w:rPr>
            </w:pPr>
            <w:r>
              <w:rPr>
                <w:sz w:val="19"/>
                <w:lang w:val="nl-NL"/>
              </w:rPr>
              <w:t>27</w:t>
            </w:r>
          </w:p>
        </w:tc>
      </w:tr>
      <w:tr w:rsidR="00000000">
        <w:tc>
          <w:tcPr>
            <w:tcW w:w="851" w:type="dxa"/>
            <w:tcBorders>
              <w:top w:val="nil"/>
            </w:tcBorders>
            <w:tcMar>
              <w:top w:w="15" w:type="dxa"/>
              <w:left w:w="108" w:type="dxa"/>
              <w:bottom w:w="0" w:type="dxa"/>
              <w:right w:w="108" w:type="dxa"/>
            </w:tcMar>
          </w:tcPr>
          <w:p w:rsidR="00000000" w:rsidRDefault="00000000">
            <w:pPr>
              <w:spacing w:after="0"/>
              <w:ind w:left="113"/>
              <w:jc w:val="both"/>
              <w:rPr>
                <w:sz w:val="19"/>
                <w:lang w:val="nl-NL"/>
              </w:rPr>
            </w:pPr>
            <w:r>
              <w:rPr>
                <w:sz w:val="19"/>
                <w:lang w:val="nl-NL"/>
              </w:rPr>
              <w:t>1.</w:t>
            </w:r>
          </w:p>
        </w:tc>
        <w:tc>
          <w:tcPr>
            <w:tcW w:w="1790" w:type="dxa"/>
            <w:tcBorders>
              <w:top w:val="nil"/>
            </w:tcBorders>
            <w:tcMar>
              <w:top w:w="15" w:type="dxa"/>
              <w:left w:w="108" w:type="dxa"/>
              <w:bottom w:w="0" w:type="dxa"/>
              <w:right w:w="108" w:type="dxa"/>
            </w:tcMar>
          </w:tcPr>
          <w:p w:rsidR="00000000" w:rsidRDefault="00000000">
            <w:pPr>
              <w:spacing w:after="0"/>
              <w:rPr>
                <w:sz w:val="19"/>
                <w:lang w:val="nl-NL"/>
              </w:rPr>
            </w:pPr>
            <w:r>
              <w:rPr>
                <w:sz w:val="19"/>
                <w:lang w:val="nl-NL"/>
              </w:rPr>
              <w:t>M. Gjirokaster</w:t>
            </w:r>
          </w:p>
        </w:tc>
        <w:tc>
          <w:tcPr>
            <w:tcW w:w="954" w:type="dxa"/>
            <w:tcBorders>
              <w:top w:val="nil"/>
            </w:tcBorders>
            <w:tcMar>
              <w:top w:w="15" w:type="dxa"/>
              <w:left w:w="108" w:type="dxa"/>
              <w:bottom w:w="0" w:type="dxa"/>
              <w:right w:w="108" w:type="dxa"/>
            </w:tcMar>
          </w:tcPr>
          <w:p w:rsidR="00000000" w:rsidRDefault="00000000">
            <w:pPr>
              <w:spacing w:after="0"/>
              <w:ind w:right="113"/>
              <w:jc w:val="right"/>
              <w:rPr>
                <w:sz w:val="19"/>
                <w:lang w:val="nl-NL"/>
              </w:rPr>
            </w:pPr>
            <w:r>
              <w:rPr>
                <w:sz w:val="19"/>
                <w:lang w:val="nl-NL"/>
              </w:rPr>
              <w:t>232</w:t>
            </w:r>
          </w:p>
        </w:tc>
        <w:tc>
          <w:tcPr>
            <w:tcW w:w="850"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920</w:t>
            </w:r>
          </w:p>
        </w:tc>
        <w:tc>
          <w:tcPr>
            <w:tcW w:w="944"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p>
        </w:tc>
        <w:tc>
          <w:tcPr>
            <w:tcW w:w="854"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p>
        </w:tc>
        <w:tc>
          <w:tcPr>
            <w:tcW w:w="703"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63</w:t>
            </w:r>
          </w:p>
        </w:tc>
        <w:tc>
          <w:tcPr>
            <w:tcW w:w="998" w:type="dxa"/>
            <w:tcBorders>
              <w:top w:val="nil"/>
            </w:tcBorders>
            <w:tcMar>
              <w:top w:w="15" w:type="dxa"/>
              <w:left w:w="108" w:type="dxa"/>
              <w:bottom w:w="0" w:type="dxa"/>
              <w:right w:w="108" w:type="dxa"/>
            </w:tcMar>
          </w:tcPr>
          <w:p w:rsidR="00000000" w:rsidRDefault="00000000">
            <w:pPr>
              <w:spacing w:after="0"/>
              <w:ind w:right="284"/>
              <w:jc w:val="right"/>
              <w:rPr>
                <w:sz w:val="19"/>
                <w:lang w:val="nl-NL"/>
              </w:rPr>
            </w:pPr>
            <w:r>
              <w:rPr>
                <w:sz w:val="19"/>
                <w:lang w:val="nl-NL"/>
              </w:rPr>
              <w:t>40</w:t>
            </w:r>
          </w:p>
        </w:tc>
        <w:tc>
          <w:tcPr>
            <w:tcW w:w="1418" w:type="dxa"/>
            <w:tcBorders>
              <w:top w:val="nil"/>
            </w:tcBorders>
            <w:tcMar>
              <w:top w:w="15" w:type="dxa"/>
              <w:left w:w="108" w:type="dxa"/>
              <w:bottom w:w="0" w:type="dxa"/>
              <w:right w:w="108" w:type="dxa"/>
            </w:tcMar>
          </w:tcPr>
          <w:p w:rsidR="00000000" w:rsidRDefault="00000000">
            <w:pPr>
              <w:spacing w:after="0"/>
              <w:ind w:right="454"/>
              <w:jc w:val="right"/>
              <w:rPr>
                <w:sz w:val="19"/>
                <w:lang w:val="nl-NL"/>
              </w:rPr>
            </w:pPr>
            <w:r>
              <w:rPr>
                <w:sz w:val="19"/>
                <w:lang w:val="nl-NL"/>
              </w:rPr>
              <w:t>23</w:t>
            </w:r>
          </w:p>
        </w:tc>
      </w:tr>
      <w:tr w:rsidR="00000000">
        <w:tc>
          <w:tcPr>
            <w:tcW w:w="851" w:type="dxa"/>
            <w:tcMar>
              <w:top w:w="15" w:type="dxa"/>
              <w:left w:w="108" w:type="dxa"/>
              <w:bottom w:w="0" w:type="dxa"/>
              <w:right w:w="108" w:type="dxa"/>
            </w:tcMar>
          </w:tcPr>
          <w:p w:rsidR="00000000" w:rsidRDefault="00000000">
            <w:pPr>
              <w:spacing w:after="0"/>
              <w:ind w:left="113"/>
              <w:jc w:val="both"/>
              <w:rPr>
                <w:sz w:val="19"/>
                <w:lang w:val="nl-NL"/>
              </w:rPr>
            </w:pPr>
            <w:r>
              <w:rPr>
                <w:sz w:val="19"/>
                <w:lang w:val="nl-NL"/>
              </w:rPr>
              <w:t>2.</w:t>
            </w:r>
          </w:p>
        </w:tc>
        <w:tc>
          <w:tcPr>
            <w:tcW w:w="1790" w:type="dxa"/>
            <w:tcMar>
              <w:top w:w="15" w:type="dxa"/>
              <w:left w:w="108" w:type="dxa"/>
              <w:bottom w:w="0" w:type="dxa"/>
              <w:right w:w="108" w:type="dxa"/>
            </w:tcMar>
          </w:tcPr>
          <w:p w:rsidR="00000000" w:rsidRDefault="00000000">
            <w:pPr>
              <w:spacing w:after="0"/>
              <w:rPr>
                <w:sz w:val="19"/>
                <w:lang w:val="nl-NL"/>
              </w:rPr>
            </w:pPr>
            <w:r>
              <w:rPr>
                <w:sz w:val="19"/>
                <w:lang w:val="nl-NL"/>
              </w:rPr>
              <w:t>M. Permet</w:t>
            </w:r>
          </w:p>
        </w:tc>
        <w:tc>
          <w:tcPr>
            <w:tcW w:w="954" w:type="dxa"/>
            <w:tcMar>
              <w:top w:w="15" w:type="dxa"/>
              <w:left w:w="108" w:type="dxa"/>
              <w:bottom w:w="0" w:type="dxa"/>
              <w:right w:w="108" w:type="dxa"/>
            </w:tcMar>
          </w:tcPr>
          <w:p w:rsidR="00000000" w:rsidRDefault="00000000">
            <w:pPr>
              <w:spacing w:after="0"/>
              <w:ind w:right="113"/>
              <w:jc w:val="right"/>
              <w:rPr>
                <w:sz w:val="19"/>
                <w:lang w:val="nl-NL"/>
              </w:rPr>
            </w:pPr>
          </w:p>
        </w:tc>
        <w:tc>
          <w:tcPr>
            <w:tcW w:w="850" w:type="dxa"/>
            <w:tcMar>
              <w:top w:w="15" w:type="dxa"/>
              <w:left w:w="108" w:type="dxa"/>
              <w:bottom w:w="0" w:type="dxa"/>
              <w:right w:w="108" w:type="dxa"/>
            </w:tcMar>
          </w:tcPr>
          <w:p w:rsidR="00000000" w:rsidRDefault="00000000">
            <w:pPr>
              <w:spacing w:after="0"/>
              <w:ind w:right="57"/>
              <w:jc w:val="right"/>
              <w:rPr>
                <w:sz w:val="19"/>
                <w:lang w:val="nl-NL"/>
              </w:rPr>
            </w:pPr>
          </w:p>
        </w:tc>
        <w:tc>
          <w:tcPr>
            <w:tcW w:w="944" w:type="dxa"/>
            <w:tcMar>
              <w:top w:w="15" w:type="dxa"/>
              <w:left w:w="108" w:type="dxa"/>
              <w:bottom w:w="0" w:type="dxa"/>
              <w:right w:w="108" w:type="dxa"/>
            </w:tcMar>
          </w:tcPr>
          <w:p w:rsidR="00000000" w:rsidRDefault="00000000">
            <w:pPr>
              <w:spacing w:after="0"/>
              <w:ind w:right="57"/>
              <w:jc w:val="right"/>
              <w:rPr>
                <w:sz w:val="19"/>
                <w:lang w:val="nl-NL"/>
              </w:rPr>
            </w:pPr>
            <w:r>
              <w:rPr>
                <w:sz w:val="19"/>
                <w:lang w:val="nl-NL"/>
              </w:rPr>
              <w:t>40</w:t>
            </w:r>
          </w:p>
        </w:tc>
        <w:tc>
          <w:tcPr>
            <w:tcW w:w="854" w:type="dxa"/>
            <w:tcMar>
              <w:top w:w="15" w:type="dxa"/>
              <w:left w:w="108" w:type="dxa"/>
              <w:bottom w:w="0" w:type="dxa"/>
              <w:right w:w="108" w:type="dxa"/>
            </w:tcMar>
          </w:tcPr>
          <w:p w:rsidR="00000000" w:rsidRDefault="00000000">
            <w:pPr>
              <w:spacing w:after="0"/>
              <w:ind w:right="57"/>
              <w:jc w:val="right"/>
              <w:rPr>
                <w:sz w:val="19"/>
                <w:lang w:val="nl-NL"/>
              </w:rPr>
            </w:pPr>
          </w:p>
        </w:tc>
        <w:tc>
          <w:tcPr>
            <w:tcW w:w="703" w:type="dxa"/>
            <w:tcMar>
              <w:top w:w="15" w:type="dxa"/>
              <w:left w:w="108" w:type="dxa"/>
              <w:bottom w:w="0" w:type="dxa"/>
              <w:right w:w="108" w:type="dxa"/>
            </w:tcMar>
          </w:tcPr>
          <w:p w:rsidR="00000000" w:rsidRDefault="00000000">
            <w:pPr>
              <w:spacing w:after="0"/>
              <w:ind w:right="57"/>
              <w:jc w:val="right"/>
              <w:rPr>
                <w:sz w:val="19"/>
                <w:lang w:val="nl-NL"/>
              </w:rPr>
            </w:pPr>
            <w:r>
              <w:rPr>
                <w:sz w:val="19"/>
                <w:lang w:val="nl-NL"/>
              </w:rPr>
              <w:t>29</w:t>
            </w:r>
          </w:p>
        </w:tc>
        <w:tc>
          <w:tcPr>
            <w:tcW w:w="998" w:type="dxa"/>
            <w:tcMar>
              <w:top w:w="15" w:type="dxa"/>
              <w:left w:w="108" w:type="dxa"/>
              <w:bottom w:w="0" w:type="dxa"/>
              <w:right w:w="108" w:type="dxa"/>
            </w:tcMar>
          </w:tcPr>
          <w:p w:rsidR="00000000" w:rsidRDefault="00000000">
            <w:pPr>
              <w:spacing w:after="0"/>
              <w:ind w:right="284"/>
              <w:jc w:val="right"/>
              <w:rPr>
                <w:sz w:val="19"/>
                <w:lang w:val="nl-NL"/>
              </w:rPr>
            </w:pPr>
          </w:p>
        </w:tc>
        <w:tc>
          <w:tcPr>
            <w:tcW w:w="1418" w:type="dxa"/>
            <w:tcMar>
              <w:top w:w="15" w:type="dxa"/>
              <w:left w:w="108" w:type="dxa"/>
              <w:bottom w:w="0" w:type="dxa"/>
              <w:right w:w="108" w:type="dxa"/>
            </w:tcMar>
          </w:tcPr>
          <w:p w:rsidR="00000000" w:rsidRDefault="00000000">
            <w:pPr>
              <w:spacing w:after="0"/>
              <w:ind w:right="454"/>
              <w:jc w:val="right"/>
              <w:rPr>
                <w:sz w:val="19"/>
                <w:lang w:val="nl-NL"/>
              </w:rPr>
            </w:pPr>
            <w:r>
              <w:rPr>
                <w:sz w:val="19"/>
                <w:lang w:val="nl-NL"/>
              </w:rPr>
              <w:t>4</w:t>
            </w:r>
          </w:p>
        </w:tc>
      </w:tr>
      <w:tr w:rsidR="00000000">
        <w:tc>
          <w:tcPr>
            <w:tcW w:w="851" w:type="dxa"/>
            <w:tcMar>
              <w:top w:w="15" w:type="dxa"/>
              <w:left w:w="108" w:type="dxa"/>
              <w:bottom w:w="0" w:type="dxa"/>
              <w:right w:w="108" w:type="dxa"/>
            </w:tcMar>
          </w:tcPr>
          <w:p w:rsidR="00000000" w:rsidRDefault="00000000">
            <w:pPr>
              <w:spacing w:after="0"/>
              <w:ind w:left="113"/>
              <w:jc w:val="both"/>
              <w:rPr>
                <w:sz w:val="19"/>
                <w:lang w:val="nl-NL"/>
              </w:rPr>
            </w:pPr>
            <w:r>
              <w:rPr>
                <w:sz w:val="19"/>
                <w:lang w:val="nl-NL"/>
              </w:rPr>
              <w:t>3.</w:t>
            </w:r>
          </w:p>
        </w:tc>
        <w:tc>
          <w:tcPr>
            <w:tcW w:w="1790" w:type="dxa"/>
            <w:tcMar>
              <w:top w:w="15" w:type="dxa"/>
              <w:left w:w="108" w:type="dxa"/>
              <w:bottom w:w="0" w:type="dxa"/>
              <w:right w:w="108" w:type="dxa"/>
            </w:tcMar>
          </w:tcPr>
          <w:p w:rsidR="00000000" w:rsidRDefault="00000000">
            <w:pPr>
              <w:spacing w:after="0"/>
              <w:rPr>
                <w:sz w:val="19"/>
                <w:lang w:val="nl-NL"/>
              </w:rPr>
            </w:pPr>
            <w:r>
              <w:rPr>
                <w:sz w:val="19"/>
                <w:lang w:val="nl-NL"/>
              </w:rPr>
              <w:t>M. Tepelene</w:t>
            </w:r>
          </w:p>
        </w:tc>
        <w:tc>
          <w:tcPr>
            <w:tcW w:w="954" w:type="dxa"/>
            <w:tcMar>
              <w:top w:w="15" w:type="dxa"/>
              <w:left w:w="108" w:type="dxa"/>
              <w:bottom w:w="0" w:type="dxa"/>
              <w:right w:w="108" w:type="dxa"/>
            </w:tcMar>
          </w:tcPr>
          <w:p w:rsidR="00000000" w:rsidRDefault="00000000">
            <w:pPr>
              <w:spacing w:after="0"/>
              <w:ind w:right="113"/>
              <w:jc w:val="right"/>
              <w:rPr>
                <w:sz w:val="19"/>
                <w:lang w:val="nl-NL"/>
              </w:rPr>
            </w:pPr>
          </w:p>
        </w:tc>
        <w:tc>
          <w:tcPr>
            <w:tcW w:w="850" w:type="dxa"/>
            <w:tcMar>
              <w:top w:w="15" w:type="dxa"/>
              <w:left w:w="108" w:type="dxa"/>
              <w:bottom w:w="0" w:type="dxa"/>
              <w:right w:w="108" w:type="dxa"/>
            </w:tcMar>
          </w:tcPr>
          <w:p w:rsidR="00000000" w:rsidRDefault="00000000">
            <w:pPr>
              <w:spacing w:after="0"/>
              <w:ind w:right="57"/>
              <w:jc w:val="right"/>
              <w:rPr>
                <w:sz w:val="19"/>
                <w:lang w:val="nl-NL"/>
              </w:rPr>
            </w:pPr>
          </w:p>
        </w:tc>
        <w:tc>
          <w:tcPr>
            <w:tcW w:w="944" w:type="dxa"/>
            <w:tcMar>
              <w:top w:w="15" w:type="dxa"/>
              <w:left w:w="108" w:type="dxa"/>
              <w:bottom w:w="0" w:type="dxa"/>
              <w:right w:w="108" w:type="dxa"/>
            </w:tcMar>
          </w:tcPr>
          <w:p w:rsidR="00000000" w:rsidRDefault="00000000">
            <w:pPr>
              <w:spacing w:after="0"/>
              <w:ind w:right="57"/>
              <w:jc w:val="right"/>
              <w:rPr>
                <w:sz w:val="19"/>
                <w:lang w:val="nl-NL"/>
              </w:rPr>
            </w:pPr>
          </w:p>
        </w:tc>
        <w:tc>
          <w:tcPr>
            <w:tcW w:w="854" w:type="dxa"/>
            <w:tcMar>
              <w:top w:w="15" w:type="dxa"/>
              <w:left w:w="108" w:type="dxa"/>
              <w:bottom w:w="0" w:type="dxa"/>
              <w:right w:w="108" w:type="dxa"/>
            </w:tcMar>
          </w:tcPr>
          <w:p w:rsidR="00000000" w:rsidRDefault="00000000">
            <w:pPr>
              <w:spacing w:after="0"/>
              <w:ind w:right="57"/>
              <w:jc w:val="right"/>
              <w:rPr>
                <w:sz w:val="19"/>
                <w:lang w:val="nl-NL"/>
              </w:rPr>
            </w:pPr>
          </w:p>
        </w:tc>
        <w:tc>
          <w:tcPr>
            <w:tcW w:w="703" w:type="dxa"/>
            <w:tcMar>
              <w:top w:w="15" w:type="dxa"/>
              <w:left w:w="108" w:type="dxa"/>
              <w:bottom w:w="0" w:type="dxa"/>
              <w:right w:w="108" w:type="dxa"/>
            </w:tcMar>
          </w:tcPr>
          <w:p w:rsidR="00000000" w:rsidRDefault="00000000">
            <w:pPr>
              <w:spacing w:after="0"/>
              <w:ind w:right="57"/>
              <w:jc w:val="right"/>
              <w:rPr>
                <w:sz w:val="19"/>
              </w:rPr>
            </w:pPr>
            <w:r>
              <w:rPr>
                <w:sz w:val="19"/>
              </w:rPr>
              <w:t>5</w:t>
            </w:r>
          </w:p>
        </w:tc>
        <w:tc>
          <w:tcPr>
            <w:tcW w:w="998"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51" w:type="dxa"/>
            <w:tcMar>
              <w:top w:w="15" w:type="dxa"/>
              <w:left w:w="108" w:type="dxa"/>
              <w:bottom w:w="0" w:type="dxa"/>
              <w:right w:w="108" w:type="dxa"/>
            </w:tcMar>
          </w:tcPr>
          <w:p w:rsidR="00000000" w:rsidRDefault="00000000">
            <w:pPr>
              <w:spacing w:after="0"/>
              <w:ind w:left="113"/>
              <w:jc w:val="both"/>
              <w:rPr>
                <w:sz w:val="19"/>
              </w:rPr>
            </w:pPr>
            <w:r>
              <w:rPr>
                <w:sz w:val="19"/>
              </w:rPr>
              <w:t>4.</w:t>
            </w:r>
          </w:p>
        </w:tc>
        <w:tc>
          <w:tcPr>
            <w:tcW w:w="1790" w:type="dxa"/>
            <w:tcMar>
              <w:top w:w="15" w:type="dxa"/>
              <w:left w:w="108" w:type="dxa"/>
              <w:bottom w:w="0" w:type="dxa"/>
              <w:right w:w="108" w:type="dxa"/>
            </w:tcMar>
          </w:tcPr>
          <w:p w:rsidR="00000000" w:rsidRDefault="00000000">
            <w:pPr>
              <w:spacing w:after="0"/>
              <w:rPr>
                <w:sz w:val="19"/>
              </w:rPr>
            </w:pPr>
            <w:r>
              <w:rPr>
                <w:sz w:val="19"/>
              </w:rPr>
              <w:t xml:space="preserve">M. </w:t>
            </w:r>
            <w:proofErr w:type="spellStart"/>
            <w:r>
              <w:rPr>
                <w:sz w:val="19"/>
              </w:rPr>
              <w:t>Memaliaj</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44" w:type="dxa"/>
            <w:tcMar>
              <w:top w:w="15" w:type="dxa"/>
              <w:left w:w="108" w:type="dxa"/>
              <w:bottom w:w="0" w:type="dxa"/>
              <w:right w:w="108" w:type="dxa"/>
            </w:tcMar>
          </w:tcPr>
          <w:p w:rsidR="00000000" w:rsidRDefault="00000000">
            <w:pPr>
              <w:spacing w:after="0"/>
              <w:ind w:right="57"/>
              <w:jc w:val="right"/>
              <w:rPr>
                <w:sz w:val="19"/>
              </w:rPr>
            </w:pPr>
            <w:r>
              <w:rPr>
                <w:sz w:val="19"/>
              </w:rPr>
              <w:t>12</w:t>
            </w:r>
          </w:p>
        </w:tc>
        <w:tc>
          <w:tcPr>
            <w:tcW w:w="854" w:type="dxa"/>
            <w:tcMar>
              <w:top w:w="15" w:type="dxa"/>
              <w:left w:w="108" w:type="dxa"/>
              <w:bottom w:w="0" w:type="dxa"/>
              <w:right w:w="108" w:type="dxa"/>
            </w:tcMar>
          </w:tcPr>
          <w:p w:rsidR="00000000" w:rsidRDefault="00000000">
            <w:pPr>
              <w:spacing w:after="0"/>
              <w:ind w:right="57"/>
              <w:jc w:val="right"/>
              <w:rPr>
                <w:sz w:val="19"/>
              </w:rPr>
            </w:pPr>
          </w:p>
        </w:tc>
        <w:tc>
          <w:tcPr>
            <w:tcW w:w="703" w:type="dxa"/>
            <w:tcMar>
              <w:top w:w="15" w:type="dxa"/>
              <w:left w:w="108" w:type="dxa"/>
              <w:bottom w:w="0" w:type="dxa"/>
              <w:right w:w="108" w:type="dxa"/>
            </w:tcMar>
          </w:tcPr>
          <w:p w:rsidR="00000000" w:rsidRDefault="00000000">
            <w:pPr>
              <w:spacing w:after="0"/>
              <w:ind w:right="57"/>
              <w:jc w:val="right"/>
              <w:rPr>
                <w:sz w:val="19"/>
              </w:rPr>
            </w:pPr>
            <w:r>
              <w:rPr>
                <w:sz w:val="19"/>
              </w:rPr>
              <w:t>10</w:t>
            </w:r>
          </w:p>
        </w:tc>
        <w:tc>
          <w:tcPr>
            <w:tcW w:w="998"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51" w:type="dxa"/>
            <w:tcBorders>
              <w:bottom w:val="single" w:sz="4" w:space="0" w:color="auto"/>
            </w:tcBorders>
            <w:tcMar>
              <w:top w:w="15" w:type="dxa"/>
              <w:left w:w="108" w:type="dxa"/>
              <w:bottom w:w="0" w:type="dxa"/>
              <w:right w:w="108" w:type="dxa"/>
            </w:tcMar>
          </w:tcPr>
          <w:p w:rsidR="00000000" w:rsidRDefault="00000000">
            <w:pPr>
              <w:spacing w:after="0"/>
              <w:ind w:left="113"/>
              <w:jc w:val="both"/>
              <w:rPr>
                <w:sz w:val="19"/>
              </w:rPr>
            </w:pPr>
            <w:r>
              <w:rPr>
                <w:sz w:val="19"/>
              </w:rPr>
              <w:t>5.</w:t>
            </w:r>
          </w:p>
        </w:tc>
        <w:tc>
          <w:tcPr>
            <w:tcW w:w="1790" w:type="dxa"/>
            <w:tcBorders>
              <w:bottom w:val="single" w:sz="4" w:space="0" w:color="auto"/>
            </w:tcBorders>
            <w:tcMar>
              <w:top w:w="15" w:type="dxa"/>
              <w:left w:w="108" w:type="dxa"/>
              <w:bottom w:w="0" w:type="dxa"/>
              <w:right w:w="108" w:type="dxa"/>
            </w:tcMar>
          </w:tcPr>
          <w:p w:rsidR="00000000" w:rsidRDefault="00000000">
            <w:pPr>
              <w:spacing w:after="0"/>
              <w:rPr>
                <w:sz w:val="19"/>
              </w:rPr>
            </w:pPr>
            <w:r>
              <w:rPr>
                <w:sz w:val="19"/>
              </w:rPr>
              <w:t xml:space="preserve">M. </w:t>
            </w:r>
            <w:proofErr w:type="spellStart"/>
            <w:r>
              <w:rPr>
                <w:sz w:val="19"/>
              </w:rPr>
              <w:t>Libohove</w:t>
            </w:r>
            <w:proofErr w:type="spellEnd"/>
          </w:p>
        </w:tc>
        <w:tc>
          <w:tcPr>
            <w:tcW w:w="954" w:type="dxa"/>
            <w:tcBorders>
              <w:bottom w:val="single" w:sz="4" w:space="0" w:color="auto"/>
            </w:tcBorders>
            <w:tcMar>
              <w:top w:w="15" w:type="dxa"/>
              <w:left w:w="108" w:type="dxa"/>
              <w:bottom w:w="0" w:type="dxa"/>
              <w:right w:w="108" w:type="dxa"/>
            </w:tcMar>
          </w:tcPr>
          <w:p w:rsidR="00000000" w:rsidRDefault="00000000">
            <w:pPr>
              <w:spacing w:after="0"/>
              <w:ind w:right="113"/>
              <w:jc w:val="right"/>
              <w:rPr>
                <w:sz w:val="19"/>
              </w:rPr>
            </w:pPr>
          </w:p>
        </w:tc>
        <w:tc>
          <w:tcPr>
            <w:tcW w:w="850"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rPr>
            </w:pPr>
          </w:p>
        </w:tc>
        <w:tc>
          <w:tcPr>
            <w:tcW w:w="944"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rPr>
            </w:pPr>
          </w:p>
        </w:tc>
        <w:tc>
          <w:tcPr>
            <w:tcW w:w="854"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rPr>
            </w:pPr>
          </w:p>
        </w:tc>
        <w:tc>
          <w:tcPr>
            <w:tcW w:w="703"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4</w:t>
            </w:r>
          </w:p>
        </w:tc>
        <w:tc>
          <w:tcPr>
            <w:tcW w:w="998" w:type="dxa"/>
            <w:tcBorders>
              <w:bottom w:val="single" w:sz="4" w:space="0" w:color="auto"/>
            </w:tcBorders>
            <w:tcMar>
              <w:top w:w="15" w:type="dxa"/>
              <w:left w:w="108" w:type="dxa"/>
              <w:bottom w:w="0" w:type="dxa"/>
              <w:right w:w="108" w:type="dxa"/>
            </w:tcMar>
          </w:tcPr>
          <w:p w:rsidR="00000000" w:rsidRDefault="00000000">
            <w:pPr>
              <w:spacing w:after="0"/>
              <w:ind w:right="284"/>
              <w:jc w:val="right"/>
              <w:rPr>
                <w:sz w:val="19"/>
                <w:lang w:val="de-DE"/>
              </w:rPr>
            </w:pPr>
          </w:p>
        </w:tc>
        <w:tc>
          <w:tcPr>
            <w:tcW w:w="1418" w:type="dxa"/>
            <w:tcBorders>
              <w:bottom w:val="single" w:sz="4" w:space="0" w:color="auto"/>
            </w:tcBorders>
            <w:tcMar>
              <w:top w:w="15" w:type="dxa"/>
              <w:left w:w="108" w:type="dxa"/>
              <w:bottom w:w="0" w:type="dxa"/>
              <w:right w:w="108" w:type="dxa"/>
            </w:tcMar>
          </w:tcPr>
          <w:p w:rsidR="00000000" w:rsidRDefault="00000000">
            <w:pPr>
              <w:spacing w:after="0"/>
              <w:ind w:right="454"/>
              <w:jc w:val="right"/>
              <w:rPr>
                <w:sz w:val="19"/>
                <w:lang w:val="de-DE"/>
              </w:rPr>
            </w:pPr>
          </w:p>
        </w:tc>
      </w:tr>
    </w:tbl>
    <w:p w:rsidR="00000000" w:rsidRDefault="00000000">
      <w:pPr>
        <w:spacing w:after="0"/>
        <w:rPr>
          <w:sz w:val="2"/>
        </w:rPr>
      </w:pPr>
    </w:p>
    <w:p w:rsidR="00000000" w:rsidRDefault="00000000">
      <w:pPr>
        <w:pStyle w:val="Header"/>
        <w:tabs>
          <w:tab w:val="clear" w:pos="4320"/>
          <w:tab w:val="clear" w:pos="8640"/>
        </w:tabs>
        <w:spacing w:after="1920"/>
      </w:pP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848"/>
        <w:gridCol w:w="1784"/>
        <w:gridCol w:w="954"/>
        <w:gridCol w:w="850"/>
        <w:gridCol w:w="951"/>
        <w:gridCol w:w="847"/>
        <w:gridCol w:w="712"/>
        <w:gridCol w:w="992"/>
        <w:gridCol w:w="1418"/>
      </w:tblGrid>
      <w:tr w:rsidR="00000000">
        <w:trPr>
          <w:cantSplit/>
          <w:tblHeader/>
        </w:trPr>
        <w:tc>
          <w:tcPr>
            <w:tcW w:w="9356" w:type="dxa"/>
            <w:gridSpan w:val="9"/>
            <w:tcBorders>
              <w:top w:val="nil"/>
              <w:left w:val="nil"/>
              <w:bottom w:val="single" w:sz="4" w:space="0" w:color="auto"/>
              <w:right w:val="nil"/>
            </w:tcBorders>
            <w:tcMar>
              <w:top w:w="15" w:type="dxa"/>
              <w:left w:w="108" w:type="dxa"/>
              <w:bottom w:w="0" w:type="dxa"/>
              <w:right w:w="108" w:type="dxa"/>
            </w:tcMar>
          </w:tcPr>
          <w:p w:rsidR="00000000" w:rsidRDefault="00000000">
            <w:pPr>
              <w:jc w:val="center"/>
              <w:rPr>
                <w:b/>
                <w:bCs/>
                <w:sz w:val="19"/>
                <w:szCs w:val="22"/>
              </w:rPr>
            </w:pPr>
            <w:r>
              <w:rPr>
                <w:b/>
                <w:bCs/>
                <w:sz w:val="19"/>
                <w:szCs w:val="22"/>
              </w:rPr>
              <w:t>Table 38 (</w:t>
            </w:r>
            <w:r>
              <w:rPr>
                <w:b/>
                <w:bCs/>
                <w:i/>
                <w:sz w:val="19"/>
                <w:szCs w:val="22"/>
              </w:rPr>
              <w:t>continued</w:t>
            </w:r>
            <w:r>
              <w:rPr>
                <w:b/>
                <w:bCs/>
                <w:sz w:val="19"/>
                <w:szCs w:val="22"/>
              </w:rPr>
              <w:t xml:space="preserve">) </w:t>
            </w:r>
          </w:p>
        </w:tc>
      </w:tr>
      <w:tr w:rsidR="00000000">
        <w:trPr>
          <w:cantSplit/>
          <w:tblHeader/>
        </w:trPr>
        <w:tc>
          <w:tcPr>
            <w:tcW w:w="848" w:type="dxa"/>
            <w:vMerge w:val="restart"/>
            <w:tcBorders>
              <w:top w:val="single" w:sz="4" w:space="0" w:color="auto"/>
            </w:tcBorders>
            <w:tcMar>
              <w:top w:w="15" w:type="dxa"/>
              <w:left w:w="108" w:type="dxa"/>
              <w:bottom w:w="0" w:type="dxa"/>
              <w:right w:w="108" w:type="dxa"/>
            </w:tcMar>
          </w:tcPr>
          <w:p w:rsidR="00000000" w:rsidRDefault="00000000">
            <w:pPr>
              <w:spacing w:after="0"/>
              <w:jc w:val="both"/>
              <w:rPr>
                <w:sz w:val="19"/>
                <w:szCs w:val="22"/>
              </w:rPr>
            </w:pPr>
            <w:r>
              <w:rPr>
                <w:sz w:val="19"/>
                <w:szCs w:val="22"/>
              </w:rPr>
              <w:t>No.</w:t>
            </w:r>
          </w:p>
        </w:tc>
        <w:tc>
          <w:tcPr>
            <w:tcW w:w="1784" w:type="dxa"/>
            <w:vMerge w:val="restart"/>
            <w:tcBorders>
              <w:top w:val="single" w:sz="4" w:space="0" w:color="auto"/>
            </w:tcBorders>
            <w:tcMar>
              <w:top w:w="15" w:type="dxa"/>
              <w:left w:w="108" w:type="dxa"/>
              <w:bottom w:w="0" w:type="dxa"/>
              <w:right w:w="108" w:type="dxa"/>
            </w:tcMar>
          </w:tcPr>
          <w:p w:rsidR="00000000" w:rsidRDefault="00000000">
            <w:pPr>
              <w:spacing w:after="0"/>
              <w:rPr>
                <w:sz w:val="19"/>
                <w:szCs w:val="22"/>
              </w:rPr>
            </w:pPr>
            <w:r>
              <w:rPr>
                <w:sz w:val="19"/>
                <w:szCs w:val="22"/>
              </w:rPr>
              <w:t>Local government bodies</w:t>
            </w:r>
          </w:p>
        </w:tc>
        <w:tc>
          <w:tcPr>
            <w:tcW w:w="1804" w:type="dxa"/>
            <w:gridSpan w:val="2"/>
            <w:vMerge w:val="restart"/>
            <w:tcBorders>
              <w:top w:val="single" w:sz="4" w:space="0" w:color="auto"/>
            </w:tcBorders>
            <w:tcMar>
              <w:top w:w="15" w:type="dxa"/>
              <w:left w:w="108" w:type="dxa"/>
              <w:bottom w:w="0" w:type="dxa"/>
              <w:right w:w="108" w:type="dxa"/>
            </w:tcMar>
          </w:tcPr>
          <w:p w:rsidR="00000000" w:rsidRDefault="00000000">
            <w:pPr>
              <w:spacing w:after="0"/>
              <w:rPr>
                <w:sz w:val="19"/>
                <w:szCs w:val="22"/>
              </w:rPr>
            </w:pPr>
            <w:r>
              <w:rPr>
                <w:sz w:val="19"/>
                <w:szCs w:val="22"/>
              </w:rPr>
              <w:t>Number of families and persons in public, private and rented houses</w:t>
            </w:r>
          </w:p>
        </w:tc>
        <w:tc>
          <w:tcPr>
            <w:tcW w:w="1798" w:type="dxa"/>
            <w:gridSpan w:val="2"/>
            <w:vMerge w:val="restart"/>
            <w:tcBorders>
              <w:top w:val="single" w:sz="4" w:space="0" w:color="auto"/>
            </w:tcBorders>
            <w:tcMar>
              <w:top w:w="15" w:type="dxa"/>
              <w:left w:w="108" w:type="dxa"/>
              <w:bottom w:w="0" w:type="dxa"/>
              <w:right w:w="108" w:type="dxa"/>
            </w:tcMar>
          </w:tcPr>
          <w:p w:rsidR="00000000" w:rsidRDefault="00000000">
            <w:pPr>
              <w:spacing w:after="0"/>
              <w:rPr>
                <w:sz w:val="19"/>
                <w:szCs w:val="22"/>
              </w:rPr>
            </w:pPr>
            <w:r>
              <w:rPr>
                <w:sz w:val="19"/>
                <w:szCs w:val="22"/>
              </w:rPr>
              <w:t>Number of families and persons without proper housing</w:t>
            </w:r>
          </w:p>
        </w:tc>
        <w:tc>
          <w:tcPr>
            <w:tcW w:w="3122" w:type="dxa"/>
            <w:gridSpan w:val="3"/>
            <w:tcBorders>
              <w:top w:val="single" w:sz="4" w:space="0" w:color="auto"/>
              <w:bottom w:val="single" w:sz="4" w:space="0" w:color="auto"/>
            </w:tcBorders>
            <w:tcMar>
              <w:top w:w="15" w:type="dxa"/>
              <w:left w:w="108" w:type="dxa"/>
              <w:bottom w:w="0" w:type="dxa"/>
              <w:right w:w="108" w:type="dxa"/>
            </w:tcMar>
          </w:tcPr>
          <w:p w:rsidR="00000000" w:rsidRDefault="00000000">
            <w:pPr>
              <w:spacing w:after="0"/>
              <w:jc w:val="center"/>
              <w:rPr>
                <w:sz w:val="19"/>
                <w:szCs w:val="22"/>
              </w:rPr>
            </w:pPr>
            <w:r>
              <w:rPr>
                <w:sz w:val="19"/>
                <w:szCs w:val="22"/>
              </w:rPr>
              <w:t>Number of families served</w:t>
            </w:r>
          </w:p>
        </w:tc>
      </w:tr>
      <w:tr w:rsidR="00000000">
        <w:trPr>
          <w:cantSplit/>
          <w:trHeight w:val="230"/>
          <w:tblHeader/>
        </w:trPr>
        <w:tc>
          <w:tcPr>
            <w:tcW w:w="848" w:type="dxa"/>
            <w:vMerge/>
          </w:tcPr>
          <w:p w:rsidR="00000000" w:rsidRDefault="00000000">
            <w:pPr>
              <w:spacing w:after="0"/>
              <w:jc w:val="both"/>
              <w:rPr>
                <w:sz w:val="19"/>
                <w:szCs w:val="22"/>
              </w:rPr>
            </w:pPr>
          </w:p>
        </w:tc>
        <w:tc>
          <w:tcPr>
            <w:tcW w:w="1784" w:type="dxa"/>
            <w:vMerge/>
          </w:tcPr>
          <w:p w:rsidR="00000000" w:rsidRDefault="00000000">
            <w:pPr>
              <w:spacing w:after="0"/>
              <w:rPr>
                <w:sz w:val="19"/>
                <w:szCs w:val="22"/>
              </w:rPr>
            </w:pPr>
          </w:p>
        </w:tc>
        <w:tc>
          <w:tcPr>
            <w:tcW w:w="1804" w:type="dxa"/>
            <w:gridSpan w:val="2"/>
            <w:vMerge/>
            <w:tcBorders>
              <w:bottom w:val="single" w:sz="4" w:space="0" w:color="auto"/>
            </w:tcBorders>
          </w:tcPr>
          <w:p w:rsidR="00000000" w:rsidRDefault="00000000">
            <w:pPr>
              <w:spacing w:after="0"/>
              <w:rPr>
                <w:sz w:val="19"/>
                <w:szCs w:val="22"/>
              </w:rPr>
            </w:pPr>
          </w:p>
        </w:tc>
        <w:tc>
          <w:tcPr>
            <w:tcW w:w="1798" w:type="dxa"/>
            <w:gridSpan w:val="2"/>
            <w:vMerge/>
            <w:tcBorders>
              <w:bottom w:val="single" w:sz="4" w:space="0" w:color="auto"/>
            </w:tcBorders>
            <w:tcMar>
              <w:left w:w="108" w:type="dxa"/>
              <w:right w:w="108" w:type="dxa"/>
            </w:tcMar>
          </w:tcPr>
          <w:p w:rsidR="00000000" w:rsidRDefault="00000000">
            <w:pPr>
              <w:spacing w:after="0"/>
              <w:rPr>
                <w:sz w:val="19"/>
                <w:szCs w:val="22"/>
              </w:rPr>
            </w:pPr>
          </w:p>
        </w:tc>
        <w:tc>
          <w:tcPr>
            <w:tcW w:w="712" w:type="dxa"/>
            <w:vMerge w:val="restart"/>
            <w:tcBorders>
              <w:top w:val="single" w:sz="4" w:space="0" w:color="auto"/>
            </w:tcBorders>
            <w:tcMar>
              <w:top w:w="15" w:type="dxa"/>
              <w:left w:w="108" w:type="dxa"/>
              <w:bottom w:w="0" w:type="dxa"/>
              <w:right w:w="108" w:type="dxa"/>
            </w:tcMar>
          </w:tcPr>
          <w:p w:rsidR="00000000" w:rsidRDefault="00000000">
            <w:pPr>
              <w:spacing w:after="0"/>
              <w:jc w:val="center"/>
              <w:rPr>
                <w:sz w:val="19"/>
                <w:szCs w:val="22"/>
              </w:rPr>
            </w:pPr>
            <w:r>
              <w:rPr>
                <w:sz w:val="19"/>
                <w:szCs w:val="22"/>
              </w:rPr>
              <w:t>Total</w:t>
            </w:r>
          </w:p>
        </w:tc>
        <w:tc>
          <w:tcPr>
            <w:tcW w:w="992" w:type="dxa"/>
            <w:vMerge w:val="restart"/>
            <w:tcBorders>
              <w:top w:val="single" w:sz="4" w:space="0" w:color="auto"/>
            </w:tcBorders>
            <w:tcMar>
              <w:left w:w="108" w:type="dxa"/>
              <w:right w:w="108" w:type="dxa"/>
            </w:tcMar>
          </w:tcPr>
          <w:p w:rsidR="00000000" w:rsidRDefault="00000000">
            <w:pPr>
              <w:spacing w:after="0"/>
              <w:rPr>
                <w:sz w:val="19"/>
                <w:szCs w:val="22"/>
              </w:rPr>
            </w:pPr>
            <w:r>
              <w:rPr>
                <w:sz w:val="19"/>
                <w:szCs w:val="22"/>
              </w:rPr>
              <w:t>Treated with bank loans</w:t>
            </w:r>
          </w:p>
        </w:tc>
        <w:tc>
          <w:tcPr>
            <w:tcW w:w="1418" w:type="dxa"/>
            <w:vMerge w:val="restart"/>
            <w:tcBorders>
              <w:top w:val="single" w:sz="4" w:space="0" w:color="auto"/>
            </w:tcBorders>
            <w:tcMar>
              <w:left w:w="108" w:type="dxa"/>
              <w:right w:w="108" w:type="dxa"/>
            </w:tcMar>
          </w:tcPr>
          <w:p w:rsidR="00000000" w:rsidRDefault="00000000">
            <w:pPr>
              <w:spacing w:after="0"/>
              <w:rPr>
                <w:sz w:val="19"/>
                <w:szCs w:val="22"/>
              </w:rPr>
            </w:pPr>
            <w:r>
              <w:rPr>
                <w:sz w:val="19"/>
                <w:szCs w:val="22"/>
              </w:rPr>
              <w:t>Provided with housing by the National Building Organ</w:t>
            </w:r>
          </w:p>
        </w:tc>
      </w:tr>
      <w:tr w:rsidR="00000000">
        <w:trPr>
          <w:cantSplit/>
          <w:tblHeader/>
        </w:trPr>
        <w:tc>
          <w:tcPr>
            <w:tcW w:w="848" w:type="dxa"/>
            <w:vMerge/>
            <w:tcBorders>
              <w:bottom w:val="single" w:sz="4" w:space="0" w:color="auto"/>
            </w:tcBorders>
          </w:tcPr>
          <w:p w:rsidR="00000000" w:rsidRDefault="00000000">
            <w:pPr>
              <w:spacing w:after="0"/>
              <w:jc w:val="both"/>
              <w:rPr>
                <w:sz w:val="19"/>
                <w:szCs w:val="22"/>
              </w:rPr>
            </w:pPr>
          </w:p>
        </w:tc>
        <w:tc>
          <w:tcPr>
            <w:tcW w:w="1784" w:type="dxa"/>
            <w:vMerge/>
            <w:tcBorders>
              <w:bottom w:val="single" w:sz="4" w:space="0" w:color="auto"/>
            </w:tcBorders>
          </w:tcPr>
          <w:p w:rsidR="00000000" w:rsidRDefault="00000000">
            <w:pPr>
              <w:spacing w:after="0"/>
              <w:rPr>
                <w:sz w:val="19"/>
                <w:szCs w:val="22"/>
              </w:rPr>
            </w:pPr>
          </w:p>
        </w:tc>
        <w:tc>
          <w:tcPr>
            <w:tcW w:w="954" w:type="dxa"/>
            <w:tcBorders>
              <w:top w:val="single" w:sz="4" w:space="0" w:color="auto"/>
              <w:bottom w:val="single" w:sz="4" w:space="0" w:color="auto"/>
            </w:tcBorders>
          </w:tcPr>
          <w:p w:rsidR="00000000" w:rsidRDefault="00000000">
            <w:pPr>
              <w:spacing w:after="0"/>
              <w:rPr>
                <w:sz w:val="19"/>
                <w:lang w:val="fr-FR"/>
              </w:rPr>
            </w:pPr>
            <w:proofErr w:type="spellStart"/>
            <w:r>
              <w:rPr>
                <w:sz w:val="19"/>
                <w:lang w:val="fr-FR"/>
              </w:rPr>
              <w:t>Families</w:t>
            </w:r>
            <w:proofErr w:type="spellEnd"/>
          </w:p>
        </w:tc>
        <w:tc>
          <w:tcPr>
            <w:tcW w:w="850" w:type="dxa"/>
            <w:tcBorders>
              <w:top w:val="single" w:sz="4" w:space="0" w:color="auto"/>
              <w:bottom w:val="single" w:sz="4" w:space="0" w:color="auto"/>
            </w:tcBorders>
            <w:tcMar>
              <w:top w:w="15" w:type="dxa"/>
              <w:left w:w="108" w:type="dxa"/>
              <w:bottom w:w="0" w:type="dxa"/>
              <w:right w:w="108" w:type="dxa"/>
            </w:tcMar>
          </w:tcPr>
          <w:p w:rsidR="00000000" w:rsidRDefault="00000000">
            <w:pPr>
              <w:spacing w:after="0"/>
              <w:rPr>
                <w:sz w:val="19"/>
                <w:lang w:val="fr-FR"/>
              </w:rPr>
            </w:pPr>
            <w:proofErr w:type="spellStart"/>
            <w:r>
              <w:rPr>
                <w:sz w:val="19"/>
                <w:lang w:val="fr-FR"/>
              </w:rPr>
              <w:t>Persons</w:t>
            </w:r>
            <w:proofErr w:type="spellEnd"/>
          </w:p>
        </w:tc>
        <w:tc>
          <w:tcPr>
            <w:tcW w:w="951" w:type="dxa"/>
            <w:tcBorders>
              <w:top w:val="single" w:sz="4" w:space="0" w:color="auto"/>
              <w:bottom w:val="single" w:sz="4" w:space="0" w:color="auto"/>
            </w:tcBorders>
            <w:tcMar>
              <w:top w:w="15" w:type="dxa"/>
              <w:bottom w:w="0" w:type="dxa"/>
            </w:tcMar>
          </w:tcPr>
          <w:p w:rsidR="00000000" w:rsidRDefault="00000000">
            <w:pPr>
              <w:spacing w:after="0"/>
              <w:rPr>
                <w:sz w:val="19"/>
                <w:lang w:val="fr-FR"/>
              </w:rPr>
            </w:pPr>
            <w:proofErr w:type="spellStart"/>
            <w:r>
              <w:rPr>
                <w:sz w:val="19"/>
                <w:lang w:val="fr-FR"/>
              </w:rPr>
              <w:t>Families</w:t>
            </w:r>
            <w:proofErr w:type="spellEnd"/>
          </w:p>
        </w:tc>
        <w:tc>
          <w:tcPr>
            <w:tcW w:w="847" w:type="dxa"/>
            <w:tcBorders>
              <w:top w:val="single" w:sz="4" w:space="0" w:color="auto"/>
              <w:bottom w:val="single" w:sz="4" w:space="0" w:color="auto"/>
            </w:tcBorders>
            <w:tcMar>
              <w:top w:w="15" w:type="dxa"/>
              <w:bottom w:w="0" w:type="dxa"/>
            </w:tcMar>
          </w:tcPr>
          <w:p w:rsidR="00000000" w:rsidRDefault="00000000">
            <w:pPr>
              <w:spacing w:after="0"/>
              <w:rPr>
                <w:sz w:val="19"/>
              </w:rPr>
            </w:pPr>
            <w:r>
              <w:rPr>
                <w:sz w:val="19"/>
              </w:rPr>
              <w:t>Persons</w:t>
            </w:r>
          </w:p>
        </w:tc>
        <w:tc>
          <w:tcPr>
            <w:tcW w:w="712" w:type="dxa"/>
            <w:vMerge/>
            <w:tcBorders>
              <w:bottom w:val="single" w:sz="4" w:space="0" w:color="auto"/>
            </w:tcBorders>
            <w:tcMar>
              <w:left w:w="108" w:type="dxa"/>
              <w:right w:w="108" w:type="dxa"/>
            </w:tcMar>
          </w:tcPr>
          <w:p w:rsidR="00000000" w:rsidRDefault="00000000">
            <w:pPr>
              <w:spacing w:after="0"/>
              <w:rPr>
                <w:sz w:val="19"/>
                <w:szCs w:val="22"/>
              </w:rPr>
            </w:pPr>
          </w:p>
        </w:tc>
        <w:tc>
          <w:tcPr>
            <w:tcW w:w="992" w:type="dxa"/>
            <w:vMerge/>
            <w:tcBorders>
              <w:bottom w:val="single" w:sz="4" w:space="0" w:color="auto"/>
            </w:tcBorders>
            <w:tcMar>
              <w:left w:w="108" w:type="dxa"/>
              <w:right w:w="108" w:type="dxa"/>
            </w:tcMar>
          </w:tcPr>
          <w:p w:rsidR="00000000" w:rsidRDefault="00000000">
            <w:pPr>
              <w:spacing w:after="0"/>
              <w:rPr>
                <w:sz w:val="19"/>
                <w:szCs w:val="22"/>
              </w:rPr>
            </w:pPr>
          </w:p>
        </w:tc>
        <w:tc>
          <w:tcPr>
            <w:tcW w:w="1418" w:type="dxa"/>
            <w:vMerge/>
            <w:tcBorders>
              <w:bottom w:val="single" w:sz="4" w:space="0" w:color="auto"/>
            </w:tcBorders>
            <w:tcMar>
              <w:left w:w="108" w:type="dxa"/>
              <w:right w:w="108" w:type="dxa"/>
            </w:tcMar>
          </w:tcPr>
          <w:p w:rsidR="00000000" w:rsidRDefault="00000000">
            <w:pPr>
              <w:spacing w:after="0"/>
              <w:rPr>
                <w:sz w:val="19"/>
                <w:szCs w:val="22"/>
              </w:rPr>
            </w:pPr>
          </w:p>
        </w:tc>
      </w:tr>
      <w:tr w:rsidR="00000000">
        <w:tc>
          <w:tcPr>
            <w:tcW w:w="848" w:type="dxa"/>
            <w:tcBorders>
              <w:top w:val="single" w:sz="4" w:space="0" w:color="auto"/>
              <w:bottom w:val="nil"/>
            </w:tcBorders>
            <w:tcMar>
              <w:top w:w="15" w:type="dxa"/>
              <w:left w:w="108" w:type="dxa"/>
              <w:bottom w:w="0" w:type="dxa"/>
              <w:right w:w="108" w:type="dxa"/>
            </w:tcMar>
          </w:tcPr>
          <w:p w:rsidR="00000000" w:rsidRDefault="00000000">
            <w:pPr>
              <w:spacing w:after="0"/>
              <w:ind w:left="113"/>
              <w:jc w:val="both"/>
              <w:rPr>
                <w:sz w:val="19"/>
                <w:lang w:val="de-DE"/>
              </w:rPr>
            </w:pPr>
            <w:r>
              <w:rPr>
                <w:sz w:val="19"/>
                <w:lang w:val="de-DE"/>
              </w:rPr>
              <w:t>II.</w:t>
            </w:r>
          </w:p>
        </w:tc>
        <w:tc>
          <w:tcPr>
            <w:tcW w:w="1784" w:type="dxa"/>
            <w:tcBorders>
              <w:top w:val="single" w:sz="4" w:space="0" w:color="auto"/>
              <w:bottom w:val="nil"/>
            </w:tcBorders>
            <w:tcMar>
              <w:top w:w="15" w:type="dxa"/>
              <w:left w:w="108" w:type="dxa"/>
              <w:bottom w:w="0" w:type="dxa"/>
              <w:right w:w="108" w:type="dxa"/>
            </w:tcMar>
          </w:tcPr>
          <w:p w:rsidR="00000000" w:rsidRDefault="00000000">
            <w:pPr>
              <w:spacing w:after="0"/>
              <w:rPr>
                <w:sz w:val="19"/>
                <w:lang w:val="de-DE"/>
              </w:rPr>
            </w:pPr>
            <w:r>
              <w:rPr>
                <w:sz w:val="19"/>
                <w:lang w:val="de-DE"/>
              </w:rPr>
              <w:t>Region Berat</w:t>
            </w:r>
          </w:p>
        </w:tc>
        <w:tc>
          <w:tcPr>
            <w:tcW w:w="954" w:type="dxa"/>
            <w:tcBorders>
              <w:top w:val="single" w:sz="4" w:space="0" w:color="auto"/>
              <w:bottom w:val="nil"/>
            </w:tcBorders>
            <w:tcMar>
              <w:top w:w="15" w:type="dxa"/>
              <w:left w:w="108" w:type="dxa"/>
              <w:bottom w:w="0" w:type="dxa"/>
              <w:right w:w="108" w:type="dxa"/>
            </w:tcMar>
          </w:tcPr>
          <w:p w:rsidR="00000000" w:rsidRDefault="00000000">
            <w:pPr>
              <w:spacing w:after="0"/>
              <w:ind w:right="113"/>
              <w:jc w:val="right"/>
              <w:rPr>
                <w:sz w:val="19"/>
                <w:lang w:val="de-DE"/>
              </w:rPr>
            </w:pPr>
            <w:r>
              <w:rPr>
                <w:sz w:val="19"/>
                <w:lang w:val="de-DE"/>
              </w:rPr>
              <w:t>106</w:t>
            </w:r>
          </w:p>
        </w:tc>
        <w:tc>
          <w:tcPr>
            <w:tcW w:w="850"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452</w:t>
            </w:r>
          </w:p>
        </w:tc>
        <w:tc>
          <w:tcPr>
            <w:tcW w:w="951"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1 102</w:t>
            </w:r>
          </w:p>
        </w:tc>
        <w:tc>
          <w:tcPr>
            <w:tcW w:w="847"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4 459</w:t>
            </w:r>
          </w:p>
        </w:tc>
        <w:tc>
          <w:tcPr>
            <w:tcW w:w="712"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92" w:type="dxa"/>
            <w:tcBorders>
              <w:top w:val="single" w:sz="4" w:space="0" w:color="auto"/>
              <w:bottom w:val="nil"/>
            </w:tcBorders>
            <w:tcMar>
              <w:top w:w="15" w:type="dxa"/>
              <w:left w:w="108" w:type="dxa"/>
              <w:bottom w:w="0" w:type="dxa"/>
              <w:right w:w="108" w:type="dxa"/>
            </w:tcMar>
          </w:tcPr>
          <w:p w:rsidR="00000000" w:rsidRDefault="00000000">
            <w:pPr>
              <w:spacing w:after="0"/>
              <w:ind w:right="284"/>
              <w:jc w:val="right"/>
              <w:rPr>
                <w:sz w:val="19"/>
                <w:lang w:val="de-DE"/>
              </w:rPr>
            </w:pPr>
            <w:r>
              <w:rPr>
                <w:sz w:val="19"/>
                <w:lang w:val="de-DE"/>
              </w:rPr>
              <w:t>0</w:t>
            </w:r>
          </w:p>
        </w:tc>
        <w:tc>
          <w:tcPr>
            <w:tcW w:w="1418" w:type="dxa"/>
            <w:tcBorders>
              <w:top w:val="single" w:sz="4" w:space="0" w:color="auto"/>
              <w:bottom w:val="nil"/>
            </w:tcBorders>
            <w:tcMar>
              <w:top w:w="15" w:type="dxa"/>
              <w:left w:w="108" w:type="dxa"/>
              <w:bottom w:w="0" w:type="dxa"/>
              <w:right w:w="108" w:type="dxa"/>
            </w:tcMar>
          </w:tcPr>
          <w:p w:rsidR="00000000" w:rsidRDefault="00000000">
            <w:pPr>
              <w:spacing w:after="0"/>
              <w:ind w:right="454"/>
              <w:jc w:val="right"/>
              <w:rPr>
                <w:sz w:val="19"/>
                <w:lang w:val="de-DE"/>
              </w:rPr>
            </w:pPr>
            <w:r>
              <w:rPr>
                <w:sz w:val="19"/>
                <w:lang w:val="de-DE"/>
              </w:rPr>
              <w:t>0</w:t>
            </w:r>
          </w:p>
        </w:tc>
      </w:tr>
      <w:tr w:rsidR="00000000">
        <w:tc>
          <w:tcPr>
            <w:tcW w:w="848" w:type="dxa"/>
            <w:tcBorders>
              <w:top w:val="nil"/>
            </w:tcBorders>
            <w:tcMar>
              <w:top w:w="15" w:type="dxa"/>
              <w:left w:w="108" w:type="dxa"/>
              <w:bottom w:w="0" w:type="dxa"/>
              <w:right w:w="108" w:type="dxa"/>
            </w:tcMar>
          </w:tcPr>
          <w:p w:rsidR="00000000" w:rsidRDefault="00000000">
            <w:pPr>
              <w:spacing w:after="0"/>
              <w:ind w:left="113"/>
              <w:jc w:val="both"/>
              <w:rPr>
                <w:sz w:val="19"/>
                <w:lang w:val="de-DE"/>
              </w:rPr>
            </w:pPr>
            <w:r>
              <w:rPr>
                <w:sz w:val="19"/>
                <w:lang w:val="de-DE"/>
              </w:rPr>
              <w:t>1.</w:t>
            </w:r>
          </w:p>
        </w:tc>
        <w:tc>
          <w:tcPr>
            <w:tcW w:w="1784" w:type="dxa"/>
            <w:tcBorders>
              <w:top w:val="nil"/>
            </w:tcBorders>
            <w:tcMar>
              <w:top w:w="15" w:type="dxa"/>
              <w:left w:w="108" w:type="dxa"/>
              <w:bottom w:w="0" w:type="dxa"/>
              <w:right w:w="108" w:type="dxa"/>
            </w:tcMar>
          </w:tcPr>
          <w:p w:rsidR="00000000" w:rsidRDefault="00000000">
            <w:pPr>
              <w:spacing w:after="0"/>
              <w:rPr>
                <w:sz w:val="19"/>
                <w:lang w:val="de-DE"/>
              </w:rPr>
            </w:pPr>
            <w:r>
              <w:rPr>
                <w:sz w:val="19"/>
                <w:lang w:val="de-DE"/>
              </w:rPr>
              <w:t>M. Berat</w:t>
            </w:r>
          </w:p>
        </w:tc>
        <w:tc>
          <w:tcPr>
            <w:tcW w:w="954" w:type="dxa"/>
            <w:tcBorders>
              <w:top w:val="nil"/>
            </w:tcBorders>
            <w:tcMar>
              <w:top w:w="15" w:type="dxa"/>
              <w:left w:w="108" w:type="dxa"/>
              <w:bottom w:w="0" w:type="dxa"/>
              <w:right w:w="108" w:type="dxa"/>
            </w:tcMar>
          </w:tcPr>
          <w:p w:rsidR="00000000" w:rsidRDefault="00000000">
            <w:pPr>
              <w:spacing w:after="0"/>
              <w:ind w:right="113"/>
              <w:jc w:val="right"/>
              <w:rPr>
                <w:sz w:val="19"/>
                <w:lang w:val="de-DE"/>
              </w:rPr>
            </w:pPr>
            <w:r>
              <w:rPr>
                <w:sz w:val="19"/>
                <w:lang w:val="de-DE"/>
              </w:rPr>
              <w:t>40</w:t>
            </w:r>
          </w:p>
        </w:tc>
        <w:tc>
          <w:tcPr>
            <w:tcW w:w="850"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165</w:t>
            </w:r>
          </w:p>
        </w:tc>
        <w:tc>
          <w:tcPr>
            <w:tcW w:w="951"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1 019</w:t>
            </w:r>
          </w:p>
        </w:tc>
        <w:tc>
          <w:tcPr>
            <w:tcW w:w="847"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4 076</w:t>
            </w:r>
          </w:p>
        </w:tc>
        <w:tc>
          <w:tcPr>
            <w:tcW w:w="712"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p>
        </w:tc>
        <w:tc>
          <w:tcPr>
            <w:tcW w:w="992" w:type="dxa"/>
            <w:tcBorders>
              <w:top w:val="nil"/>
            </w:tcBorders>
            <w:tcMar>
              <w:top w:w="15" w:type="dxa"/>
              <w:left w:w="108" w:type="dxa"/>
              <w:bottom w:w="0" w:type="dxa"/>
              <w:right w:w="108" w:type="dxa"/>
            </w:tcMar>
          </w:tcPr>
          <w:p w:rsidR="00000000" w:rsidRDefault="00000000">
            <w:pPr>
              <w:spacing w:after="0"/>
              <w:ind w:right="284"/>
              <w:jc w:val="right"/>
              <w:rPr>
                <w:sz w:val="19"/>
                <w:lang w:val="de-DE"/>
              </w:rPr>
            </w:pPr>
          </w:p>
        </w:tc>
        <w:tc>
          <w:tcPr>
            <w:tcW w:w="1418" w:type="dxa"/>
            <w:tcBorders>
              <w:top w:val="nil"/>
            </w:tcBorders>
            <w:tcMar>
              <w:top w:w="15" w:type="dxa"/>
              <w:left w:w="108" w:type="dxa"/>
              <w:bottom w:w="0" w:type="dxa"/>
              <w:right w:w="108" w:type="dxa"/>
            </w:tcMar>
          </w:tcPr>
          <w:p w:rsidR="00000000" w:rsidRDefault="00000000">
            <w:pPr>
              <w:spacing w:after="0"/>
              <w:ind w:right="454"/>
              <w:jc w:val="right"/>
              <w:rPr>
                <w:sz w:val="19"/>
                <w:lang w:val="de-DE"/>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lang w:val="de-DE"/>
              </w:rPr>
            </w:pPr>
            <w:r>
              <w:rPr>
                <w:sz w:val="19"/>
                <w:lang w:val="de-DE"/>
              </w:rPr>
              <w:t>2.</w:t>
            </w:r>
          </w:p>
        </w:tc>
        <w:tc>
          <w:tcPr>
            <w:tcW w:w="1784" w:type="dxa"/>
            <w:tcMar>
              <w:top w:w="15" w:type="dxa"/>
              <w:left w:w="108" w:type="dxa"/>
              <w:bottom w:w="0" w:type="dxa"/>
              <w:right w:w="108" w:type="dxa"/>
            </w:tcMar>
          </w:tcPr>
          <w:p w:rsidR="00000000" w:rsidRDefault="00000000">
            <w:pPr>
              <w:spacing w:after="0"/>
              <w:rPr>
                <w:sz w:val="19"/>
                <w:lang w:val="de-DE"/>
              </w:rPr>
            </w:pPr>
            <w:r>
              <w:rPr>
                <w:sz w:val="19"/>
                <w:lang w:val="de-DE"/>
              </w:rPr>
              <w:t>M. Kuçove</w:t>
            </w:r>
          </w:p>
        </w:tc>
        <w:tc>
          <w:tcPr>
            <w:tcW w:w="954" w:type="dxa"/>
            <w:tcMar>
              <w:top w:w="15" w:type="dxa"/>
              <w:left w:w="108" w:type="dxa"/>
              <w:bottom w:w="0" w:type="dxa"/>
              <w:right w:w="108" w:type="dxa"/>
            </w:tcMar>
          </w:tcPr>
          <w:p w:rsidR="00000000" w:rsidRDefault="00000000">
            <w:pPr>
              <w:spacing w:after="0"/>
              <w:ind w:right="113"/>
              <w:jc w:val="right"/>
              <w:rPr>
                <w:sz w:val="19"/>
                <w:lang w:val="fr-FR"/>
              </w:rPr>
            </w:pPr>
            <w:r>
              <w:rPr>
                <w:sz w:val="19"/>
                <w:lang w:val="fr-FR"/>
              </w:rPr>
              <w:t>20</w:t>
            </w:r>
          </w:p>
        </w:tc>
        <w:tc>
          <w:tcPr>
            <w:tcW w:w="850"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80</w:t>
            </w:r>
          </w:p>
        </w:tc>
        <w:tc>
          <w:tcPr>
            <w:tcW w:w="951"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4</w:t>
            </w:r>
          </w:p>
        </w:tc>
        <w:tc>
          <w:tcPr>
            <w:tcW w:w="847"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18</w:t>
            </w:r>
          </w:p>
        </w:tc>
        <w:tc>
          <w:tcPr>
            <w:tcW w:w="712" w:type="dxa"/>
            <w:tcMar>
              <w:top w:w="15" w:type="dxa"/>
              <w:left w:w="108" w:type="dxa"/>
              <w:bottom w:w="0" w:type="dxa"/>
              <w:right w:w="108" w:type="dxa"/>
            </w:tcMar>
          </w:tcPr>
          <w:p w:rsidR="00000000" w:rsidRDefault="00000000">
            <w:pPr>
              <w:spacing w:after="0"/>
              <w:ind w:right="57"/>
              <w:jc w:val="right"/>
              <w:rPr>
                <w:sz w:val="19"/>
                <w:lang w:val="fr-FR"/>
              </w:rPr>
            </w:pPr>
          </w:p>
        </w:tc>
        <w:tc>
          <w:tcPr>
            <w:tcW w:w="992" w:type="dxa"/>
            <w:tcMar>
              <w:top w:w="15" w:type="dxa"/>
              <w:left w:w="108" w:type="dxa"/>
              <w:bottom w:w="0" w:type="dxa"/>
              <w:right w:w="108" w:type="dxa"/>
            </w:tcMar>
          </w:tcPr>
          <w:p w:rsidR="00000000" w:rsidRDefault="00000000">
            <w:pPr>
              <w:spacing w:after="0"/>
              <w:ind w:right="284"/>
              <w:jc w:val="right"/>
              <w:rPr>
                <w:sz w:val="19"/>
                <w:lang w:val="fr-FR"/>
              </w:rPr>
            </w:pPr>
          </w:p>
        </w:tc>
        <w:tc>
          <w:tcPr>
            <w:tcW w:w="1418" w:type="dxa"/>
            <w:tcMar>
              <w:top w:w="15" w:type="dxa"/>
              <w:left w:w="108" w:type="dxa"/>
              <w:bottom w:w="0" w:type="dxa"/>
              <w:right w:w="108" w:type="dxa"/>
            </w:tcMar>
          </w:tcPr>
          <w:p w:rsidR="00000000" w:rsidRDefault="00000000">
            <w:pPr>
              <w:spacing w:after="0"/>
              <w:ind w:right="454"/>
              <w:jc w:val="right"/>
              <w:rPr>
                <w:sz w:val="19"/>
                <w:lang w:val="fr-FR"/>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lang w:val="fr-FR"/>
              </w:rPr>
            </w:pPr>
            <w:r>
              <w:rPr>
                <w:sz w:val="19"/>
                <w:lang w:val="fr-FR"/>
              </w:rPr>
              <w:t>3.</w:t>
            </w:r>
          </w:p>
        </w:tc>
        <w:tc>
          <w:tcPr>
            <w:tcW w:w="1784" w:type="dxa"/>
            <w:tcMar>
              <w:top w:w="15" w:type="dxa"/>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Ura-Vajgurore</w:t>
            </w:r>
            <w:proofErr w:type="spellEnd"/>
          </w:p>
        </w:tc>
        <w:tc>
          <w:tcPr>
            <w:tcW w:w="954" w:type="dxa"/>
            <w:tcMar>
              <w:top w:w="15" w:type="dxa"/>
              <w:left w:w="108" w:type="dxa"/>
              <w:bottom w:w="0" w:type="dxa"/>
              <w:right w:w="108" w:type="dxa"/>
            </w:tcMar>
          </w:tcPr>
          <w:p w:rsidR="00000000" w:rsidRDefault="00000000">
            <w:pPr>
              <w:spacing w:after="0"/>
              <w:ind w:right="113"/>
              <w:jc w:val="right"/>
              <w:rPr>
                <w:sz w:val="19"/>
                <w:lang w:val="fr-FR"/>
              </w:rPr>
            </w:pPr>
            <w:r>
              <w:rPr>
                <w:sz w:val="19"/>
                <w:lang w:val="fr-FR"/>
              </w:rPr>
              <w:t>28</w:t>
            </w:r>
          </w:p>
        </w:tc>
        <w:tc>
          <w:tcPr>
            <w:tcW w:w="850"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140</w:t>
            </w:r>
          </w:p>
        </w:tc>
        <w:tc>
          <w:tcPr>
            <w:tcW w:w="951"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47</w:t>
            </w:r>
          </w:p>
        </w:tc>
        <w:tc>
          <w:tcPr>
            <w:tcW w:w="847"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225</w:t>
            </w:r>
          </w:p>
        </w:tc>
        <w:tc>
          <w:tcPr>
            <w:tcW w:w="712" w:type="dxa"/>
            <w:tcMar>
              <w:top w:w="15" w:type="dxa"/>
              <w:left w:w="108" w:type="dxa"/>
              <w:bottom w:w="0" w:type="dxa"/>
              <w:right w:w="108" w:type="dxa"/>
            </w:tcMar>
          </w:tcPr>
          <w:p w:rsidR="00000000" w:rsidRDefault="00000000">
            <w:pPr>
              <w:spacing w:after="0"/>
              <w:ind w:right="57"/>
              <w:jc w:val="right"/>
              <w:rPr>
                <w:sz w:val="19"/>
                <w:lang w:val="fr-FR"/>
              </w:rPr>
            </w:pPr>
          </w:p>
        </w:tc>
        <w:tc>
          <w:tcPr>
            <w:tcW w:w="992" w:type="dxa"/>
            <w:tcMar>
              <w:top w:w="15" w:type="dxa"/>
              <w:left w:w="108" w:type="dxa"/>
              <w:bottom w:w="0" w:type="dxa"/>
              <w:right w:w="108" w:type="dxa"/>
            </w:tcMar>
          </w:tcPr>
          <w:p w:rsidR="00000000" w:rsidRDefault="00000000">
            <w:pPr>
              <w:spacing w:after="0"/>
              <w:ind w:right="284"/>
              <w:jc w:val="right"/>
              <w:rPr>
                <w:sz w:val="19"/>
                <w:lang w:val="fr-FR"/>
              </w:rPr>
            </w:pPr>
          </w:p>
        </w:tc>
        <w:tc>
          <w:tcPr>
            <w:tcW w:w="1418" w:type="dxa"/>
            <w:tcMar>
              <w:top w:w="15" w:type="dxa"/>
              <w:left w:w="108" w:type="dxa"/>
              <w:bottom w:w="0" w:type="dxa"/>
              <w:right w:w="108" w:type="dxa"/>
            </w:tcMar>
          </w:tcPr>
          <w:p w:rsidR="00000000" w:rsidRDefault="00000000">
            <w:pPr>
              <w:spacing w:after="0"/>
              <w:ind w:right="454"/>
              <w:jc w:val="right"/>
              <w:rPr>
                <w:sz w:val="19"/>
                <w:lang w:val="fr-FR"/>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lang w:val="fr-FR"/>
              </w:rPr>
            </w:pPr>
            <w:r>
              <w:rPr>
                <w:sz w:val="19"/>
                <w:lang w:val="fr-FR"/>
              </w:rPr>
              <w:t>4.</w:t>
            </w:r>
          </w:p>
        </w:tc>
        <w:tc>
          <w:tcPr>
            <w:tcW w:w="1784" w:type="dxa"/>
            <w:tcMar>
              <w:top w:w="15" w:type="dxa"/>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Çorovode</w:t>
            </w:r>
            <w:proofErr w:type="spellEnd"/>
          </w:p>
        </w:tc>
        <w:tc>
          <w:tcPr>
            <w:tcW w:w="954" w:type="dxa"/>
            <w:tcMar>
              <w:top w:w="15" w:type="dxa"/>
              <w:left w:w="108" w:type="dxa"/>
              <w:bottom w:w="0" w:type="dxa"/>
              <w:right w:w="108" w:type="dxa"/>
            </w:tcMar>
          </w:tcPr>
          <w:p w:rsidR="00000000" w:rsidRDefault="00000000">
            <w:pPr>
              <w:spacing w:after="0"/>
              <w:ind w:right="113"/>
              <w:jc w:val="right"/>
              <w:rPr>
                <w:sz w:val="19"/>
                <w:lang w:val="fr-FR"/>
              </w:rPr>
            </w:pPr>
            <w:r>
              <w:rPr>
                <w:sz w:val="19"/>
                <w:lang w:val="fr-FR"/>
              </w:rPr>
              <w:t>3</w:t>
            </w:r>
          </w:p>
        </w:tc>
        <w:tc>
          <w:tcPr>
            <w:tcW w:w="850"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15</w:t>
            </w:r>
          </w:p>
        </w:tc>
        <w:tc>
          <w:tcPr>
            <w:tcW w:w="951"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25</w:t>
            </w:r>
          </w:p>
        </w:tc>
        <w:tc>
          <w:tcPr>
            <w:tcW w:w="847"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110</w:t>
            </w:r>
          </w:p>
        </w:tc>
        <w:tc>
          <w:tcPr>
            <w:tcW w:w="712" w:type="dxa"/>
            <w:tcMar>
              <w:top w:w="15" w:type="dxa"/>
              <w:left w:w="108" w:type="dxa"/>
              <w:bottom w:w="0" w:type="dxa"/>
              <w:right w:w="108" w:type="dxa"/>
            </w:tcMar>
          </w:tcPr>
          <w:p w:rsidR="00000000" w:rsidRDefault="00000000">
            <w:pPr>
              <w:spacing w:after="0"/>
              <w:ind w:right="57"/>
              <w:jc w:val="right"/>
              <w:rPr>
                <w:sz w:val="19"/>
                <w:lang w:val="fr-FR"/>
              </w:rPr>
            </w:pPr>
          </w:p>
        </w:tc>
        <w:tc>
          <w:tcPr>
            <w:tcW w:w="992" w:type="dxa"/>
            <w:tcMar>
              <w:top w:w="15" w:type="dxa"/>
              <w:left w:w="108" w:type="dxa"/>
              <w:bottom w:w="0" w:type="dxa"/>
              <w:right w:w="108" w:type="dxa"/>
            </w:tcMar>
          </w:tcPr>
          <w:p w:rsidR="00000000" w:rsidRDefault="00000000">
            <w:pPr>
              <w:spacing w:after="0"/>
              <w:ind w:right="284"/>
              <w:jc w:val="right"/>
              <w:rPr>
                <w:sz w:val="19"/>
                <w:lang w:val="fr-FR"/>
              </w:rPr>
            </w:pPr>
          </w:p>
        </w:tc>
        <w:tc>
          <w:tcPr>
            <w:tcW w:w="1418" w:type="dxa"/>
            <w:tcMar>
              <w:top w:w="15" w:type="dxa"/>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bottom w:val="single" w:sz="4" w:space="0" w:color="auto"/>
            </w:tcBorders>
            <w:tcMar>
              <w:top w:w="15" w:type="dxa"/>
              <w:left w:w="108" w:type="dxa"/>
              <w:bottom w:w="0" w:type="dxa"/>
              <w:right w:w="108" w:type="dxa"/>
            </w:tcMar>
          </w:tcPr>
          <w:p w:rsidR="00000000" w:rsidRDefault="00000000">
            <w:pPr>
              <w:spacing w:after="0"/>
              <w:ind w:left="113"/>
              <w:jc w:val="both"/>
              <w:rPr>
                <w:sz w:val="19"/>
                <w:lang w:val="fr-FR"/>
              </w:rPr>
            </w:pPr>
            <w:r>
              <w:rPr>
                <w:sz w:val="19"/>
                <w:lang w:val="fr-FR"/>
              </w:rPr>
              <w:t>5.</w:t>
            </w:r>
          </w:p>
        </w:tc>
        <w:tc>
          <w:tcPr>
            <w:tcW w:w="1784" w:type="dxa"/>
            <w:tcBorders>
              <w:bottom w:val="single" w:sz="4" w:space="0" w:color="auto"/>
            </w:tcBorders>
            <w:tcMar>
              <w:top w:w="15" w:type="dxa"/>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Poliçan</w:t>
            </w:r>
            <w:proofErr w:type="spellEnd"/>
          </w:p>
        </w:tc>
        <w:tc>
          <w:tcPr>
            <w:tcW w:w="954" w:type="dxa"/>
            <w:tcBorders>
              <w:bottom w:val="single" w:sz="4" w:space="0" w:color="auto"/>
            </w:tcBorders>
            <w:tcMar>
              <w:top w:w="15" w:type="dxa"/>
              <w:left w:w="108" w:type="dxa"/>
              <w:bottom w:w="0" w:type="dxa"/>
              <w:right w:w="108" w:type="dxa"/>
            </w:tcMar>
          </w:tcPr>
          <w:p w:rsidR="00000000" w:rsidRDefault="00000000">
            <w:pPr>
              <w:spacing w:after="0"/>
              <w:ind w:right="113"/>
              <w:jc w:val="right"/>
              <w:rPr>
                <w:sz w:val="19"/>
                <w:lang w:val="fr-FR"/>
              </w:rPr>
            </w:pPr>
            <w:r>
              <w:rPr>
                <w:sz w:val="19"/>
                <w:lang w:val="fr-FR"/>
              </w:rPr>
              <w:t>15</w:t>
            </w:r>
          </w:p>
        </w:tc>
        <w:tc>
          <w:tcPr>
            <w:tcW w:w="850"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r>
              <w:rPr>
                <w:sz w:val="19"/>
                <w:lang w:val="fr-FR"/>
              </w:rPr>
              <w:t>52</w:t>
            </w:r>
          </w:p>
        </w:tc>
        <w:tc>
          <w:tcPr>
            <w:tcW w:w="951"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r>
              <w:rPr>
                <w:sz w:val="19"/>
                <w:lang w:val="fr-FR"/>
              </w:rPr>
              <w:t>7</w:t>
            </w:r>
          </w:p>
        </w:tc>
        <w:tc>
          <w:tcPr>
            <w:tcW w:w="847"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r>
              <w:rPr>
                <w:sz w:val="19"/>
                <w:lang w:val="fr-FR"/>
              </w:rPr>
              <w:t>30</w:t>
            </w:r>
          </w:p>
        </w:tc>
        <w:tc>
          <w:tcPr>
            <w:tcW w:w="712"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p>
        </w:tc>
        <w:tc>
          <w:tcPr>
            <w:tcW w:w="992" w:type="dxa"/>
            <w:tcBorders>
              <w:bottom w:val="single" w:sz="4" w:space="0" w:color="auto"/>
            </w:tcBorders>
            <w:tcMar>
              <w:top w:w="15" w:type="dxa"/>
              <w:left w:w="108" w:type="dxa"/>
              <w:bottom w:w="0" w:type="dxa"/>
              <w:right w:w="108" w:type="dxa"/>
            </w:tcMar>
          </w:tcPr>
          <w:p w:rsidR="00000000" w:rsidRDefault="00000000">
            <w:pPr>
              <w:spacing w:after="0"/>
              <w:ind w:right="284"/>
              <w:jc w:val="right"/>
              <w:rPr>
                <w:sz w:val="19"/>
                <w:lang w:val="fr-FR"/>
              </w:rPr>
            </w:pPr>
          </w:p>
        </w:tc>
        <w:tc>
          <w:tcPr>
            <w:tcW w:w="1418" w:type="dxa"/>
            <w:tcBorders>
              <w:bottom w:val="single" w:sz="4" w:space="0" w:color="auto"/>
            </w:tcBorders>
            <w:tcMar>
              <w:top w:w="15" w:type="dxa"/>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top w:val="single" w:sz="4" w:space="0" w:color="auto"/>
              <w:bottom w:val="nil"/>
            </w:tcBorders>
            <w:tcMar>
              <w:top w:w="15" w:type="dxa"/>
              <w:left w:w="108" w:type="dxa"/>
              <w:bottom w:w="0" w:type="dxa"/>
              <w:right w:w="108" w:type="dxa"/>
            </w:tcMar>
          </w:tcPr>
          <w:p w:rsidR="00000000" w:rsidRDefault="00000000">
            <w:pPr>
              <w:spacing w:after="0"/>
              <w:ind w:left="113"/>
              <w:jc w:val="both"/>
              <w:rPr>
                <w:sz w:val="19"/>
                <w:lang w:val="fr-FR"/>
              </w:rPr>
            </w:pPr>
            <w:proofErr w:type="spellStart"/>
            <w:r>
              <w:rPr>
                <w:sz w:val="19"/>
                <w:lang w:val="fr-FR"/>
              </w:rPr>
              <w:t>III</w:t>
            </w:r>
            <w:proofErr w:type="spellEnd"/>
            <w:r>
              <w:rPr>
                <w:sz w:val="19"/>
                <w:lang w:val="fr-FR"/>
              </w:rPr>
              <w:t>.</w:t>
            </w:r>
          </w:p>
        </w:tc>
        <w:tc>
          <w:tcPr>
            <w:tcW w:w="1784" w:type="dxa"/>
            <w:tcBorders>
              <w:top w:val="single" w:sz="4" w:space="0" w:color="auto"/>
              <w:bottom w:val="nil"/>
            </w:tcBorders>
            <w:tcMar>
              <w:top w:w="15" w:type="dxa"/>
              <w:left w:w="108" w:type="dxa"/>
              <w:bottom w:w="0" w:type="dxa"/>
              <w:right w:w="108" w:type="dxa"/>
            </w:tcMar>
          </w:tcPr>
          <w:p w:rsidR="00000000" w:rsidRDefault="00000000">
            <w:pPr>
              <w:spacing w:after="0"/>
              <w:rPr>
                <w:sz w:val="19"/>
                <w:lang w:val="de-DE"/>
              </w:rPr>
            </w:pPr>
            <w:r>
              <w:rPr>
                <w:sz w:val="19"/>
                <w:lang w:val="de-DE"/>
              </w:rPr>
              <w:t>Region Diber</w:t>
            </w:r>
          </w:p>
        </w:tc>
        <w:tc>
          <w:tcPr>
            <w:tcW w:w="954" w:type="dxa"/>
            <w:tcBorders>
              <w:top w:val="single" w:sz="4" w:space="0" w:color="auto"/>
              <w:bottom w:val="nil"/>
            </w:tcBorders>
            <w:tcMar>
              <w:top w:w="15" w:type="dxa"/>
              <w:left w:w="108" w:type="dxa"/>
              <w:bottom w:w="0" w:type="dxa"/>
              <w:right w:w="108" w:type="dxa"/>
            </w:tcMar>
          </w:tcPr>
          <w:p w:rsidR="00000000" w:rsidRDefault="00000000">
            <w:pPr>
              <w:spacing w:after="0"/>
              <w:ind w:right="113"/>
              <w:jc w:val="right"/>
              <w:rPr>
                <w:sz w:val="19"/>
                <w:lang w:val="de-DE"/>
              </w:rPr>
            </w:pPr>
            <w:r>
              <w:rPr>
                <w:sz w:val="19"/>
                <w:lang w:val="de-DE"/>
              </w:rPr>
              <w:t>0</w:t>
            </w:r>
          </w:p>
        </w:tc>
        <w:tc>
          <w:tcPr>
            <w:tcW w:w="850"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51"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410</w:t>
            </w:r>
          </w:p>
        </w:tc>
        <w:tc>
          <w:tcPr>
            <w:tcW w:w="847"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1 540</w:t>
            </w:r>
          </w:p>
        </w:tc>
        <w:tc>
          <w:tcPr>
            <w:tcW w:w="712"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92" w:type="dxa"/>
            <w:tcBorders>
              <w:top w:val="single" w:sz="4" w:space="0" w:color="auto"/>
              <w:bottom w:val="nil"/>
            </w:tcBorders>
            <w:tcMar>
              <w:top w:w="15" w:type="dxa"/>
              <w:left w:w="108" w:type="dxa"/>
              <w:bottom w:w="0" w:type="dxa"/>
              <w:right w:w="108" w:type="dxa"/>
            </w:tcMar>
          </w:tcPr>
          <w:p w:rsidR="00000000" w:rsidRDefault="00000000">
            <w:pPr>
              <w:spacing w:after="0"/>
              <w:ind w:right="284"/>
              <w:jc w:val="right"/>
              <w:rPr>
                <w:sz w:val="19"/>
                <w:lang w:val="de-DE"/>
              </w:rPr>
            </w:pPr>
            <w:r>
              <w:rPr>
                <w:sz w:val="19"/>
                <w:lang w:val="de-DE"/>
              </w:rPr>
              <w:t>0</w:t>
            </w:r>
          </w:p>
        </w:tc>
        <w:tc>
          <w:tcPr>
            <w:tcW w:w="1418" w:type="dxa"/>
            <w:tcBorders>
              <w:top w:val="single" w:sz="4" w:space="0" w:color="auto"/>
              <w:bottom w:val="nil"/>
            </w:tcBorders>
            <w:tcMar>
              <w:top w:w="15" w:type="dxa"/>
              <w:left w:w="108" w:type="dxa"/>
              <w:bottom w:w="0" w:type="dxa"/>
              <w:right w:w="108" w:type="dxa"/>
            </w:tcMar>
          </w:tcPr>
          <w:p w:rsidR="00000000" w:rsidRDefault="00000000">
            <w:pPr>
              <w:spacing w:after="0"/>
              <w:ind w:right="454"/>
              <w:jc w:val="right"/>
              <w:rPr>
                <w:sz w:val="19"/>
                <w:lang w:val="de-DE"/>
              </w:rPr>
            </w:pPr>
            <w:r>
              <w:rPr>
                <w:sz w:val="19"/>
                <w:lang w:val="de-DE"/>
              </w:rPr>
              <w:t>23</w:t>
            </w:r>
          </w:p>
        </w:tc>
      </w:tr>
      <w:tr w:rsidR="00000000">
        <w:tc>
          <w:tcPr>
            <w:tcW w:w="848" w:type="dxa"/>
            <w:tcBorders>
              <w:top w:val="nil"/>
            </w:tcBorders>
            <w:tcMar>
              <w:top w:w="15" w:type="dxa"/>
              <w:left w:w="108" w:type="dxa"/>
              <w:bottom w:w="0" w:type="dxa"/>
              <w:right w:w="108" w:type="dxa"/>
            </w:tcMar>
          </w:tcPr>
          <w:p w:rsidR="00000000" w:rsidRDefault="00000000">
            <w:pPr>
              <w:spacing w:after="0"/>
              <w:ind w:left="113"/>
              <w:jc w:val="both"/>
              <w:rPr>
                <w:sz w:val="19"/>
                <w:lang w:val="de-DE"/>
              </w:rPr>
            </w:pPr>
            <w:r>
              <w:rPr>
                <w:sz w:val="19"/>
                <w:lang w:val="de-DE"/>
              </w:rPr>
              <w:t>1.</w:t>
            </w:r>
          </w:p>
        </w:tc>
        <w:tc>
          <w:tcPr>
            <w:tcW w:w="1784" w:type="dxa"/>
            <w:tcBorders>
              <w:top w:val="nil"/>
            </w:tcBorders>
            <w:tcMar>
              <w:top w:w="15" w:type="dxa"/>
              <w:left w:w="108" w:type="dxa"/>
              <w:bottom w:w="0" w:type="dxa"/>
              <w:right w:w="108" w:type="dxa"/>
            </w:tcMar>
          </w:tcPr>
          <w:p w:rsidR="00000000" w:rsidRDefault="00000000">
            <w:pPr>
              <w:spacing w:after="0"/>
              <w:rPr>
                <w:sz w:val="19"/>
                <w:lang w:val="de-DE"/>
              </w:rPr>
            </w:pPr>
            <w:r>
              <w:rPr>
                <w:sz w:val="19"/>
                <w:lang w:val="de-DE"/>
              </w:rPr>
              <w:t>M. Peshkopi</w:t>
            </w:r>
          </w:p>
        </w:tc>
        <w:tc>
          <w:tcPr>
            <w:tcW w:w="954" w:type="dxa"/>
            <w:tcBorders>
              <w:top w:val="nil"/>
            </w:tcBorders>
            <w:tcMar>
              <w:top w:w="15" w:type="dxa"/>
              <w:left w:w="108" w:type="dxa"/>
              <w:bottom w:w="0" w:type="dxa"/>
              <w:right w:w="108" w:type="dxa"/>
            </w:tcMar>
          </w:tcPr>
          <w:p w:rsidR="00000000" w:rsidRDefault="00000000">
            <w:pPr>
              <w:spacing w:after="0"/>
              <w:ind w:right="113"/>
              <w:jc w:val="right"/>
              <w:rPr>
                <w:sz w:val="19"/>
                <w:lang w:val="de-DE"/>
              </w:rPr>
            </w:pPr>
          </w:p>
        </w:tc>
        <w:tc>
          <w:tcPr>
            <w:tcW w:w="850"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p>
        </w:tc>
        <w:tc>
          <w:tcPr>
            <w:tcW w:w="951"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100</w:t>
            </w:r>
          </w:p>
        </w:tc>
        <w:tc>
          <w:tcPr>
            <w:tcW w:w="847"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r>
              <w:rPr>
                <w:sz w:val="19"/>
                <w:lang w:val="nl-NL"/>
              </w:rPr>
              <w:t>420</w:t>
            </w:r>
          </w:p>
        </w:tc>
        <w:tc>
          <w:tcPr>
            <w:tcW w:w="712" w:type="dxa"/>
            <w:tcBorders>
              <w:top w:val="nil"/>
            </w:tcBorders>
            <w:tcMar>
              <w:top w:w="15" w:type="dxa"/>
              <w:left w:w="108" w:type="dxa"/>
              <w:bottom w:w="0" w:type="dxa"/>
              <w:right w:w="108" w:type="dxa"/>
            </w:tcMar>
          </w:tcPr>
          <w:p w:rsidR="00000000" w:rsidRDefault="00000000">
            <w:pPr>
              <w:spacing w:after="0"/>
              <w:ind w:right="57"/>
              <w:jc w:val="right"/>
              <w:rPr>
                <w:sz w:val="19"/>
                <w:lang w:val="nl-NL"/>
              </w:rPr>
            </w:pPr>
          </w:p>
        </w:tc>
        <w:tc>
          <w:tcPr>
            <w:tcW w:w="992" w:type="dxa"/>
            <w:tcBorders>
              <w:top w:val="nil"/>
            </w:tcBorders>
            <w:tcMar>
              <w:top w:w="15" w:type="dxa"/>
              <w:left w:w="108" w:type="dxa"/>
              <w:bottom w:w="0" w:type="dxa"/>
              <w:right w:w="108" w:type="dxa"/>
            </w:tcMar>
          </w:tcPr>
          <w:p w:rsidR="00000000" w:rsidRDefault="00000000">
            <w:pPr>
              <w:spacing w:after="0"/>
              <w:ind w:right="284"/>
              <w:jc w:val="right"/>
              <w:rPr>
                <w:sz w:val="19"/>
                <w:lang w:val="nl-NL"/>
              </w:rPr>
            </w:pPr>
          </w:p>
        </w:tc>
        <w:tc>
          <w:tcPr>
            <w:tcW w:w="1418" w:type="dxa"/>
            <w:tcBorders>
              <w:top w:val="nil"/>
            </w:tcBorders>
            <w:tcMar>
              <w:top w:w="15" w:type="dxa"/>
              <w:left w:w="108" w:type="dxa"/>
              <w:bottom w:w="0" w:type="dxa"/>
              <w:right w:w="108" w:type="dxa"/>
            </w:tcMar>
          </w:tcPr>
          <w:p w:rsidR="00000000" w:rsidRDefault="00000000">
            <w:pPr>
              <w:spacing w:after="0"/>
              <w:ind w:right="454"/>
              <w:jc w:val="right"/>
              <w:rPr>
                <w:sz w:val="19"/>
                <w:lang w:val="nl-NL"/>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lang w:val="nl-NL"/>
              </w:rPr>
            </w:pPr>
            <w:r>
              <w:rPr>
                <w:sz w:val="19"/>
                <w:lang w:val="nl-NL"/>
              </w:rPr>
              <w:t>2.</w:t>
            </w:r>
          </w:p>
        </w:tc>
        <w:tc>
          <w:tcPr>
            <w:tcW w:w="1784" w:type="dxa"/>
            <w:tcMar>
              <w:top w:w="15" w:type="dxa"/>
              <w:left w:w="108" w:type="dxa"/>
              <w:bottom w:w="0" w:type="dxa"/>
              <w:right w:w="108" w:type="dxa"/>
            </w:tcMar>
          </w:tcPr>
          <w:p w:rsidR="00000000" w:rsidRDefault="00000000">
            <w:pPr>
              <w:spacing w:after="0"/>
              <w:rPr>
                <w:sz w:val="19"/>
                <w:lang w:val="nl-NL"/>
              </w:rPr>
            </w:pPr>
            <w:r>
              <w:rPr>
                <w:sz w:val="19"/>
                <w:lang w:val="nl-NL"/>
              </w:rPr>
              <w:t>M. Bulqize</w:t>
            </w:r>
          </w:p>
        </w:tc>
        <w:tc>
          <w:tcPr>
            <w:tcW w:w="954" w:type="dxa"/>
            <w:tcMar>
              <w:top w:w="15" w:type="dxa"/>
              <w:left w:w="108" w:type="dxa"/>
              <w:bottom w:w="0" w:type="dxa"/>
              <w:right w:w="108" w:type="dxa"/>
            </w:tcMar>
          </w:tcPr>
          <w:p w:rsidR="00000000" w:rsidRDefault="00000000">
            <w:pPr>
              <w:spacing w:after="0"/>
              <w:ind w:right="113"/>
              <w:jc w:val="right"/>
              <w:rPr>
                <w:sz w:val="19"/>
                <w:lang w:val="nl-NL"/>
              </w:rPr>
            </w:pPr>
          </w:p>
        </w:tc>
        <w:tc>
          <w:tcPr>
            <w:tcW w:w="850" w:type="dxa"/>
            <w:tcMar>
              <w:top w:w="15" w:type="dxa"/>
              <w:left w:w="108" w:type="dxa"/>
              <w:bottom w:w="0" w:type="dxa"/>
              <w:right w:w="108" w:type="dxa"/>
            </w:tcMar>
          </w:tcPr>
          <w:p w:rsidR="00000000" w:rsidRDefault="00000000">
            <w:pPr>
              <w:spacing w:after="0"/>
              <w:ind w:right="57"/>
              <w:jc w:val="right"/>
              <w:rPr>
                <w:sz w:val="19"/>
                <w:lang w:val="nl-NL"/>
              </w:rPr>
            </w:pPr>
          </w:p>
        </w:tc>
        <w:tc>
          <w:tcPr>
            <w:tcW w:w="951" w:type="dxa"/>
            <w:tcMar>
              <w:top w:w="15" w:type="dxa"/>
              <w:left w:w="108" w:type="dxa"/>
              <w:bottom w:w="0" w:type="dxa"/>
              <w:right w:w="108" w:type="dxa"/>
            </w:tcMar>
          </w:tcPr>
          <w:p w:rsidR="00000000" w:rsidRDefault="00000000">
            <w:pPr>
              <w:spacing w:after="0"/>
              <w:ind w:right="57"/>
              <w:jc w:val="right"/>
              <w:rPr>
                <w:sz w:val="19"/>
                <w:lang w:val="nl-NL"/>
              </w:rPr>
            </w:pPr>
            <w:r>
              <w:rPr>
                <w:sz w:val="19"/>
                <w:lang w:val="nl-NL"/>
              </w:rPr>
              <w:t>150</w:t>
            </w:r>
          </w:p>
        </w:tc>
        <w:tc>
          <w:tcPr>
            <w:tcW w:w="847" w:type="dxa"/>
            <w:tcMar>
              <w:top w:w="15" w:type="dxa"/>
              <w:left w:w="108" w:type="dxa"/>
              <w:bottom w:w="0" w:type="dxa"/>
              <w:right w:w="108" w:type="dxa"/>
            </w:tcMar>
          </w:tcPr>
          <w:p w:rsidR="00000000" w:rsidRDefault="00000000">
            <w:pPr>
              <w:spacing w:after="0"/>
              <w:ind w:right="57"/>
              <w:jc w:val="right"/>
              <w:rPr>
                <w:sz w:val="19"/>
                <w:lang w:val="nl-NL"/>
              </w:rPr>
            </w:pPr>
            <w:r>
              <w:rPr>
                <w:sz w:val="19"/>
                <w:lang w:val="nl-NL"/>
              </w:rPr>
              <w:t>630</w:t>
            </w:r>
          </w:p>
        </w:tc>
        <w:tc>
          <w:tcPr>
            <w:tcW w:w="712" w:type="dxa"/>
            <w:tcMar>
              <w:top w:w="15" w:type="dxa"/>
              <w:left w:w="108" w:type="dxa"/>
              <w:bottom w:w="0" w:type="dxa"/>
              <w:right w:w="108" w:type="dxa"/>
            </w:tcMar>
          </w:tcPr>
          <w:p w:rsidR="00000000" w:rsidRDefault="00000000">
            <w:pPr>
              <w:spacing w:after="0"/>
              <w:ind w:right="57"/>
              <w:jc w:val="right"/>
              <w:rPr>
                <w:sz w:val="19"/>
                <w:lang w:val="nl-NL"/>
              </w:rPr>
            </w:pPr>
          </w:p>
        </w:tc>
        <w:tc>
          <w:tcPr>
            <w:tcW w:w="992" w:type="dxa"/>
            <w:tcMar>
              <w:top w:w="15" w:type="dxa"/>
              <w:left w:w="108" w:type="dxa"/>
              <w:bottom w:w="0" w:type="dxa"/>
              <w:right w:w="108" w:type="dxa"/>
            </w:tcMar>
          </w:tcPr>
          <w:p w:rsidR="00000000" w:rsidRDefault="00000000">
            <w:pPr>
              <w:spacing w:after="0"/>
              <w:ind w:right="284"/>
              <w:jc w:val="right"/>
              <w:rPr>
                <w:sz w:val="19"/>
                <w:lang w:val="nl-NL"/>
              </w:rPr>
            </w:pPr>
          </w:p>
        </w:tc>
        <w:tc>
          <w:tcPr>
            <w:tcW w:w="1418" w:type="dxa"/>
            <w:tcMar>
              <w:top w:w="15" w:type="dxa"/>
              <w:left w:w="108" w:type="dxa"/>
              <w:bottom w:w="0" w:type="dxa"/>
              <w:right w:w="108" w:type="dxa"/>
            </w:tcMar>
          </w:tcPr>
          <w:p w:rsidR="00000000" w:rsidRDefault="00000000">
            <w:pPr>
              <w:spacing w:after="0"/>
              <w:ind w:right="454"/>
              <w:jc w:val="right"/>
              <w:rPr>
                <w:sz w:val="19"/>
                <w:lang w:val="nl-NL"/>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lang w:val="nl-NL"/>
              </w:rPr>
            </w:pPr>
            <w:r>
              <w:rPr>
                <w:sz w:val="19"/>
                <w:lang w:val="nl-NL"/>
              </w:rPr>
              <w:t>3.</w:t>
            </w:r>
          </w:p>
        </w:tc>
        <w:tc>
          <w:tcPr>
            <w:tcW w:w="1784" w:type="dxa"/>
            <w:tcMar>
              <w:top w:w="15" w:type="dxa"/>
              <w:left w:w="108" w:type="dxa"/>
              <w:bottom w:w="0" w:type="dxa"/>
              <w:right w:w="108" w:type="dxa"/>
            </w:tcMar>
          </w:tcPr>
          <w:p w:rsidR="00000000" w:rsidRDefault="00000000">
            <w:pPr>
              <w:spacing w:after="0"/>
              <w:rPr>
                <w:sz w:val="19"/>
                <w:lang w:val="nl-NL"/>
              </w:rPr>
            </w:pPr>
            <w:r>
              <w:rPr>
                <w:sz w:val="19"/>
                <w:lang w:val="nl-NL"/>
              </w:rPr>
              <w:t>M. Klos</w:t>
            </w:r>
          </w:p>
        </w:tc>
        <w:tc>
          <w:tcPr>
            <w:tcW w:w="954" w:type="dxa"/>
            <w:tcMar>
              <w:top w:w="15" w:type="dxa"/>
              <w:left w:w="108" w:type="dxa"/>
              <w:bottom w:w="0" w:type="dxa"/>
              <w:right w:w="108" w:type="dxa"/>
            </w:tcMar>
          </w:tcPr>
          <w:p w:rsidR="00000000" w:rsidRDefault="00000000">
            <w:pPr>
              <w:spacing w:after="0"/>
              <w:ind w:right="113"/>
              <w:jc w:val="right"/>
              <w:rPr>
                <w:sz w:val="19"/>
                <w:lang w:val="nl-NL"/>
              </w:rPr>
            </w:pPr>
          </w:p>
        </w:tc>
        <w:tc>
          <w:tcPr>
            <w:tcW w:w="850" w:type="dxa"/>
            <w:tcMar>
              <w:top w:w="15" w:type="dxa"/>
              <w:left w:w="108" w:type="dxa"/>
              <w:bottom w:w="0" w:type="dxa"/>
              <w:right w:w="108" w:type="dxa"/>
            </w:tcMar>
          </w:tcPr>
          <w:p w:rsidR="00000000" w:rsidRDefault="00000000">
            <w:pPr>
              <w:spacing w:after="0"/>
              <w:ind w:right="57"/>
              <w:jc w:val="right"/>
              <w:rPr>
                <w:sz w:val="19"/>
                <w:lang w:val="nl-NL"/>
              </w:rPr>
            </w:pPr>
          </w:p>
        </w:tc>
        <w:tc>
          <w:tcPr>
            <w:tcW w:w="951"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60</w:t>
            </w:r>
          </w:p>
        </w:tc>
        <w:tc>
          <w:tcPr>
            <w:tcW w:w="847" w:type="dxa"/>
            <w:tcMar>
              <w:top w:w="15" w:type="dxa"/>
              <w:left w:w="108" w:type="dxa"/>
              <w:bottom w:w="0" w:type="dxa"/>
              <w:right w:w="108" w:type="dxa"/>
            </w:tcMar>
          </w:tcPr>
          <w:p w:rsidR="00000000" w:rsidRDefault="00000000">
            <w:pPr>
              <w:spacing w:after="0"/>
              <w:ind w:right="57"/>
              <w:jc w:val="right"/>
              <w:rPr>
                <w:sz w:val="19"/>
                <w:lang w:val="fr-FR"/>
              </w:rPr>
            </w:pPr>
            <w:r>
              <w:rPr>
                <w:sz w:val="19"/>
                <w:lang w:val="fr-FR"/>
              </w:rPr>
              <w:t>80</w:t>
            </w:r>
          </w:p>
        </w:tc>
        <w:tc>
          <w:tcPr>
            <w:tcW w:w="712" w:type="dxa"/>
            <w:tcMar>
              <w:top w:w="15" w:type="dxa"/>
              <w:left w:w="108" w:type="dxa"/>
              <w:bottom w:w="0" w:type="dxa"/>
              <w:right w:w="108" w:type="dxa"/>
            </w:tcMar>
          </w:tcPr>
          <w:p w:rsidR="00000000" w:rsidRDefault="00000000">
            <w:pPr>
              <w:spacing w:after="0"/>
              <w:ind w:right="57"/>
              <w:jc w:val="right"/>
              <w:rPr>
                <w:sz w:val="19"/>
                <w:lang w:val="fr-FR"/>
              </w:rPr>
            </w:pPr>
          </w:p>
        </w:tc>
        <w:tc>
          <w:tcPr>
            <w:tcW w:w="992" w:type="dxa"/>
            <w:tcMar>
              <w:top w:w="15" w:type="dxa"/>
              <w:left w:w="108" w:type="dxa"/>
              <w:bottom w:w="0" w:type="dxa"/>
              <w:right w:w="108" w:type="dxa"/>
            </w:tcMar>
          </w:tcPr>
          <w:p w:rsidR="00000000" w:rsidRDefault="00000000">
            <w:pPr>
              <w:spacing w:after="0"/>
              <w:ind w:right="284"/>
              <w:jc w:val="right"/>
              <w:rPr>
                <w:sz w:val="19"/>
                <w:lang w:val="fr-FR"/>
              </w:rPr>
            </w:pPr>
          </w:p>
        </w:tc>
        <w:tc>
          <w:tcPr>
            <w:tcW w:w="1418" w:type="dxa"/>
            <w:tcMar>
              <w:top w:w="15" w:type="dxa"/>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bottom w:val="single" w:sz="4" w:space="0" w:color="auto"/>
            </w:tcBorders>
            <w:tcMar>
              <w:top w:w="15" w:type="dxa"/>
              <w:left w:w="108" w:type="dxa"/>
              <w:bottom w:w="0" w:type="dxa"/>
              <w:right w:w="108" w:type="dxa"/>
            </w:tcMar>
          </w:tcPr>
          <w:p w:rsidR="00000000" w:rsidRDefault="00000000">
            <w:pPr>
              <w:spacing w:after="0"/>
              <w:ind w:left="113"/>
              <w:jc w:val="both"/>
              <w:rPr>
                <w:sz w:val="19"/>
                <w:lang w:val="fr-FR"/>
              </w:rPr>
            </w:pPr>
            <w:r>
              <w:rPr>
                <w:sz w:val="19"/>
                <w:lang w:val="fr-FR"/>
              </w:rPr>
              <w:t>4.</w:t>
            </w:r>
          </w:p>
        </w:tc>
        <w:tc>
          <w:tcPr>
            <w:tcW w:w="1784" w:type="dxa"/>
            <w:tcBorders>
              <w:bottom w:val="single" w:sz="4" w:space="0" w:color="auto"/>
            </w:tcBorders>
            <w:tcMar>
              <w:top w:w="15" w:type="dxa"/>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Burrel</w:t>
            </w:r>
            <w:proofErr w:type="spellEnd"/>
          </w:p>
        </w:tc>
        <w:tc>
          <w:tcPr>
            <w:tcW w:w="954" w:type="dxa"/>
            <w:tcBorders>
              <w:bottom w:val="single" w:sz="4" w:space="0" w:color="auto"/>
            </w:tcBorders>
            <w:tcMar>
              <w:top w:w="15" w:type="dxa"/>
              <w:left w:w="108" w:type="dxa"/>
              <w:bottom w:w="0" w:type="dxa"/>
              <w:right w:w="108" w:type="dxa"/>
            </w:tcMar>
          </w:tcPr>
          <w:p w:rsidR="00000000" w:rsidRDefault="00000000">
            <w:pPr>
              <w:spacing w:after="0"/>
              <w:ind w:right="113"/>
              <w:jc w:val="right"/>
              <w:rPr>
                <w:sz w:val="19"/>
                <w:lang w:val="fr-FR"/>
              </w:rPr>
            </w:pPr>
          </w:p>
        </w:tc>
        <w:tc>
          <w:tcPr>
            <w:tcW w:w="850"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p>
        </w:tc>
        <w:tc>
          <w:tcPr>
            <w:tcW w:w="951"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r>
              <w:rPr>
                <w:sz w:val="19"/>
                <w:lang w:val="fr-FR"/>
              </w:rPr>
              <w:t>100</w:t>
            </w:r>
          </w:p>
        </w:tc>
        <w:tc>
          <w:tcPr>
            <w:tcW w:w="847"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r>
              <w:rPr>
                <w:sz w:val="19"/>
                <w:lang w:val="fr-FR"/>
              </w:rPr>
              <w:t>410</w:t>
            </w:r>
          </w:p>
        </w:tc>
        <w:tc>
          <w:tcPr>
            <w:tcW w:w="712"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fr-FR"/>
              </w:rPr>
            </w:pPr>
          </w:p>
        </w:tc>
        <w:tc>
          <w:tcPr>
            <w:tcW w:w="992" w:type="dxa"/>
            <w:tcBorders>
              <w:bottom w:val="single" w:sz="4" w:space="0" w:color="auto"/>
            </w:tcBorders>
            <w:tcMar>
              <w:top w:w="15" w:type="dxa"/>
              <w:left w:w="108" w:type="dxa"/>
              <w:bottom w:w="0" w:type="dxa"/>
              <w:right w:w="108" w:type="dxa"/>
            </w:tcMar>
          </w:tcPr>
          <w:p w:rsidR="00000000" w:rsidRDefault="00000000">
            <w:pPr>
              <w:spacing w:after="0"/>
              <w:ind w:right="284"/>
              <w:jc w:val="right"/>
              <w:rPr>
                <w:sz w:val="19"/>
                <w:lang w:val="fr-FR"/>
              </w:rPr>
            </w:pPr>
          </w:p>
        </w:tc>
        <w:tc>
          <w:tcPr>
            <w:tcW w:w="1418" w:type="dxa"/>
            <w:tcBorders>
              <w:bottom w:val="single" w:sz="4" w:space="0" w:color="auto"/>
            </w:tcBorders>
            <w:tcMar>
              <w:top w:w="15" w:type="dxa"/>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top w:val="single" w:sz="4" w:space="0" w:color="auto"/>
              <w:bottom w:val="nil"/>
            </w:tcBorders>
            <w:tcMar>
              <w:top w:w="15" w:type="dxa"/>
              <w:left w:w="108" w:type="dxa"/>
              <w:bottom w:w="0" w:type="dxa"/>
              <w:right w:w="108" w:type="dxa"/>
            </w:tcMar>
          </w:tcPr>
          <w:p w:rsidR="00000000" w:rsidRDefault="00000000">
            <w:pPr>
              <w:spacing w:after="0"/>
              <w:ind w:left="113"/>
              <w:jc w:val="both"/>
              <w:rPr>
                <w:sz w:val="19"/>
                <w:lang w:val="fr-FR"/>
              </w:rPr>
            </w:pPr>
            <w:proofErr w:type="spellStart"/>
            <w:r>
              <w:rPr>
                <w:sz w:val="19"/>
                <w:lang w:val="fr-FR"/>
              </w:rPr>
              <w:t>IV</w:t>
            </w:r>
            <w:proofErr w:type="spellEnd"/>
            <w:r>
              <w:rPr>
                <w:sz w:val="19"/>
                <w:lang w:val="fr-FR"/>
              </w:rPr>
              <w:t>.</w:t>
            </w:r>
          </w:p>
        </w:tc>
        <w:tc>
          <w:tcPr>
            <w:tcW w:w="1784" w:type="dxa"/>
            <w:tcBorders>
              <w:top w:val="single" w:sz="4" w:space="0" w:color="auto"/>
              <w:bottom w:val="nil"/>
            </w:tcBorders>
            <w:tcMar>
              <w:top w:w="15" w:type="dxa"/>
              <w:left w:w="108" w:type="dxa"/>
              <w:bottom w:w="0" w:type="dxa"/>
              <w:right w:w="108" w:type="dxa"/>
            </w:tcMar>
          </w:tcPr>
          <w:p w:rsidR="00000000" w:rsidRDefault="00000000">
            <w:pPr>
              <w:spacing w:after="0"/>
              <w:rPr>
                <w:sz w:val="19"/>
                <w:lang w:val="de-DE"/>
              </w:rPr>
            </w:pPr>
            <w:r>
              <w:rPr>
                <w:sz w:val="19"/>
                <w:lang w:val="de-DE"/>
              </w:rPr>
              <w:t>Region Elbasan</w:t>
            </w:r>
          </w:p>
        </w:tc>
        <w:tc>
          <w:tcPr>
            <w:tcW w:w="954" w:type="dxa"/>
            <w:tcBorders>
              <w:top w:val="single" w:sz="4" w:space="0" w:color="auto"/>
              <w:bottom w:val="nil"/>
            </w:tcBorders>
            <w:tcMar>
              <w:top w:w="15" w:type="dxa"/>
              <w:left w:w="108" w:type="dxa"/>
              <w:bottom w:w="0" w:type="dxa"/>
              <w:right w:w="108" w:type="dxa"/>
            </w:tcMar>
          </w:tcPr>
          <w:p w:rsidR="00000000" w:rsidRDefault="00000000">
            <w:pPr>
              <w:spacing w:after="0"/>
              <w:ind w:right="113"/>
              <w:jc w:val="right"/>
              <w:rPr>
                <w:sz w:val="19"/>
                <w:lang w:val="de-DE"/>
              </w:rPr>
            </w:pPr>
            <w:r>
              <w:rPr>
                <w:sz w:val="19"/>
                <w:lang w:val="de-DE"/>
              </w:rPr>
              <w:t>139</w:t>
            </w:r>
          </w:p>
        </w:tc>
        <w:tc>
          <w:tcPr>
            <w:tcW w:w="850"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595</w:t>
            </w:r>
          </w:p>
        </w:tc>
        <w:tc>
          <w:tcPr>
            <w:tcW w:w="951"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847"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712"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92" w:type="dxa"/>
            <w:tcBorders>
              <w:top w:val="single" w:sz="4" w:space="0" w:color="auto"/>
              <w:bottom w:val="nil"/>
            </w:tcBorders>
            <w:tcMar>
              <w:top w:w="15" w:type="dxa"/>
              <w:left w:w="108" w:type="dxa"/>
              <w:bottom w:w="0" w:type="dxa"/>
              <w:right w:w="108" w:type="dxa"/>
            </w:tcMar>
          </w:tcPr>
          <w:p w:rsidR="00000000" w:rsidRDefault="00000000">
            <w:pPr>
              <w:spacing w:after="0"/>
              <w:ind w:right="284"/>
              <w:jc w:val="right"/>
              <w:rPr>
                <w:sz w:val="19"/>
                <w:lang w:val="de-DE"/>
              </w:rPr>
            </w:pPr>
            <w:r>
              <w:rPr>
                <w:sz w:val="19"/>
                <w:lang w:val="de-DE"/>
              </w:rPr>
              <w:t>0</w:t>
            </w:r>
          </w:p>
        </w:tc>
        <w:tc>
          <w:tcPr>
            <w:tcW w:w="1418" w:type="dxa"/>
            <w:tcBorders>
              <w:top w:val="single" w:sz="4" w:space="0" w:color="auto"/>
              <w:bottom w:val="nil"/>
            </w:tcBorders>
            <w:tcMar>
              <w:top w:w="15" w:type="dxa"/>
              <w:left w:w="108" w:type="dxa"/>
              <w:bottom w:w="0" w:type="dxa"/>
              <w:right w:w="108" w:type="dxa"/>
            </w:tcMar>
          </w:tcPr>
          <w:p w:rsidR="00000000" w:rsidRDefault="00000000">
            <w:pPr>
              <w:spacing w:after="0"/>
              <w:ind w:right="454"/>
              <w:jc w:val="right"/>
              <w:rPr>
                <w:sz w:val="19"/>
                <w:lang w:val="de-DE"/>
              </w:rPr>
            </w:pPr>
            <w:r>
              <w:rPr>
                <w:sz w:val="19"/>
                <w:lang w:val="de-DE"/>
              </w:rPr>
              <w:t>0</w:t>
            </w:r>
          </w:p>
        </w:tc>
      </w:tr>
      <w:tr w:rsidR="00000000">
        <w:tc>
          <w:tcPr>
            <w:tcW w:w="848" w:type="dxa"/>
            <w:tcBorders>
              <w:top w:val="nil"/>
            </w:tcBorders>
            <w:tcMar>
              <w:top w:w="15" w:type="dxa"/>
              <w:left w:w="108" w:type="dxa"/>
              <w:bottom w:w="0" w:type="dxa"/>
              <w:right w:w="108" w:type="dxa"/>
            </w:tcMar>
          </w:tcPr>
          <w:p w:rsidR="00000000" w:rsidRDefault="00000000">
            <w:pPr>
              <w:spacing w:after="0"/>
              <w:ind w:left="113"/>
              <w:jc w:val="both"/>
              <w:rPr>
                <w:sz w:val="19"/>
                <w:lang w:val="de-DE"/>
              </w:rPr>
            </w:pPr>
            <w:r>
              <w:rPr>
                <w:sz w:val="19"/>
                <w:lang w:val="de-DE"/>
              </w:rPr>
              <w:t>1.</w:t>
            </w:r>
          </w:p>
        </w:tc>
        <w:tc>
          <w:tcPr>
            <w:tcW w:w="1784" w:type="dxa"/>
            <w:tcBorders>
              <w:top w:val="nil"/>
            </w:tcBorders>
            <w:tcMar>
              <w:top w:w="15" w:type="dxa"/>
              <w:left w:w="108" w:type="dxa"/>
              <w:bottom w:w="0" w:type="dxa"/>
              <w:right w:w="108" w:type="dxa"/>
            </w:tcMar>
          </w:tcPr>
          <w:p w:rsidR="00000000" w:rsidRDefault="00000000">
            <w:pPr>
              <w:spacing w:after="0"/>
              <w:rPr>
                <w:sz w:val="19"/>
                <w:lang w:val="de-DE"/>
              </w:rPr>
            </w:pPr>
            <w:r>
              <w:rPr>
                <w:sz w:val="19"/>
                <w:lang w:val="de-DE"/>
              </w:rPr>
              <w:t>M. Elbasan</w:t>
            </w:r>
          </w:p>
        </w:tc>
        <w:tc>
          <w:tcPr>
            <w:tcW w:w="954" w:type="dxa"/>
            <w:tcBorders>
              <w:top w:val="nil"/>
            </w:tcBorders>
            <w:tcMar>
              <w:top w:w="15" w:type="dxa"/>
              <w:left w:w="108" w:type="dxa"/>
              <w:bottom w:w="0" w:type="dxa"/>
              <w:right w:w="108" w:type="dxa"/>
            </w:tcMar>
          </w:tcPr>
          <w:p w:rsidR="00000000" w:rsidRDefault="00000000">
            <w:pPr>
              <w:spacing w:after="0"/>
              <w:ind w:right="113"/>
              <w:jc w:val="right"/>
              <w:rPr>
                <w:sz w:val="19"/>
              </w:rPr>
            </w:pPr>
            <w:r>
              <w:rPr>
                <w:sz w:val="19"/>
              </w:rPr>
              <w:t>116</w:t>
            </w:r>
          </w:p>
        </w:tc>
        <w:tc>
          <w:tcPr>
            <w:tcW w:w="850" w:type="dxa"/>
            <w:tcBorders>
              <w:top w:val="nil"/>
            </w:tcBorders>
            <w:tcMar>
              <w:top w:w="15" w:type="dxa"/>
              <w:left w:w="108" w:type="dxa"/>
              <w:bottom w:w="0" w:type="dxa"/>
              <w:right w:w="108" w:type="dxa"/>
            </w:tcMar>
          </w:tcPr>
          <w:p w:rsidR="00000000" w:rsidRDefault="00000000">
            <w:pPr>
              <w:spacing w:after="0"/>
              <w:ind w:right="57"/>
              <w:jc w:val="right"/>
              <w:rPr>
                <w:sz w:val="19"/>
              </w:rPr>
            </w:pPr>
            <w:r>
              <w:rPr>
                <w:sz w:val="19"/>
              </w:rPr>
              <w:t>464</w:t>
            </w:r>
          </w:p>
        </w:tc>
        <w:tc>
          <w:tcPr>
            <w:tcW w:w="951" w:type="dxa"/>
            <w:tcBorders>
              <w:top w:val="nil"/>
            </w:tcBorders>
            <w:tcMar>
              <w:top w:w="15" w:type="dxa"/>
              <w:left w:w="108" w:type="dxa"/>
              <w:bottom w:w="0" w:type="dxa"/>
              <w:right w:w="108" w:type="dxa"/>
            </w:tcMar>
          </w:tcPr>
          <w:p w:rsidR="00000000" w:rsidRDefault="00000000">
            <w:pPr>
              <w:spacing w:after="0"/>
              <w:ind w:right="57"/>
              <w:jc w:val="right"/>
              <w:rPr>
                <w:sz w:val="19"/>
              </w:rPr>
            </w:pPr>
          </w:p>
        </w:tc>
        <w:tc>
          <w:tcPr>
            <w:tcW w:w="847" w:type="dxa"/>
            <w:tcBorders>
              <w:top w:val="nil"/>
            </w:tcBorders>
            <w:tcMar>
              <w:top w:w="15" w:type="dxa"/>
              <w:left w:w="108" w:type="dxa"/>
              <w:bottom w:w="0" w:type="dxa"/>
              <w:right w:w="108" w:type="dxa"/>
            </w:tcMar>
          </w:tcPr>
          <w:p w:rsidR="00000000" w:rsidRDefault="00000000">
            <w:pPr>
              <w:spacing w:after="0"/>
              <w:ind w:right="57"/>
              <w:jc w:val="right"/>
              <w:rPr>
                <w:sz w:val="19"/>
              </w:rPr>
            </w:pPr>
          </w:p>
        </w:tc>
        <w:tc>
          <w:tcPr>
            <w:tcW w:w="712" w:type="dxa"/>
            <w:tcBorders>
              <w:top w:val="nil"/>
            </w:tcBorders>
            <w:tcMar>
              <w:top w:w="15" w:type="dxa"/>
              <w:left w:w="108" w:type="dxa"/>
              <w:bottom w:w="0" w:type="dxa"/>
              <w:right w:w="108" w:type="dxa"/>
            </w:tcMar>
          </w:tcPr>
          <w:p w:rsidR="00000000" w:rsidRDefault="00000000">
            <w:pPr>
              <w:spacing w:after="0"/>
              <w:ind w:right="57"/>
              <w:jc w:val="right"/>
              <w:rPr>
                <w:sz w:val="19"/>
              </w:rPr>
            </w:pPr>
          </w:p>
        </w:tc>
        <w:tc>
          <w:tcPr>
            <w:tcW w:w="992" w:type="dxa"/>
            <w:tcBorders>
              <w:top w:val="nil"/>
            </w:tcBorders>
            <w:tcMar>
              <w:top w:w="15" w:type="dxa"/>
              <w:left w:w="108" w:type="dxa"/>
              <w:bottom w:w="0" w:type="dxa"/>
              <w:right w:w="108" w:type="dxa"/>
            </w:tcMar>
          </w:tcPr>
          <w:p w:rsidR="00000000" w:rsidRDefault="00000000">
            <w:pPr>
              <w:spacing w:after="0"/>
              <w:ind w:right="284"/>
              <w:jc w:val="right"/>
              <w:rPr>
                <w:sz w:val="19"/>
              </w:rPr>
            </w:pPr>
          </w:p>
        </w:tc>
        <w:tc>
          <w:tcPr>
            <w:tcW w:w="1418" w:type="dxa"/>
            <w:tcBorders>
              <w:top w:val="nil"/>
            </w:tcBorders>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rPr>
            </w:pPr>
            <w:r>
              <w:rPr>
                <w:sz w:val="19"/>
              </w:rPr>
              <w:t>2.</w:t>
            </w:r>
          </w:p>
        </w:tc>
        <w:tc>
          <w:tcPr>
            <w:tcW w:w="1784" w:type="dxa"/>
            <w:tcMar>
              <w:top w:w="15" w:type="dxa"/>
              <w:left w:w="108" w:type="dxa"/>
              <w:bottom w:w="0" w:type="dxa"/>
              <w:right w:w="108" w:type="dxa"/>
            </w:tcMar>
          </w:tcPr>
          <w:p w:rsidR="00000000" w:rsidRDefault="00000000">
            <w:pPr>
              <w:spacing w:after="0"/>
              <w:rPr>
                <w:sz w:val="19"/>
              </w:rPr>
            </w:pPr>
            <w:r>
              <w:rPr>
                <w:sz w:val="19"/>
              </w:rPr>
              <w:t xml:space="preserve">M. </w:t>
            </w:r>
            <w:proofErr w:type="spellStart"/>
            <w:r>
              <w:rPr>
                <w:sz w:val="19"/>
              </w:rPr>
              <w:t>Cerrik</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rPr>
            </w:pPr>
            <w:r>
              <w:rPr>
                <w:sz w:val="19"/>
              </w:rPr>
              <w:t>3.</w:t>
            </w:r>
          </w:p>
        </w:tc>
        <w:tc>
          <w:tcPr>
            <w:tcW w:w="1784" w:type="dxa"/>
            <w:tcMar>
              <w:top w:w="15" w:type="dxa"/>
              <w:left w:w="108" w:type="dxa"/>
              <w:bottom w:w="0" w:type="dxa"/>
              <w:right w:w="108" w:type="dxa"/>
            </w:tcMar>
          </w:tcPr>
          <w:p w:rsidR="00000000" w:rsidRDefault="00000000">
            <w:pPr>
              <w:spacing w:after="0"/>
              <w:rPr>
                <w:sz w:val="19"/>
              </w:rPr>
            </w:pPr>
            <w:r>
              <w:rPr>
                <w:sz w:val="19"/>
              </w:rPr>
              <w:t xml:space="preserve">M. </w:t>
            </w:r>
            <w:proofErr w:type="spellStart"/>
            <w:r>
              <w:rPr>
                <w:sz w:val="19"/>
              </w:rPr>
              <w:t>Gramsh</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rPr>
            </w:pPr>
            <w:r>
              <w:rPr>
                <w:sz w:val="19"/>
              </w:rPr>
              <w:t>4.</w:t>
            </w:r>
          </w:p>
        </w:tc>
        <w:tc>
          <w:tcPr>
            <w:tcW w:w="1784" w:type="dxa"/>
            <w:tcMar>
              <w:top w:w="15" w:type="dxa"/>
              <w:left w:w="108" w:type="dxa"/>
              <w:bottom w:w="0" w:type="dxa"/>
              <w:right w:w="108" w:type="dxa"/>
            </w:tcMar>
          </w:tcPr>
          <w:p w:rsidR="00000000" w:rsidRDefault="00000000">
            <w:pPr>
              <w:spacing w:after="0"/>
              <w:rPr>
                <w:sz w:val="19"/>
              </w:rPr>
            </w:pPr>
            <w:r>
              <w:rPr>
                <w:sz w:val="19"/>
              </w:rPr>
              <w:t xml:space="preserve">M. </w:t>
            </w:r>
            <w:proofErr w:type="spellStart"/>
            <w:r>
              <w:rPr>
                <w:sz w:val="19"/>
              </w:rPr>
              <w:t>Peqin</w:t>
            </w:r>
            <w:proofErr w:type="spellEnd"/>
          </w:p>
        </w:tc>
        <w:tc>
          <w:tcPr>
            <w:tcW w:w="954" w:type="dxa"/>
            <w:tcMar>
              <w:top w:w="15" w:type="dxa"/>
              <w:left w:w="108" w:type="dxa"/>
              <w:bottom w:w="0" w:type="dxa"/>
              <w:right w:w="108" w:type="dxa"/>
            </w:tcMar>
          </w:tcPr>
          <w:p w:rsidR="00000000" w:rsidRDefault="00000000">
            <w:pPr>
              <w:spacing w:after="0"/>
              <w:ind w:right="113"/>
              <w:jc w:val="right"/>
              <w:rPr>
                <w:sz w:val="19"/>
                <w:lang w:val="de-DE"/>
              </w:rPr>
            </w:pPr>
            <w:r>
              <w:rPr>
                <w:sz w:val="19"/>
                <w:lang w:val="de-DE"/>
              </w:rPr>
              <w:t>21</w:t>
            </w:r>
          </w:p>
        </w:tc>
        <w:tc>
          <w:tcPr>
            <w:tcW w:w="850" w:type="dxa"/>
            <w:tcMar>
              <w:top w:w="15" w:type="dxa"/>
              <w:left w:w="108" w:type="dxa"/>
              <w:bottom w:w="0" w:type="dxa"/>
              <w:right w:w="108" w:type="dxa"/>
            </w:tcMar>
          </w:tcPr>
          <w:p w:rsidR="00000000" w:rsidRDefault="00000000">
            <w:pPr>
              <w:spacing w:after="0"/>
              <w:ind w:right="57"/>
              <w:jc w:val="right"/>
              <w:rPr>
                <w:sz w:val="19"/>
                <w:lang w:val="de-DE"/>
              </w:rPr>
            </w:pPr>
            <w:r>
              <w:rPr>
                <w:sz w:val="19"/>
                <w:lang w:val="de-DE"/>
              </w:rPr>
              <w:t>92</w:t>
            </w:r>
          </w:p>
        </w:tc>
        <w:tc>
          <w:tcPr>
            <w:tcW w:w="951" w:type="dxa"/>
            <w:tcMar>
              <w:top w:w="15" w:type="dxa"/>
              <w:left w:w="108" w:type="dxa"/>
              <w:bottom w:w="0" w:type="dxa"/>
              <w:right w:w="108" w:type="dxa"/>
            </w:tcMar>
          </w:tcPr>
          <w:p w:rsidR="00000000" w:rsidRDefault="00000000">
            <w:pPr>
              <w:spacing w:after="0"/>
              <w:ind w:right="57"/>
              <w:jc w:val="right"/>
              <w:rPr>
                <w:sz w:val="19"/>
                <w:lang w:val="de-DE"/>
              </w:rPr>
            </w:pPr>
          </w:p>
        </w:tc>
        <w:tc>
          <w:tcPr>
            <w:tcW w:w="847" w:type="dxa"/>
            <w:tcMar>
              <w:top w:w="15" w:type="dxa"/>
              <w:left w:w="108" w:type="dxa"/>
              <w:bottom w:w="0" w:type="dxa"/>
              <w:right w:w="108" w:type="dxa"/>
            </w:tcMar>
          </w:tcPr>
          <w:p w:rsidR="00000000" w:rsidRDefault="00000000">
            <w:pPr>
              <w:spacing w:after="0"/>
              <w:ind w:right="57"/>
              <w:jc w:val="right"/>
              <w:rPr>
                <w:sz w:val="19"/>
                <w:lang w:val="de-DE"/>
              </w:rPr>
            </w:pPr>
          </w:p>
        </w:tc>
        <w:tc>
          <w:tcPr>
            <w:tcW w:w="712" w:type="dxa"/>
            <w:tcMar>
              <w:top w:w="15" w:type="dxa"/>
              <w:left w:w="108" w:type="dxa"/>
              <w:bottom w:w="0" w:type="dxa"/>
              <w:right w:w="108" w:type="dxa"/>
            </w:tcMar>
          </w:tcPr>
          <w:p w:rsidR="00000000" w:rsidRDefault="00000000">
            <w:pPr>
              <w:spacing w:after="0"/>
              <w:ind w:right="57"/>
              <w:jc w:val="right"/>
              <w:rPr>
                <w:sz w:val="19"/>
                <w:lang w:val="de-DE"/>
              </w:rPr>
            </w:pPr>
          </w:p>
        </w:tc>
        <w:tc>
          <w:tcPr>
            <w:tcW w:w="992" w:type="dxa"/>
            <w:tcMar>
              <w:top w:w="15" w:type="dxa"/>
              <w:left w:w="108" w:type="dxa"/>
              <w:bottom w:w="0" w:type="dxa"/>
              <w:right w:w="108" w:type="dxa"/>
            </w:tcMar>
          </w:tcPr>
          <w:p w:rsidR="00000000" w:rsidRDefault="00000000">
            <w:pPr>
              <w:spacing w:after="0"/>
              <w:ind w:right="284"/>
              <w:jc w:val="right"/>
              <w:rPr>
                <w:sz w:val="19"/>
                <w:lang w:val="de-DE"/>
              </w:rPr>
            </w:pPr>
          </w:p>
        </w:tc>
        <w:tc>
          <w:tcPr>
            <w:tcW w:w="1418" w:type="dxa"/>
            <w:tcMar>
              <w:top w:w="15" w:type="dxa"/>
              <w:left w:w="108" w:type="dxa"/>
              <w:bottom w:w="0" w:type="dxa"/>
              <w:right w:w="108" w:type="dxa"/>
            </w:tcMar>
          </w:tcPr>
          <w:p w:rsidR="00000000" w:rsidRDefault="00000000">
            <w:pPr>
              <w:spacing w:after="0"/>
              <w:ind w:right="454"/>
              <w:jc w:val="right"/>
              <w:rPr>
                <w:sz w:val="19"/>
                <w:lang w:val="de-DE"/>
              </w:rPr>
            </w:pPr>
          </w:p>
        </w:tc>
      </w:tr>
      <w:tr w:rsidR="00000000">
        <w:tc>
          <w:tcPr>
            <w:tcW w:w="848" w:type="dxa"/>
            <w:tcMar>
              <w:top w:w="15" w:type="dxa"/>
              <w:left w:w="108" w:type="dxa"/>
              <w:bottom w:w="0" w:type="dxa"/>
              <w:right w:w="108" w:type="dxa"/>
            </w:tcMar>
          </w:tcPr>
          <w:p w:rsidR="00000000" w:rsidRDefault="00000000">
            <w:pPr>
              <w:spacing w:after="0"/>
              <w:ind w:left="113"/>
              <w:jc w:val="both"/>
              <w:rPr>
                <w:sz w:val="19"/>
                <w:lang w:val="de-DE"/>
              </w:rPr>
            </w:pPr>
            <w:r>
              <w:rPr>
                <w:sz w:val="19"/>
                <w:lang w:val="de-DE"/>
              </w:rPr>
              <w:t>5.</w:t>
            </w:r>
          </w:p>
        </w:tc>
        <w:tc>
          <w:tcPr>
            <w:tcW w:w="1784" w:type="dxa"/>
            <w:tcMar>
              <w:top w:w="15" w:type="dxa"/>
              <w:left w:w="108" w:type="dxa"/>
              <w:bottom w:w="0" w:type="dxa"/>
              <w:right w:w="108" w:type="dxa"/>
            </w:tcMar>
          </w:tcPr>
          <w:p w:rsidR="00000000" w:rsidRDefault="00000000">
            <w:pPr>
              <w:spacing w:after="0"/>
              <w:rPr>
                <w:sz w:val="19"/>
                <w:lang w:val="de-DE"/>
              </w:rPr>
            </w:pPr>
            <w:r>
              <w:rPr>
                <w:sz w:val="19"/>
                <w:lang w:val="de-DE"/>
              </w:rPr>
              <w:t>M. Librazhd</w:t>
            </w:r>
          </w:p>
        </w:tc>
        <w:tc>
          <w:tcPr>
            <w:tcW w:w="954" w:type="dxa"/>
            <w:tcMar>
              <w:top w:w="15" w:type="dxa"/>
              <w:left w:w="108" w:type="dxa"/>
              <w:bottom w:w="0" w:type="dxa"/>
              <w:right w:w="108" w:type="dxa"/>
            </w:tcMar>
          </w:tcPr>
          <w:p w:rsidR="00000000" w:rsidRDefault="00000000">
            <w:pPr>
              <w:spacing w:after="0"/>
              <w:ind w:right="113"/>
              <w:jc w:val="right"/>
              <w:rPr>
                <w:sz w:val="19"/>
                <w:lang w:val="de-DE"/>
              </w:rPr>
            </w:pPr>
            <w:r>
              <w:rPr>
                <w:sz w:val="19"/>
                <w:lang w:val="de-DE"/>
              </w:rPr>
              <w:t>2</w:t>
            </w:r>
          </w:p>
        </w:tc>
        <w:tc>
          <w:tcPr>
            <w:tcW w:w="850" w:type="dxa"/>
            <w:tcMar>
              <w:top w:w="15" w:type="dxa"/>
              <w:left w:w="108" w:type="dxa"/>
              <w:bottom w:w="0" w:type="dxa"/>
              <w:right w:w="108" w:type="dxa"/>
            </w:tcMar>
          </w:tcPr>
          <w:p w:rsidR="00000000" w:rsidRDefault="00000000">
            <w:pPr>
              <w:spacing w:after="0"/>
              <w:ind w:right="57"/>
              <w:jc w:val="right"/>
              <w:rPr>
                <w:sz w:val="19"/>
                <w:lang w:val="de-DE"/>
              </w:rPr>
            </w:pPr>
            <w:r>
              <w:rPr>
                <w:sz w:val="19"/>
                <w:lang w:val="de-DE"/>
              </w:rPr>
              <w:t>39</w:t>
            </w:r>
          </w:p>
        </w:tc>
        <w:tc>
          <w:tcPr>
            <w:tcW w:w="951" w:type="dxa"/>
            <w:tcMar>
              <w:top w:w="15" w:type="dxa"/>
              <w:left w:w="108" w:type="dxa"/>
              <w:bottom w:w="0" w:type="dxa"/>
              <w:right w:w="108" w:type="dxa"/>
            </w:tcMar>
          </w:tcPr>
          <w:p w:rsidR="00000000" w:rsidRDefault="00000000">
            <w:pPr>
              <w:spacing w:after="0"/>
              <w:ind w:right="57"/>
              <w:jc w:val="right"/>
              <w:rPr>
                <w:sz w:val="19"/>
                <w:lang w:val="de-DE"/>
              </w:rPr>
            </w:pPr>
          </w:p>
        </w:tc>
        <w:tc>
          <w:tcPr>
            <w:tcW w:w="847" w:type="dxa"/>
            <w:tcMar>
              <w:top w:w="15" w:type="dxa"/>
              <w:left w:w="108" w:type="dxa"/>
              <w:bottom w:w="0" w:type="dxa"/>
              <w:right w:w="108" w:type="dxa"/>
            </w:tcMar>
          </w:tcPr>
          <w:p w:rsidR="00000000" w:rsidRDefault="00000000">
            <w:pPr>
              <w:spacing w:after="0"/>
              <w:ind w:right="57"/>
              <w:jc w:val="right"/>
              <w:rPr>
                <w:sz w:val="19"/>
                <w:lang w:val="de-DE"/>
              </w:rPr>
            </w:pPr>
          </w:p>
        </w:tc>
        <w:tc>
          <w:tcPr>
            <w:tcW w:w="712" w:type="dxa"/>
            <w:tcMar>
              <w:top w:w="15" w:type="dxa"/>
              <w:left w:w="108" w:type="dxa"/>
              <w:bottom w:w="0" w:type="dxa"/>
              <w:right w:w="108" w:type="dxa"/>
            </w:tcMar>
          </w:tcPr>
          <w:p w:rsidR="00000000" w:rsidRDefault="00000000">
            <w:pPr>
              <w:spacing w:after="0"/>
              <w:ind w:right="57"/>
              <w:jc w:val="right"/>
              <w:rPr>
                <w:sz w:val="19"/>
                <w:lang w:val="de-DE"/>
              </w:rPr>
            </w:pPr>
          </w:p>
        </w:tc>
        <w:tc>
          <w:tcPr>
            <w:tcW w:w="992" w:type="dxa"/>
            <w:tcMar>
              <w:top w:w="15" w:type="dxa"/>
              <w:left w:w="108" w:type="dxa"/>
              <w:bottom w:w="0" w:type="dxa"/>
              <w:right w:w="108" w:type="dxa"/>
            </w:tcMar>
          </w:tcPr>
          <w:p w:rsidR="00000000" w:rsidRDefault="00000000">
            <w:pPr>
              <w:spacing w:after="0"/>
              <w:ind w:right="284"/>
              <w:jc w:val="right"/>
              <w:rPr>
                <w:sz w:val="19"/>
                <w:lang w:val="de-DE"/>
              </w:rPr>
            </w:pPr>
          </w:p>
        </w:tc>
        <w:tc>
          <w:tcPr>
            <w:tcW w:w="1418" w:type="dxa"/>
            <w:tcMar>
              <w:top w:w="15" w:type="dxa"/>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bottom w:val="single" w:sz="4" w:space="0" w:color="auto"/>
            </w:tcBorders>
            <w:tcMar>
              <w:top w:w="15" w:type="dxa"/>
              <w:left w:w="108" w:type="dxa"/>
              <w:bottom w:w="0" w:type="dxa"/>
              <w:right w:w="108" w:type="dxa"/>
            </w:tcMar>
          </w:tcPr>
          <w:p w:rsidR="00000000" w:rsidRDefault="00000000">
            <w:pPr>
              <w:spacing w:after="0"/>
              <w:ind w:left="113"/>
              <w:jc w:val="both"/>
              <w:rPr>
                <w:sz w:val="19"/>
                <w:lang w:val="de-DE"/>
              </w:rPr>
            </w:pPr>
            <w:r>
              <w:rPr>
                <w:sz w:val="19"/>
                <w:lang w:val="de-DE"/>
              </w:rPr>
              <w:t>6.</w:t>
            </w:r>
          </w:p>
        </w:tc>
        <w:tc>
          <w:tcPr>
            <w:tcW w:w="1784" w:type="dxa"/>
            <w:tcBorders>
              <w:bottom w:val="single" w:sz="4" w:space="0" w:color="auto"/>
            </w:tcBorders>
            <w:tcMar>
              <w:top w:w="15" w:type="dxa"/>
              <w:left w:w="108" w:type="dxa"/>
              <w:bottom w:w="0" w:type="dxa"/>
              <w:right w:w="108" w:type="dxa"/>
            </w:tcMar>
          </w:tcPr>
          <w:p w:rsidR="00000000" w:rsidRDefault="00000000">
            <w:pPr>
              <w:spacing w:after="0"/>
              <w:rPr>
                <w:sz w:val="19"/>
                <w:lang w:val="de-DE"/>
              </w:rPr>
            </w:pPr>
            <w:r>
              <w:rPr>
                <w:sz w:val="19"/>
                <w:lang w:val="de-DE"/>
              </w:rPr>
              <w:t>M. Prrenjas</w:t>
            </w:r>
          </w:p>
        </w:tc>
        <w:tc>
          <w:tcPr>
            <w:tcW w:w="954" w:type="dxa"/>
            <w:tcBorders>
              <w:bottom w:val="single" w:sz="4" w:space="0" w:color="auto"/>
            </w:tcBorders>
            <w:tcMar>
              <w:top w:w="15" w:type="dxa"/>
              <w:left w:w="108" w:type="dxa"/>
              <w:bottom w:w="0" w:type="dxa"/>
              <w:right w:w="108" w:type="dxa"/>
            </w:tcMar>
          </w:tcPr>
          <w:p w:rsidR="00000000" w:rsidRDefault="00000000">
            <w:pPr>
              <w:spacing w:after="0"/>
              <w:ind w:right="113"/>
              <w:jc w:val="right"/>
              <w:rPr>
                <w:sz w:val="19"/>
                <w:lang w:val="de-DE"/>
              </w:rPr>
            </w:pPr>
          </w:p>
        </w:tc>
        <w:tc>
          <w:tcPr>
            <w:tcW w:w="850"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de-DE"/>
              </w:rPr>
            </w:pPr>
          </w:p>
        </w:tc>
        <w:tc>
          <w:tcPr>
            <w:tcW w:w="951"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de-DE"/>
              </w:rPr>
            </w:pPr>
          </w:p>
        </w:tc>
        <w:tc>
          <w:tcPr>
            <w:tcW w:w="847"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de-DE"/>
              </w:rPr>
            </w:pPr>
          </w:p>
        </w:tc>
        <w:tc>
          <w:tcPr>
            <w:tcW w:w="712" w:type="dxa"/>
            <w:tcBorders>
              <w:bottom w:val="single" w:sz="4" w:space="0" w:color="auto"/>
            </w:tcBorders>
            <w:tcMar>
              <w:top w:w="15" w:type="dxa"/>
              <w:left w:w="108" w:type="dxa"/>
              <w:bottom w:w="0" w:type="dxa"/>
              <w:right w:w="108" w:type="dxa"/>
            </w:tcMar>
          </w:tcPr>
          <w:p w:rsidR="00000000" w:rsidRDefault="00000000">
            <w:pPr>
              <w:spacing w:after="0"/>
              <w:ind w:right="57"/>
              <w:jc w:val="right"/>
              <w:rPr>
                <w:sz w:val="19"/>
                <w:lang w:val="de-DE"/>
              </w:rPr>
            </w:pPr>
          </w:p>
        </w:tc>
        <w:tc>
          <w:tcPr>
            <w:tcW w:w="992" w:type="dxa"/>
            <w:tcBorders>
              <w:bottom w:val="single" w:sz="4" w:space="0" w:color="auto"/>
            </w:tcBorders>
            <w:tcMar>
              <w:top w:w="15" w:type="dxa"/>
              <w:left w:w="108" w:type="dxa"/>
              <w:bottom w:w="0" w:type="dxa"/>
              <w:right w:w="108" w:type="dxa"/>
            </w:tcMar>
          </w:tcPr>
          <w:p w:rsidR="00000000" w:rsidRDefault="00000000">
            <w:pPr>
              <w:spacing w:after="0"/>
              <w:ind w:right="284"/>
              <w:jc w:val="right"/>
              <w:rPr>
                <w:sz w:val="19"/>
                <w:lang w:val="de-DE"/>
              </w:rPr>
            </w:pPr>
          </w:p>
        </w:tc>
        <w:tc>
          <w:tcPr>
            <w:tcW w:w="1418" w:type="dxa"/>
            <w:tcBorders>
              <w:bottom w:val="single" w:sz="4" w:space="0" w:color="auto"/>
            </w:tcBorders>
            <w:tcMar>
              <w:top w:w="15" w:type="dxa"/>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top w:val="single" w:sz="4" w:space="0" w:color="auto"/>
              <w:bottom w:val="nil"/>
            </w:tcBorders>
            <w:tcMar>
              <w:top w:w="15" w:type="dxa"/>
              <w:left w:w="108" w:type="dxa"/>
              <w:bottom w:w="0" w:type="dxa"/>
              <w:right w:w="108" w:type="dxa"/>
            </w:tcMar>
          </w:tcPr>
          <w:p w:rsidR="00000000" w:rsidRDefault="00000000">
            <w:pPr>
              <w:spacing w:after="0"/>
              <w:ind w:left="113"/>
              <w:rPr>
                <w:sz w:val="19"/>
                <w:lang w:val="de-DE"/>
              </w:rPr>
            </w:pPr>
            <w:r>
              <w:rPr>
                <w:sz w:val="19"/>
                <w:lang w:val="de-DE"/>
              </w:rPr>
              <w:t>V.</w:t>
            </w:r>
          </w:p>
        </w:tc>
        <w:tc>
          <w:tcPr>
            <w:tcW w:w="1784" w:type="dxa"/>
            <w:tcBorders>
              <w:top w:val="single" w:sz="4" w:space="0" w:color="auto"/>
              <w:bottom w:val="nil"/>
            </w:tcBorders>
            <w:tcMar>
              <w:top w:w="15" w:type="dxa"/>
              <w:left w:w="108" w:type="dxa"/>
              <w:bottom w:w="0" w:type="dxa"/>
              <w:right w:w="108" w:type="dxa"/>
            </w:tcMar>
          </w:tcPr>
          <w:p w:rsidR="00000000" w:rsidRDefault="00000000">
            <w:pPr>
              <w:spacing w:after="0"/>
              <w:rPr>
                <w:sz w:val="19"/>
                <w:lang w:val="de-DE"/>
              </w:rPr>
            </w:pPr>
            <w:r>
              <w:rPr>
                <w:sz w:val="19"/>
                <w:lang w:val="de-DE"/>
              </w:rPr>
              <w:t>Region Kukes</w:t>
            </w:r>
          </w:p>
        </w:tc>
        <w:tc>
          <w:tcPr>
            <w:tcW w:w="954" w:type="dxa"/>
            <w:tcBorders>
              <w:top w:val="single" w:sz="4" w:space="0" w:color="auto"/>
              <w:bottom w:val="nil"/>
            </w:tcBorders>
            <w:tcMar>
              <w:top w:w="15" w:type="dxa"/>
              <w:left w:w="108" w:type="dxa"/>
              <w:bottom w:w="0" w:type="dxa"/>
              <w:right w:w="108" w:type="dxa"/>
            </w:tcMar>
          </w:tcPr>
          <w:p w:rsidR="00000000" w:rsidRDefault="00000000">
            <w:pPr>
              <w:spacing w:after="0"/>
              <w:ind w:right="113"/>
              <w:jc w:val="right"/>
              <w:rPr>
                <w:sz w:val="19"/>
                <w:lang w:val="de-DE"/>
              </w:rPr>
            </w:pPr>
          </w:p>
        </w:tc>
        <w:tc>
          <w:tcPr>
            <w:tcW w:w="850"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p>
        </w:tc>
        <w:tc>
          <w:tcPr>
            <w:tcW w:w="951"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p>
        </w:tc>
        <w:tc>
          <w:tcPr>
            <w:tcW w:w="847"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p>
        </w:tc>
        <w:tc>
          <w:tcPr>
            <w:tcW w:w="712" w:type="dxa"/>
            <w:tcBorders>
              <w:top w:val="single" w:sz="4" w:space="0" w:color="auto"/>
              <w:bottom w:val="nil"/>
            </w:tcBorders>
            <w:tcMar>
              <w:top w:w="15" w:type="dxa"/>
              <w:left w:w="108" w:type="dxa"/>
              <w:bottom w:w="0" w:type="dxa"/>
              <w:right w:w="108" w:type="dxa"/>
            </w:tcMar>
          </w:tcPr>
          <w:p w:rsidR="00000000" w:rsidRDefault="00000000">
            <w:pPr>
              <w:spacing w:after="0"/>
              <w:ind w:right="57"/>
              <w:jc w:val="right"/>
              <w:rPr>
                <w:sz w:val="19"/>
                <w:lang w:val="de-DE"/>
              </w:rPr>
            </w:pPr>
          </w:p>
        </w:tc>
        <w:tc>
          <w:tcPr>
            <w:tcW w:w="992" w:type="dxa"/>
            <w:tcBorders>
              <w:top w:val="single" w:sz="4" w:space="0" w:color="auto"/>
              <w:bottom w:val="nil"/>
            </w:tcBorders>
            <w:tcMar>
              <w:top w:w="15" w:type="dxa"/>
              <w:left w:w="108" w:type="dxa"/>
              <w:bottom w:w="0" w:type="dxa"/>
              <w:right w:w="108" w:type="dxa"/>
            </w:tcMar>
          </w:tcPr>
          <w:p w:rsidR="00000000" w:rsidRDefault="00000000">
            <w:pPr>
              <w:spacing w:after="0"/>
              <w:ind w:right="284"/>
              <w:jc w:val="right"/>
              <w:rPr>
                <w:sz w:val="19"/>
                <w:lang w:val="de-DE"/>
              </w:rPr>
            </w:pPr>
          </w:p>
        </w:tc>
        <w:tc>
          <w:tcPr>
            <w:tcW w:w="1418" w:type="dxa"/>
            <w:tcBorders>
              <w:top w:val="single" w:sz="4" w:space="0" w:color="auto"/>
              <w:bottom w:val="nil"/>
            </w:tcBorders>
            <w:tcMar>
              <w:top w:w="15" w:type="dxa"/>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top w:val="nil"/>
            </w:tcBorders>
            <w:tcMar>
              <w:top w:w="15" w:type="dxa"/>
              <w:left w:w="108" w:type="dxa"/>
              <w:bottom w:w="0" w:type="dxa"/>
              <w:right w:w="108" w:type="dxa"/>
            </w:tcMar>
          </w:tcPr>
          <w:p w:rsidR="00000000" w:rsidRDefault="00000000">
            <w:pPr>
              <w:spacing w:after="0"/>
              <w:ind w:left="113"/>
              <w:rPr>
                <w:sz w:val="19"/>
                <w:lang w:val="de-DE"/>
              </w:rPr>
            </w:pPr>
            <w:r>
              <w:rPr>
                <w:sz w:val="19"/>
                <w:lang w:val="de-DE"/>
              </w:rPr>
              <w:t>1.</w:t>
            </w:r>
          </w:p>
        </w:tc>
        <w:tc>
          <w:tcPr>
            <w:tcW w:w="1784" w:type="dxa"/>
            <w:tcBorders>
              <w:top w:val="nil"/>
            </w:tcBorders>
            <w:tcMar>
              <w:top w:w="15" w:type="dxa"/>
              <w:left w:w="108" w:type="dxa"/>
              <w:bottom w:w="0" w:type="dxa"/>
              <w:right w:w="108" w:type="dxa"/>
            </w:tcMar>
          </w:tcPr>
          <w:p w:rsidR="00000000" w:rsidRDefault="00000000">
            <w:pPr>
              <w:spacing w:after="0"/>
              <w:rPr>
                <w:sz w:val="19"/>
                <w:lang w:val="de-DE"/>
              </w:rPr>
            </w:pPr>
            <w:r>
              <w:rPr>
                <w:sz w:val="19"/>
                <w:lang w:val="de-DE"/>
              </w:rPr>
              <w:t>M. Kukes</w:t>
            </w:r>
          </w:p>
        </w:tc>
        <w:tc>
          <w:tcPr>
            <w:tcW w:w="954" w:type="dxa"/>
            <w:tcBorders>
              <w:top w:val="nil"/>
            </w:tcBorders>
            <w:tcMar>
              <w:top w:w="15" w:type="dxa"/>
              <w:left w:w="108" w:type="dxa"/>
              <w:bottom w:w="0" w:type="dxa"/>
              <w:right w:w="108" w:type="dxa"/>
            </w:tcMar>
          </w:tcPr>
          <w:p w:rsidR="00000000" w:rsidRDefault="00000000">
            <w:pPr>
              <w:spacing w:after="0"/>
              <w:ind w:right="113"/>
              <w:jc w:val="right"/>
              <w:rPr>
                <w:sz w:val="19"/>
                <w:lang w:val="de-DE"/>
              </w:rPr>
            </w:pPr>
          </w:p>
        </w:tc>
        <w:tc>
          <w:tcPr>
            <w:tcW w:w="850"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p>
        </w:tc>
        <w:tc>
          <w:tcPr>
            <w:tcW w:w="951"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p>
        </w:tc>
        <w:tc>
          <w:tcPr>
            <w:tcW w:w="847"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p>
        </w:tc>
        <w:tc>
          <w:tcPr>
            <w:tcW w:w="712" w:type="dxa"/>
            <w:tcBorders>
              <w:top w:val="nil"/>
            </w:tcBorders>
            <w:tcMar>
              <w:top w:w="15" w:type="dxa"/>
              <w:left w:w="108" w:type="dxa"/>
              <w:bottom w:w="0" w:type="dxa"/>
              <w:right w:w="108" w:type="dxa"/>
            </w:tcMar>
          </w:tcPr>
          <w:p w:rsidR="00000000" w:rsidRDefault="00000000">
            <w:pPr>
              <w:spacing w:after="0"/>
              <w:ind w:right="57"/>
              <w:jc w:val="right"/>
              <w:rPr>
                <w:sz w:val="19"/>
                <w:lang w:val="de-DE"/>
              </w:rPr>
            </w:pPr>
          </w:p>
        </w:tc>
        <w:tc>
          <w:tcPr>
            <w:tcW w:w="992" w:type="dxa"/>
            <w:tcBorders>
              <w:top w:val="nil"/>
            </w:tcBorders>
            <w:tcMar>
              <w:top w:w="15" w:type="dxa"/>
              <w:left w:w="108" w:type="dxa"/>
              <w:bottom w:w="0" w:type="dxa"/>
              <w:right w:w="108" w:type="dxa"/>
            </w:tcMar>
          </w:tcPr>
          <w:p w:rsidR="00000000" w:rsidRDefault="00000000">
            <w:pPr>
              <w:spacing w:after="0"/>
              <w:ind w:right="284"/>
              <w:jc w:val="right"/>
              <w:rPr>
                <w:sz w:val="19"/>
                <w:lang w:val="de-DE"/>
              </w:rPr>
            </w:pPr>
          </w:p>
        </w:tc>
        <w:tc>
          <w:tcPr>
            <w:tcW w:w="1418" w:type="dxa"/>
            <w:tcBorders>
              <w:top w:val="nil"/>
            </w:tcBorders>
            <w:tcMar>
              <w:top w:w="15" w:type="dxa"/>
              <w:left w:w="108" w:type="dxa"/>
              <w:bottom w:w="0" w:type="dxa"/>
              <w:right w:w="108" w:type="dxa"/>
            </w:tcMar>
          </w:tcPr>
          <w:p w:rsidR="00000000" w:rsidRDefault="00000000">
            <w:pPr>
              <w:spacing w:after="0"/>
              <w:ind w:right="454"/>
              <w:jc w:val="right"/>
              <w:rPr>
                <w:sz w:val="19"/>
                <w:lang w:val="de-DE"/>
              </w:rPr>
            </w:pPr>
          </w:p>
        </w:tc>
      </w:tr>
      <w:tr w:rsidR="00000000">
        <w:tc>
          <w:tcPr>
            <w:tcW w:w="848" w:type="dxa"/>
            <w:tcMar>
              <w:top w:w="15" w:type="dxa"/>
              <w:left w:w="108" w:type="dxa"/>
              <w:bottom w:w="0" w:type="dxa"/>
              <w:right w:w="108" w:type="dxa"/>
            </w:tcMar>
          </w:tcPr>
          <w:p w:rsidR="00000000" w:rsidRDefault="00000000">
            <w:pPr>
              <w:spacing w:after="0"/>
              <w:ind w:left="113"/>
              <w:rPr>
                <w:sz w:val="19"/>
                <w:lang w:val="nl-NL"/>
              </w:rPr>
            </w:pPr>
            <w:r>
              <w:rPr>
                <w:sz w:val="19"/>
                <w:lang w:val="nl-NL"/>
              </w:rPr>
              <w:t>2.</w:t>
            </w:r>
          </w:p>
        </w:tc>
        <w:tc>
          <w:tcPr>
            <w:tcW w:w="1784" w:type="dxa"/>
            <w:tcMar>
              <w:top w:w="15" w:type="dxa"/>
              <w:left w:w="108" w:type="dxa"/>
              <w:bottom w:w="0" w:type="dxa"/>
              <w:right w:w="108" w:type="dxa"/>
            </w:tcMar>
          </w:tcPr>
          <w:p w:rsidR="00000000" w:rsidRDefault="00000000">
            <w:pPr>
              <w:spacing w:after="0"/>
              <w:rPr>
                <w:sz w:val="19"/>
                <w:lang w:val="nl-NL"/>
              </w:rPr>
            </w:pPr>
            <w:r>
              <w:rPr>
                <w:sz w:val="19"/>
                <w:lang w:val="nl-NL"/>
              </w:rPr>
              <w:t>C. Bicaj</w:t>
            </w:r>
          </w:p>
        </w:tc>
        <w:tc>
          <w:tcPr>
            <w:tcW w:w="954" w:type="dxa"/>
            <w:tcMar>
              <w:top w:w="15" w:type="dxa"/>
              <w:left w:w="108" w:type="dxa"/>
              <w:bottom w:w="0" w:type="dxa"/>
              <w:right w:w="108" w:type="dxa"/>
            </w:tcMar>
          </w:tcPr>
          <w:p w:rsidR="00000000" w:rsidRDefault="00000000">
            <w:pPr>
              <w:spacing w:after="0"/>
              <w:ind w:right="113"/>
              <w:jc w:val="right"/>
              <w:rPr>
                <w:sz w:val="19"/>
                <w:lang w:val="nl-NL"/>
              </w:rPr>
            </w:pPr>
          </w:p>
        </w:tc>
        <w:tc>
          <w:tcPr>
            <w:tcW w:w="850" w:type="dxa"/>
            <w:tcMar>
              <w:top w:w="15" w:type="dxa"/>
              <w:left w:w="108" w:type="dxa"/>
              <w:bottom w:w="0" w:type="dxa"/>
              <w:right w:w="108" w:type="dxa"/>
            </w:tcMar>
          </w:tcPr>
          <w:p w:rsidR="00000000" w:rsidRDefault="00000000">
            <w:pPr>
              <w:spacing w:after="0"/>
              <w:ind w:right="57"/>
              <w:jc w:val="right"/>
              <w:rPr>
                <w:sz w:val="19"/>
                <w:lang w:val="nl-NL"/>
              </w:rPr>
            </w:pPr>
          </w:p>
        </w:tc>
        <w:tc>
          <w:tcPr>
            <w:tcW w:w="951" w:type="dxa"/>
            <w:tcMar>
              <w:top w:w="15" w:type="dxa"/>
              <w:left w:w="108" w:type="dxa"/>
              <w:bottom w:w="0" w:type="dxa"/>
              <w:right w:w="108" w:type="dxa"/>
            </w:tcMar>
          </w:tcPr>
          <w:p w:rsidR="00000000" w:rsidRDefault="00000000">
            <w:pPr>
              <w:spacing w:after="0"/>
              <w:ind w:right="57"/>
              <w:jc w:val="right"/>
              <w:rPr>
                <w:sz w:val="19"/>
                <w:lang w:val="nl-NL"/>
              </w:rPr>
            </w:pPr>
          </w:p>
        </w:tc>
        <w:tc>
          <w:tcPr>
            <w:tcW w:w="847" w:type="dxa"/>
            <w:tcMar>
              <w:top w:w="15" w:type="dxa"/>
              <w:left w:w="108" w:type="dxa"/>
              <w:bottom w:w="0" w:type="dxa"/>
              <w:right w:w="108" w:type="dxa"/>
            </w:tcMar>
          </w:tcPr>
          <w:p w:rsidR="00000000" w:rsidRDefault="00000000">
            <w:pPr>
              <w:spacing w:after="0"/>
              <w:ind w:right="57"/>
              <w:jc w:val="right"/>
              <w:rPr>
                <w:sz w:val="19"/>
                <w:lang w:val="nl-NL"/>
              </w:rPr>
            </w:pPr>
          </w:p>
        </w:tc>
        <w:tc>
          <w:tcPr>
            <w:tcW w:w="712" w:type="dxa"/>
            <w:tcMar>
              <w:top w:w="15" w:type="dxa"/>
              <w:left w:w="108" w:type="dxa"/>
              <w:bottom w:w="0" w:type="dxa"/>
              <w:right w:w="108" w:type="dxa"/>
            </w:tcMar>
          </w:tcPr>
          <w:p w:rsidR="00000000" w:rsidRDefault="00000000">
            <w:pPr>
              <w:spacing w:after="0"/>
              <w:ind w:right="57"/>
              <w:jc w:val="right"/>
              <w:rPr>
                <w:sz w:val="19"/>
                <w:lang w:val="nl-NL"/>
              </w:rPr>
            </w:pPr>
          </w:p>
        </w:tc>
        <w:tc>
          <w:tcPr>
            <w:tcW w:w="992" w:type="dxa"/>
            <w:tcMar>
              <w:top w:w="15" w:type="dxa"/>
              <w:left w:w="108" w:type="dxa"/>
              <w:bottom w:w="0" w:type="dxa"/>
              <w:right w:w="108" w:type="dxa"/>
            </w:tcMar>
          </w:tcPr>
          <w:p w:rsidR="00000000" w:rsidRDefault="00000000">
            <w:pPr>
              <w:spacing w:after="0"/>
              <w:ind w:right="284"/>
              <w:jc w:val="right"/>
              <w:rPr>
                <w:sz w:val="19"/>
                <w:lang w:val="nl-NL"/>
              </w:rPr>
            </w:pPr>
          </w:p>
        </w:tc>
        <w:tc>
          <w:tcPr>
            <w:tcW w:w="1418" w:type="dxa"/>
            <w:tcMar>
              <w:top w:w="15" w:type="dxa"/>
              <w:left w:w="108" w:type="dxa"/>
              <w:bottom w:w="0" w:type="dxa"/>
              <w:right w:w="108" w:type="dxa"/>
            </w:tcMar>
          </w:tcPr>
          <w:p w:rsidR="00000000" w:rsidRDefault="00000000">
            <w:pPr>
              <w:spacing w:after="0"/>
              <w:ind w:right="454"/>
              <w:jc w:val="right"/>
              <w:rPr>
                <w:sz w:val="19"/>
                <w:lang w:val="nl-NL"/>
              </w:rPr>
            </w:pPr>
          </w:p>
        </w:tc>
      </w:tr>
      <w:tr w:rsidR="00000000">
        <w:tc>
          <w:tcPr>
            <w:tcW w:w="848" w:type="dxa"/>
            <w:tcMar>
              <w:top w:w="15" w:type="dxa"/>
              <w:left w:w="108" w:type="dxa"/>
              <w:bottom w:w="0" w:type="dxa"/>
              <w:right w:w="108" w:type="dxa"/>
            </w:tcMar>
          </w:tcPr>
          <w:p w:rsidR="00000000" w:rsidRDefault="00000000">
            <w:pPr>
              <w:spacing w:after="0"/>
              <w:ind w:left="113"/>
              <w:rPr>
                <w:sz w:val="19"/>
                <w:lang w:val="nl-NL"/>
              </w:rPr>
            </w:pPr>
            <w:r>
              <w:rPr>
                <w:sz w:val="19"/>
                <w:lang w:val="nl-NL"/>
              </w:rPr>
              <w:t>3.</w:t>
            </w:r>
          </w:p>
        </w:tc>
        <w:tc>
          <w:tcPr>
            <w:tcW w:w="1784" w:type="dxa"/>
            <w:tcMar>
              <w:top w:w="15" w:type="dxa"/>
              <w:left w:w="108" w:type="dxa"/>
              <w:bottom w:w="0" w:type="dxa"/>
              <w:right w:w="108" w:type="dxa"/>
            </w:tcMar>
          </w:tcPr>
          <w:p w:rsidR="00000000" w:rsidRDefault="00000000">
            <w:pPr>
              <w:spacing w:after="0"/>
              <w:rPr>
                <w:sz w:val="19"/>
                <w:lang w:val="nl-NL"/>
              </w:rPr>
            </w:pPr>
            <w:r>
              <w:rPr>
                <w:sz w:val="19"/>
                <w:lang w:val="nl-NL"/>
              </w:rPr>
              <w:t>C. Malzi</w:t>
            </w:r>
          </w:p>
        </w:tc>
        <w:tc>
          <w:tcPr>
            <w:tcW w:w="954" w:type="dxa"/>
            <w:tcMar>
              <w:top w:w="15" w:type="dxa"/>
              <w:left w:w="108" w:type="dxa"/>
              <w:bottom w:w="0" w:type="dxa"/>
              <w:right w:w="108" w:type="dxa"/>
            </w:tcMar>
          </w:tcPr>
          <w:p w:rsidR="00000000" w:rsidRDefault="00000000">
            <w:pPr>
              <w:spacing w:after="0"/>
              <w:ind w:right="113"/>
              <w:jc w:val="right"/>
              <w:rPr>
                <w:sz w:val="19"/>
                <w:lang w:val="nl-NL"/>
              </w:rPr>
            </w:pPr>
          </w:p>
        </w:tc>
        <w:tc>
          <w:tcPr>
            <w:tcW w:w="850" w:type="dxa"/>
            <w:tcMar>
              <w:top w:w="15" w:type="dxa"/>
              <w:left w:w="108" w:type="dxa"/>
              <w:bottom w:w="0" w:type="dxa"/>
              <w:right w:w="108" w:type="dxa"/>
            </w:tcMar>
          </w:tcPr>
          <w:p w:rsidR="00000000" w:rsidRDefault="00000000">
            <w:pPr>
              <w:spacing w:after="0"/>
              <w:ind w:right="57"/>
              <w:jc w:val="right"/>
              <w:rPr>
                <w:sz w:val="19"/>
                <w:lang w:val="nl-NL"/>
              </w:rPr>
            </w:pPr>
          </w:p>
        </w:tc>
        <w:tc>
          <w:tcPr>
            <w:tcW w:w="951" w:type="dxa"/>
            <w:tcMar>
              <w:top w:w="15" w:type="dxa"/>
              <w:left w:w="108" w:type="dxa"/>
              <w:bottom w:w="0" w:type="dxa"/>
              <w:right w:w="108" w:type="dxa"/>
            </w:tcMar>
          </w:tcPr>
          <w:p w:rsidR="00000000" w:rsidRDefault="00000000">
            <w:pPr>
              <w:spacing w:after="0"/>
              <w:ind w:right="57"/>
              <w:jc w:val="right"/>
              <w:rPr>
                <w:sz w:val="19"/>
                <w:lang w:val="nl-NL"/>
              </w:rPr>
            </w:pPr>
          </w:p>
        </w:tc>
        <w:tc>
          <w:tcPr>
            <w:tcW w:w="847" w:type="dxa"/>
            <w:tcMar>
              <w:top w:w="15" w:type="dxa"/>
              <w:left w:w="108" w:type="dxa"/>
              <w:bottom w:w="0" w:type="dxa"/>
              <w:right w:w="108" w:type="dxa"/>
            </w:tcMar>
          </w:tcPr>
          <w:p w:rsidR="00000000" w:rsidRDefault="00000000">
            <w:pPr>
              <w:spacing w:after="0"/>
              <w:ind w:right="57"/>
              <w:jc w:val="right"/>
              <w:rPr>
                <w:sz w:val="19"/>
                <w:lang w:val="nl-NL"/>
              </w:rPr>
            </w:pPr>
          </w:p>
        </w:tc>
        <w:tc>
          <w:tcPr>
            <w:tcW w:w="712" w:type="dxa"/>
            <w:tcMar>
              <w:top w:w="15" w:type="dxa"/>
              <w:left w:w="108" w:type="dxa"/>
              <w:bottom w:w="0" w:type="dxa"/>
              <w:right w:w="108" w:type="dxa"/>
            </w:tcMar>
          </w:tcPr>
          <w:p w:rsidR="00000000" w:rsidRDefault="00000000">
            <w:pPr>
              <w:spacing w:after="0"/>
              <w:ind w:right="57"/>
              <w:jc w:val="right"/>
              <w:rPr>
                <w:sz w:val="19"/>
                <w:lang w:val="nl-NL"/>
              </w:rPr>
            </w:pPr>
          </w:p>
        </w:tc>
        <w:tc>
          <w:tcPr>
            <w:tcW w:w="992" w:type="dxa"/>
            <w:tcMar>
              <w:top w:w="15" w:type="dxa"/>
              <w:left w:w="108" w:type="dxa"/>
              <w:bottom w:w="0" w:type="dxa"/>
              <w:right w:w="108" w:type="dxa"/>
            </w:tcMar>
          </w:tcPr>
          <w:p w:rsidR="00000000" w:rsidRDefault="00000000">
            <w:pPr>
              <w:spacing w:after="0"/>
              <w:ind w:right="284"/>
              <w:jc w:val="right"/>
              <w:rPr>
                <w:sz w:val="19"/>
                <w:lang w:val="nl-NL"/>
              </w:rPr>
            </w:pPr>
          </w:p>
        </w:tc>
        <w:tc>
          <w:tcPr>
            <w:tcW w:w="1418" w:type="dxa"/>
            <w:tcMar>
              <w:top w:w="15" w:type="dxa"/>
              <w:left w:w="108" w:type="dxa"/>
              <w:bottom w:w="0" w:type="dxa"/>
              <w:right w:w="108" w:type="dxa"/>
            </w:tcMar>
          </w:tcPr>
          <w:p w:rsidR="00000000" w:rsidRDefault="00000000">
            <w:pPr>
              <w:spacing w:after="0"/>
              <w:ind w:right="454"/>
              <w:jc w:val="right"/>
              <w:rPr>
                <w:sz w:val="19"/>
                <w:lang w:val="nl-NL"/>
              </w:rPr>
            </w:pPr>
          </w:p>
        </w:tc>
      </w:tr>
      <w:tr w:rsidR="00000000">
        <w:tc>
          <w:tcPr>
            <w:tcW w:w="848" w:type="dxa"/>
            <w:tcMar>
              <w:top w:w="15" w:type="dxa"/>
              <w:left w:w="108" w:type="dxa"/>
              <w:bottom w:w="0" w:type="dxa"/>
              <w:right w:w="108" w:type="dxa"/>
            </w:tcMar>
          </w:tcPr>
          <w:p w:rsidR="00000000" w:rsidRDefault="00000000">
            <w:pPr>
              <w:spacing w:after="0"/>
              <w:ind w:left="113"/>
              <w:rPr>
                <w:sz w:val="19"/>
              </w:rPr>
            </w:pPr>
            <w:r>
              <w:rPr>
                <w:sz w:val="19"/>
              </w:rPr>
              <w:t>4.</w:t>
            </w:r>
          </w:p>
        </w:tc>
        <w:tc>
          <w:tcPr>
            <w:tcW w:w="1784" w:type="dxa"/>
            <w:tcMar>
              <w:top w:w="15" w:type="dxa"/>
              <w:left w:w="108" w:type="dxa"/>
              <w:bottom w:w="0" w:type="dxa"/>
              <w:right w:w="108" w:type="dxa"/>
            </w:tcMar>
          </w:tcPr>
          <w:p w:rsidR="00000000" w:rsidRDefault="00000000">
            <w:pPr>
              <w:spacing w:after="0"/>
              <w:rPr>
                <w:sz w:val="19"/>
              </w:rPr>
            </w:pPr>
            <w:r>
              <w:rPr>
                <w:sz w:val="19"/>
              </w:rPr>
              <w:t xml:space="preserve">C. </w:t>
            </w:r>
            <w:proofErr w:type="spellStart"/>
            <w:r>
              <w:rPr>
                <w:sz w:val="19"/>
              </w:rPr>
              <w:t>Ujmisht</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rPr>
                <w:sz w:val="19"/>
              </w:rPr>
            </w:pPr>
            <w:r>
              <w:rPr>
                <w:sz w:val="19"/>
              </w:rPr>
              <w:t>5.</w:t>
            </w:r>
          </w:p>
        </w:tc>
        <w:tc>
          <w:tcPr>
            <w:tcW w:w="1784" w:type="dxa"/>
            <w:tcMar>
              <w:top w:w="15" w:type="dxa"/>
              <w:left w:w="108" w:type="dxa"/>
              <w:bottom w:w="0" w:type="dxa"/>
              <w:right w:w="108" w:type="dxa"/>
            </w:tcMar>
          </w:tcPr>
          <w:p w:rsidR="00000000" w:rsidRDefault="00000000">
            <w:pPr>
              <w:spacing w:after="0"/>
              <w:rPr>
                <w:sz w:val="19"/>
              </w:rPr>
            </w:pPr>
            <w:r>
              <w:rPr>
                <w:sz w:val="19"/>
              </w:rPr>
              <w:t xml:space="preserve">C. </w:t>
            </w:r>
            <w:proofErr w:type="spellStart"/>
            <w:r>
              <w:rPr>
                <w:sz w:val="19"/>
              </w:rPr>
              <w:t>Terthore</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rPr>
                <w:sz w:val="19"/>
              </w:rPr>
            </w:pPr>
            <w:r>
              <w:rPr>
                <w:sz w:val="19"/>
              </w:rPr>
              <w:t>6.</w:t>
            </w:r>
          </w:p>
        </w:tc>
        <w:tc>
          <w:tcPr>
            <w:tcW w:w="1784" w:type="dxa"/>
            <w:tcMar>
              <w:top w:w="15" w:type="dxa"/>
              <w:left w:w="108" w:type="dxa"/>
              <w:bottom w:w="0" w:type="dxa"/>
              <w:right w:w="108" w:type="dxa"/>
            </w:tcMar>
          </w:tcPr>
          <w:p w:rsidR="00000000" w:rsidRDefault="00000000">
            <w:pPr>
              <w:spacing w:after="0"/>
              <w:rPr>
                <w:sz w:val="19"/>
              </w:rPr>
            </w:pPr>
            <w:r>
              <w:rPr>
                <w:sz w:val="19"/>
              </w:rPr>
              <w:t xml:space="preserve">C. </w:t>
            </w:r>
            <w:proofErr w:type="spellStart"/>
            <w:r>
              <w:rPr>
                <w:sz w:val="19"/>
              </w:rPr>
              <w:t>Shishtavec</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rPr>
                <w:sz w:val="19"/>
              </w:rPr>
            </w:pPr>
            <w:r>
              <w:rPr>
                <w:sz w:val="19"/>
              </w:rPr>
              <w:t>7.</w:t>
            </w:r>
          </w:p>
        </w:tc>
        <w:tc>
          <w:tcPr>
            <w:tcW w:w="1784" w:type="dxa"/>
            <w:tcMar>
              <w:top w:w="15" w:type="dxa"/>
              <w:left w:w="108" w:type="dxa"/>
              <w:bottom w:w="0" w:type="dxa"/>
              <w:right w:w="108" w:type="dxa"/>
            </w:tcMar>
          </w:tcPr>
          <w:p w:rsidR="00000000" w:rsidRDefault="00000000">
            <w:pPr>
              <w:spacing w:after="0"/>
              <w:rPr>
                <w:sz w:val="19"/>
              </w:rPr>
            </w:pPr>
            <w:r>
              <w:rPr>
                <w:sz w:val="19"/>
              </w:rPr>
              <w:t xml:space="preserve">C. </w:t>
            </w:r>
            <w:proofErr w:type="spellStart"/>
            <w:r>
              <w:rPr>
                <w:sz w:val="19"/>
              </w:rPr>
              <w:t>Topojan</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rPr>
                <w:sz w:val="19"/>
              </w:rPr>
            </w:pPr>
            <w:r>
              <w:rPr>
                <w:sz w:val="19"/>
              </w:rPr>
              <w:t>8.</w:t>
            </w:r>
          </w:p>
        </w:tc>
        <w:tc>
          <w:tcPr>
            <w:tcW w:w="1784" w:type="dxa"/>
            <w:tcMar>
              <w:top w:w="15" w:type="dxa"/>
              <w:left w:w="108" w:type="dxa"/>
              <w:bottom w:w="0" w:type="dxa"/>
              <w:right w:w="108" w:type="dxa"/>
            </w:tcMar>
          </w:tcPr>
          <w:p w:rsidR="00000000" w:rsidRDefault="00000000">
            <w:pPr>
              <w:spacing w:after="0"/>
              <w:rPr>
                <w:sz w:val="19"/>
              </w:rPr>
            </w:pPr>
            <w:r>
              <w:rPr>
                <w:sz w:val="19"/>
              </w:rPr>
              <w:t xml:space="preserve">C. </w:t>
            </w:r>
            <w:proofErr w:type="spellStart"/>
            <w:r>
              <w:rPr>
                <w:sz w:val="19"/>
              </w:rPr>
              <w:t>Bushtrice</w:t>
            </w:r>
            <w:proofErr w:type="spellEnd"/>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top w:w="15" w:type="dxa"/>
              <w:left w:w="108" w:type="dxa"/>
              <w:bottom w:w="0" w:type="dxa"/>
              <w:right w:w="108" w:type="dxa"/>
            </w:tcMar>
          </w:tcPr>
          <w:p w:rsidR="00000000" w:rsidRDefault="00000000">
            <w:pPr>
              <w:spacing w:after="0"/>
              <w:ind w:left="113"/>
              <w:rPr>
                <w:sz w:val="19"/>
              </w:rPr>
            </w:pPr>
            <w:r>
              <w:rPr>
                <w:sz w:val="19"/>
              </w:rPr>
              <w:t>9.</w:t>
            </w:r>
          </w:p>
        </w:tc>
        <w:tc>
          <w:tcPr>
            <w:tcW w:w="1784" w:type="dxa"/>
            <w:tcMar>
              <w:top w:w="15" w:type="dxa"/>
              <w:left w:w="108" w:type="dxa"/>
              <w:bottom w:w="0" w:type="dxa"/>
              <w:right w:w="108" w:type="dxa"/>
            </w:tcMar>
          </w:tcPr>
          <w:p w:rsidR="00000000" w:rsidRDefault="00000000">
            <w:pPr>
              <w:spacing w:after="0"/>
              <w:rPr>
                <w:sz w:val="19"/>
              </w:rPr>
            </w:pPr>
            <w:r>
              <w:rPr>
                <w:sz w:val="19"/>
              </w:rPr>
              <w:t xml:space="preserve">C. </w:t>
            </w:r>
            <w:proofErr w:type="spellStart"/>
            <w:r>
              <w:rPr>
                <w:sz w:val="19"/>
              </w:rPr>
              <w:t>Gryke</w:t>
            </w:r>
            <w:proofErr w:type="spellEnd"/>
            <w:r>
              <w:rPr>
                <w:sz w:val="19"/>
              </w:rPr>
              <w:t xml:space="preserve"> </w:t>
            </w:r>
            <w:proofErr w:type="spellStart"/>
            <w:r>
              <w:rPr>
                <w:sz w:val="19"/>
              </w:rPr>
              <w:t>Caje</w:t>
            </w:r>
            <w:proofErr w:type="spellEnd"/>
            <w:r>
              <w:rPr>
                <w:sz w:val="19"/>
              </w:rPr>
              <w:t xml:space="preserve"> </w:t>
            </w:r>
          </w:p>
        </w:tc>
        <w:tc>
          <w:tcPr>
            <w:tcW w:w="954" w:type="dxa"/>
            <w:tcMar>
              <w:top w:w="15" w:type="dxa"/>
              <w:left w:w="108" w:type="dxa"/>
              <w:bottom w:w="0" w:type="dxa"/>
              <w:right w:w="108" w:type="dxa"/>
            </w:tcMar>
          </w:tcPr>
          <w:p w:rsidR="00000000" w:rsidRDefault="00000000">
            <w:pPr>
              <w:spacing w:after="0"/>
              <w:ind w:right="113"/>
              <w:jc w:val="right"/>
              <w:rPr>
                <w:sz w:val="19"/>
              </w:rPr>
            </w:pPr>
          </w:p>
        </w:tc>
        <w:tc>
          <w:tcPr>
            <w:tcW w:w="850" w:type="dxa"/>
            <w:tcMar>
              <w:top w:w="15" w:type="dxa"/>
              <w:left w:w="108" w:type="dxa"/>
              <w:bottom w:w="0" w:type="dxa"/>
              <w:right w:w="108" w:type="dxa"/>
            </w:tcMar>
          </w:tcPr>
          <w:p w:rsidR="00000000" w:rsidRDefault="00000000">
            <w:pPr>
              <w:spacing w:after="0"/>
              <w:ind w:right="57"/>
              <w:jc w:val="right"/>
              <w:rPr>
                <w:sz w:val="19"/>
              </w:rPr>
            </w:pPr>
          </w:p>
        </w:tc>
        <w:tc>
          <w:tcPr>
            <w:tcW w:w="951" w:type="dxa"/>
            <w:tcMar>
              <w:top w:w="15" w:type="dxa"/>
              <w:left w:w="108" w:type="dxa"/>
              <w:bottom w:w="0" w:type="dxa"/>
              <w:right w:w="108" w:type="dxa"/>
            </w:tcMar>
          </w:tcPr>
          <w:p w:rsidR="00000000" w:rsidRDefault="00000000">
            <w:pPr>
              <w:spacing w:after="0"/>
              <w:ind w:right="57"/>
              <w:jc w:val="right"/>
              <w:rPr>
                <w:sz w:val="19"/>
              </w:rPr>
            </w:pPr>
          </w:p>
        </w:tc>
        <w:tc>
          <w:tcPr>
            <w:tcW w:w="847" w:type="dxa"/>
            <w:tcMar>
              <w:top w:w="15" w:type="dxa"/>
              <w:left w:w="108" w:type="dxa"/>
              <w:bottom w:w="0" w:type="dxa"/>
              <w:right w:w="108" w:type="dxa"/>
            </w:tcMar>
          </w:tcPr>
          <w:p w:rsidR="00000000" w:rsidRDefault="00000000">
            <w:pPr>
              <w:spacing w:after="0"/>
              <w:ind w:right="57"/>
              <w:jc w:val="right"/>
              <w:rPr>
                <w:sz w:val="19"/>
              </w:rPr>
            </w:pPr>
          </w:p>
        </w:tc>
        <w:tc>
          <w:tcPr>
            <w:tcW w:w="712" w:type="dxa"/>
            <w:tcMar>
              <w:top w:w="15" w:type="dxa"/>
              <w:left w:w="108" w:type="dxa"/>
              <w:bottom w:w="0" w:type="dxa"/>
              <w:right w:w="108" w:type="dxa"/>
            </w:tcMar>
          </w:tcPr>
          <w:p w:rsidR="00000000" w:rsidRDefault="00000000">
            <w:pPr>
              <w:spacing w:after="0"/>
              <w:ind w:right="57"/>
              <w:jc w:val="right"/>
              <w:rPr>
                <w:sz w:val="19"/>
              </w:rPr>
            </w:pPr>
          </w:p>
        </w:tc>
        <w:tc>
          <w:tcPr>
            <w:tcW w:w="992" w:type="dxa"/>
            <w:tcMar>
              <w:top w:w="15" w:type="dxa"/>
              <w:left w:w="108" w:type="dxa"/>
              <w:bottom w:w="0" w:type="dxa"/>
              <w:right w:w="108" w:type="dxa"/>
            </w:tcMar>
          </w:tcPr>
          <w:p w:rsidR="00000000" w:rsidRDefault="00000000">
            <w:pPr>
              <w:spacing w:after="0"/>
              <w:ind w:right="284"/>
              <w:jc w:val="right"/>
              <w:rPr>
                <w:sz w:val="19"/>
              </w:rPr>
            </w:pPr>
          </w:p>
        </w:tc>
        <w:tc>
          <w:tcPr>
            <w:tcW w:w="1418" w:type="dxa"/>
            <w:tcMar>
              <w:top w:w="15" w:type="dxa"/>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10.</w:t>
            </w:r>
          </w:p>
        </w:tc>
        <w:tc>
          <w:tcPr>
            <w:tcW w:w="1784" w:type="dxa"/>
            <w:tcMar>
              <w:left w:w="108" w:type="dxa"/>
              <w:bottom w:w="0" w:type="dxa"/>
              <w:right w:w="108" w:type="dxa"/>
            </w:tcMar>
          </w:tcPr>
          <w:p w:rsidR="00000000" w:rsidRDefault="00000000">
            <w:pPr>
              <w:spacing w:after="0"/>
              <w:rPr>
                <w:sz w:val="19"/>
                <w:lang w:val="de-DE"/>
              </w:rPr>
            </w:pPr>
            <w:r>
              <w:rPr>
                <w:sz w:val="19"/>
                <w:lang w:val="de-DE"/>
              </w:rPr>
              <w:t xml:space="preserve">C. Kalis </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11.</w:t>
            </w:r>
          </w:p>
        </w:tc>
        <w:tc>
          <w:tcPr>
            <w:tcW w:w="1784" w:type="dxa"/>
            <w:tcMar>
              <w:left w:w="108" w:type="dxa"/>
              <w:bottom w:w="0" w:type="dxa"/>
              <w:right w:w="108" w:type="dxa"/>
            </w:tcMar>
          </w:tcPr>
          <w:p w:rsidR="00000000" w:rsidRDefault="00000000">
            <w:pPr>
              <w:spacing w:after="0"/>
              <w:rPr>
                <w:sz w:val="19"/>
                <w:lang w:val="de-DE"/>
              </w:rPr>
            </w:pPr>
            <w:r>
              <w:rPr>
                <w:sz w:val="19"/>
                <w:lang w:val="de-DE"/>
              </w:rPr>
              <w:t>C. Arren</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12.</w:t>
            </w:r>
          </w:p>
        </w:tc>
        <w:tc>
          <w:tcPr>
            <w:tcW w:w="1784" w:type="dxa"/>
            <w:tcMar>
              <w:left w:w="108" w:type="dxa"/>
              <w:bottom w:w="0" w:type="dxa"/>
              <w:right w:w="108" w:type="dxa"/>
            </w:tcMar>
          </w:tcPr>
          <w:p w:rsidR="00000000" w:rsidRDefault="00000000">
            <w:pPr>
              <w:spacing w:after="0"/>
              <w:rPr>
                <w:sz w:val="19"/>
                <w:lang w:val="de-DE"/>
              </w:rPr>
            </w:pPr>
            <w:r>
              <w:rPr>
                <w:sz w:val="19"/>
                <w:lang w:val="de-DE"/>
              </w:rPr>
              <w:t>C. Kolsh</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13.</w:t>
            </w:r>
          </w:p>
        </w:tc>
        <w:tc>
          <w:tcPr>
            <w:tcW w:w="1784" w:type="dxa"/>
            <w:tcMar>
              <w:left w:w="108" w:type="dxa"/>
              <w:bottom w:w="0" w:type="dxa"/>
              <w:right w:w="108" w:type="dxa"/>
            </w:tcMar>
          </w:tcPr>
          <w:p w:rsidR="00000000" w:rsidRDefault="00000000">
            <w:pPr>
              <w:spacing w:after="0"/>
              <w:rPr>
                <w:sz w:val="19"/>
                <w:lang w:val="de-DE"/>
              </w:rPr>
            </w:pPr>
            <w:r>
              <w:rPr>
                <w:sz w:val="19"/>
                <w:lang w:val="de-DE"/>
              </w:rPr>
              <w:t xml:space="preserve">M. Krume </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14.</w:t>
            </w:r>
          </w:p>
        </w:tc>
        <w:tc>
          <w:tcPr>
            <w:tcW w:w="1784" w:type="dxa"/>
            <w:tcMar>
              <w:left w:w="108" w:type="dxa"/>
              <w:bottom w:w="0" w:type="dxa"/>
              <w:right w:w="108" w:type="dxa"/>
            </w:tcMar>
          </w:tcPr>
          <w:p w:rsidR="00000000" w:rsidRDefault="00000000">
            <w:pPr>
              <w:spacing w:after="0"/>
              <w:rPr>
                <w:sz w:val="19"/>
                <w:lang w:val="nl-NL"/>
              </w:rPr>
            </w:pPr>
            <w:r>
              <w:rPr>
                <w:sz w:val="19"/>
                <w:lang w:val="nl-NL"/>
              </w:rPr>
              <w:t>C. Golaj</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15.</w:t>
            </w:r>
          </w:p>
        </w:tc>
        <w:tc>
          <w:tcPr>
            <w:tcW w:w="1784" w:type="dxa"/>
            <w:tcMar>
              <w:left w:w="108" w:type="dxa"/>
              <w:bottom w:w="0" w:type="dxa"/>
              <w:right w:w="108" w:type="dxa"/>
            </w:tcMar>
          </w:tcPr>
          <w:p w:rsidR="00000000" w:rsidRDefault="00000000">
            <w:pPr>
              <w:spacing w:after="0"/>
              <w:rPr>
                <w:sz w:val="19"/>
                <w:lang w:val="nl-NL"/>
              </w:rPr>
            </w:pPr>
            <w:r>
              <w:rPr>
                <w:sz w:val="19"/>
                <w:lang w:val="nl-NL"/>
              </w:rPr>
              <w:t>C. Fajze</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16.</w:t>
            </w:r>
          </w:p>
        </w:tc>
        <w:tc>
          <w:tcPr>
            <w:tcW w:w="1784" w:type="dxa"/>
            <w:tcMar>
              <w:left w:w="108" w:type="dxa"/>
              <w:bottom w:w="0" w:type="dxa"/>
              <w:right w:w="108" w:type="dxa"/>
            </w:tcMar>
          </w:tcPr>
          <w:p w:rsidR="00000000" w:rsidRDefault="00000000">
            <w:pPr>
              <w:spacing w:after="0"/>
              <w:rPr>
                <w:sz w:val="19"/>
                <w:lang w:val="nl-NL"/>
              </w:rPr>
            </w:pPr>
            <w:r>
              <w:rPr>
                <w:sz w:val="19"/>
                <w:lang w:val="nl-NL"/>
              </w:rPr>
              <w:t>C. Gjinaj</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17.</w:t>
            </w:r>
          </w:p>
        </w:tc>
        <w:tc>
          <w:tcPr>
            <w:tcW w:w="1784" w:type="dxa"/>
            <w:tcMar>
              <w:left w:w="108" w:type="dxa"/>
              <w:bottom w:w="0" w:type="dxa"/>
              <w:right w:w="108" w:type="dxa"/>
            </w:tcMar>
          </w:tcPr>
          <w:p w:rsidR="00000000" w:rsidRDefault="00000000">
            <w:pPr>
              <w:spacing w:after="0"/>
              <w:rPr>
                <w:sz w:val="19"/>
                <w:lang w:val="nl-NL"/>
              </w:rPr>
            </w:pPr>
            <w:r>
              <w:rPr>
                <w:sz w:val="19"/>
                <w:lang w:val="nl-NL"/>
              </w:rPr>
              <w:t>M. B-Curri</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18.</w:t>
            </w:r>
          </w:p>
        </w:tc>
        <w:tc>
          <w:tcPr>
            <w:tcW w:w="1784" w:type="dxa"/>
            <w:tcMar>
              <w:left w:w="108" w:type="dxa"/>
              <w:bottom w:w="0" w:type="dxa"/>
              <w:right w:w="108" w:type="dxa"/>
            </w:tcMar>
          </w:tcPr>
          <w:p w:rsidR="00000000" w:rsidRDefault="00000000">
            <w:pPr>
              <w:spacing w:after="0"/>
              <w:rPr>
                <w:sz w:val="19"/>
                <w:lang w:val="nl-NL"/>
              </w:rPr>
            </w:pPr>
            <w:r>
              <w:rPr>
                <w:sz w:val="19"/>
                <w:lang w:val="nl-NL"/>
              </w:rPr>
              <w:t>C. Fierze</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19.</w:t>
            </w:r>
          </w:p>
        </w:tc>
        <w:tc>
          <w:tcPr>
            <w:tcW w:w="1784" w:type="dxa"/>
            <w:tcMar>
              <w:left w:w="108" w:type="dxa"/>
              <w:bottom w:w="0" w:type="dxa"/>
              <w:right w:w="108" w:type="dxa"/>
            </w:tcMar>
          </w:tcPr>
          <w:p w:rsidR="00000000" w:rsidRDefault="00000000">
            <w:pPr>
              <w:spacing w:after="0"/>
              <w:rPr>
                <w:sz w:val="19"/>
                <w:lang w:val="nl-NL"/>
              </w:rPr>
            </w:pPr>
            <w:r>
              <w:rPr>
                <w:sz w:val="19"/>
                <w:lang w:val="nl-NL"/>
              </w:rPr>
              <w:t>C. Lekbibaj</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20.</w:t>
            </w:r>
          </w:p>
        </w:tc>
        <w:tc>
          <w:tcPr>
            <w:tcW w:w="1784" w:type="dxa"/>
            <w:tcMar>
              <w:left w:w="108" w:type="dxa"/>
              <w:bottom w:w="0" w:type="dxa"/>
              <w:right w:w="108" w:type="dxa"/>
            </w:tcMar>
          </w:tcPr>
          <w:p w:rsidR="00000000" w:rsidRDefault="00000000">
            <w:pPr>
              <w:spacing w:after="0"/>
              <w:rPr>
                <w:sz w:val="19"/>
                <w:lang w:val="nl-NL"/>
              </w:rPr>
            </w:pPr>
            <w:r>
              <w:rPr>
                <w:sz w:val="19"/>
                <w:lang w:val="nl-NL"/>
              </w:rPr>
              <w:t>C. Margegaj</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21.</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Llugaj</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22.</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Bujan</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23.</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Bytyç</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lang w:val="fr-FR"/>
              </w:rPr>
            </w:pPr>
            <w:r>
              <w:rPr>
                <w:sz w:val="19"/>
                <w:lang w:val="fr-FR"/>
              </w:rPr>
              <w:t>24.</w:t>
            </w:r>
          </w:p>
        </w:tc>
        <w:tc>
          <w:tcPr>
            <w:tcW w:w="1784" w:type="dxa"/>
            <w:tcBorders>
              <w:bottom w:val="single" w:sz="4" w:space="0" w:color="auto"/>
            </w:tcBorders>
            <w:tcMar>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Tropoje</w:t>
            </w:r>
            <w:proofErr w:type="spellEnd"/>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lang w:val="fr-FR"/>
              </w:rPr>
            </w:pP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lang w:val="fr-FR"/>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left="113"/>
              <w:rPr>
                <w:sz w:val="19"/>
                <w:lang w:val="fr-FR"/>
              </w:rPr>
            </w:pPr>
          </w:p>
        </w:tc>
        <w:tc>
          <w:tcPr>
            <w:tcW w:w="1784" w:type="dxa"/>
            <w:tcBorders>
              <w:top w:val="single" w:sz="4" w:space="0" w:color="auto"/>
              <w:left w:val="nil"/>
              <w:bottom w:val="nil"/>
              <w:right w:val="nil"/>
            </w:tcBorders>
            <w:tcMar>
              <w:left w:w="108" w:type="dxa"/>
              <w:bottom w:w="0" w:type="dxa"/>
              <w:right w:w="108" w:type="dxa"/>
            </w:tcMar>
          </w:tcPr>
          <w:p w:rsidR="00000000" w:rsidRDefault="00000000">
            <w:pPr>
              <w:spacing w:before="60" w:after="60"/>
              <w:rPr>
                <w:sz w:val="19"/>
              </w:rPr>
            </w:pPr>
          </w:p>
        </w:tc>
        <w:tc>
          <w:tcPr>
            <w:tcW w:w="954"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113"/>
              <w:jc w:val="right"/>
              <w:rPr>
                <w:sz w:val="19"/>
              </w:rPr>
            </w:pPr>
          </w:p>
        </w:tc>
        <w:tc>
          <w:tcPr>
            <w:tcW w:w="850"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51"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847"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712"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92"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284"/>
              <w:jc w:val="right"/>
              <w:rPr>
                <w:sz w:val="19"/>
              </w:rPr>
            </w:pPr>
          </w:p>
        </w:tc>
        <w:tc>
          <w:tcPr>
            <w:tcW w:w="1418" w:type="dxa"/>
            <w:tcBorders>
              <w:top w:val="single" w:sz="4" w:space="0" w:color="auto"/>
              <w:left w:val="nil"/>
              <w:bottom w:val="nil"/>
              <w:right w:val="nil"/>
            </w:tcBorders>
            <w:tcMar>
              <w:left w:w="108" w:type="dxa"/>
              <w:bottom w:w="0" w:type="dxa"/>
              <w:right w:w="108" w:type="dxa"/>
            </w:tcMar>
          </w:tcPr>
          <w:p w:rsidR="00000000" w:rsidRDefault="00000000">
            <w:pPr>
              <w:spacing w:before="60" w:after="6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before="60" w:after="6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before="60" w:after="6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before="60" w:after="6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before="60" w:after="6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before="60" w:after="6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before="60" w:after="6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before="60" w:after="6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before="60" w:after="6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before="60" w:after="6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before="60" w:after="6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before="60" w:after="6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before="60" w:after="6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before="60" w:after="6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before="60" w:after="6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before="60" w:after="6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before="60" w:after="60"/>
              <w:ind w:right="454"/>
              <w:jc w:val="right"/>
              <w:rPr>
                <w:sz w:val="19"/>
              </w:rPr>
            </w:pPr>
          </w:p>
        </w:tc>
      </w:tr>
      <w:tr w:rsidR="00000000">
        <w:tc>
          <w:tcPr>
            <w:tcW w:w="848" w:type="dxa"/>
            <w:tcBorders>
              <w:top w:val="nil"/>
              <w:bottom w:val="nil"/>
            </w:tcBorders>
            <w:tcMar>
              <w:left w:w="108" w:type="dxa"/>
              <w:bottom w:w="0" w:type="dxa"/>
              <w:right w:w="108" w:type="dxa"/>
            </w:tcMar>
          </w:tcPr>
          <w:p w:rsidR="00000000" w:rsidRDefault="00000000">
            <w:pPr>
              <w:spacing w:after="0"/>
              <w:ind w:left="113"/>
              <w:rPr>
                <w:sz w:val="19"/>
                <w:lang w:val="fr-FR"/>
              </w:rPr>
            </w:pPr>
            <w:proofErr w:type="spellStart"/>
            <w:r>
              <w:rPr>
                <w:sz w:val="19"/>
                <w:lang w:val="fr-FR"/>
              </w:rPr>
              <w:t>VI</w:t>
            </w:r>
            <w:proofErr w:type="spellEnd"/>
            <w:r>
              <w:rPr>
                <w:sz w:val="19"/>
                <w:lang w:val="fr-FR"/>
              </w:rPr>
              <w:t>.</w:t>
            </w:r>
          </w:p>
        </w:tc>
        <w:tc>
          <w:tcPr>
            <w:tcW w:w="1784" w:type="dxa"/>
            <w:tcBorders>
              <w:top w:val="nil"/>
              <w:bottom w:val="nil"/>
            </w:tcBorders>
            <w:tcMar>
              <w:left w:w="108" w:type="dxa"/>
              <w:bottom w:w="0" w:type="dxa"/>
              <w:right w:w="108" w:type="dxa"/>
            </w:tcMar>
          </w:tcPr>
          <w:p w:rsidR="00000000" w:rsidRDefault="00000000">
            <w:pPr>
              <w:spacing w:after="0"/>
              <w:rPr>
                <w:sz w:val="19"/>
              </w:rPr>
            </w:pPr>
            <w:r>
              <w:rPr>
                <w:sz w:val="19"/>
              </w:rPr>
              <w:t xml:space="preserve">Region </w:t>
            </w:r>
            <w:proofErr w:type="spellStart"/>
            <w:r>
              <w:rPr>
                <w:sz w:val="19"/>
              </w:rPr>
              <w:t>Shkoder</w:t>
            </w:r>
            <w:proofErr w:type="spellEnd"/>
          </w:p>
        </w:tc>
        <w:tc>
          <w:tcPr>
            <w:tcW w:w="954" w:type="dxa"/>
            <w:tcBorders>
              <w:top w:val="nil"/>
              <w:bottom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bottom w:val="nil"/>
            </w:tcBorders>
            <w:tcMar>
              <w:left w:w="108" w:type="dxa"/>
              <w:bottom w:w="0" w:type="dxa"/>
              <w:right w:w="108" w:type="dxa"/>
            </w:tcMar>
          </w:tcPr>
          <w:p w:rsidR="00000000" w:rsidRDefault="00000000">
            <w:pPr>
              <w:spacing w:after="0"/>
              <w:ind w:right="57"/>
              <w:jc w:val="right"/>
              <w:rPr>
                <w:sz w:val="19"/>
              </w:rPr>
            </w:pPr>
            <w:r>
              <w:rPr>
                <w:sz w:val="19"/>
              </w:rPr>
              <w:t>933</w:t>
            </w:r>
          </w:p>
        </w:tc>
        <w:tc>
          <w:tcPr>
            <w:tcW w:w="992" w:type="dxa"/>
            <w:tcBorders>
              <w:top w:val="nil"/>
              <w:bottom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bottom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tcBorders>
            <w:tcMar>
              <w:left w:w="108" w:type="dxa"/>
              <w:bottom w:w="0" w:type="dxa"/>
              <w:right w:w="108" w:type="dxa"/>
            </w:tcMar>
          </w:tcPr>
          <w:p w:rsidR="00000000" w:rsidRDefault="00000000">
            <w:pPr>
              <w:spacing w:after="0"/>
              <w:ind w:left="113"/>
              <w:rPr>
                <w:sz w:val="19"/>
              </w:rPr>
            </w:pPr>
            <w:r>
              <w:rPr>
                <w:sz w:val="19"/>
              </w:rPr>
              <w:t>1.</w:t>
            </w:r>
          </w:p>
        </w:tc>
        <w:tc>
          <w:tcPr>
            <w:tcW w:w="1784" w:type="dxa"/>
            <w:tcBorders>
              <w:top w:val="nil"/>
            </w:tcBorders>
            <w:tcMar>
              <w:left w:w="108" w:type="dxa"/>
              <w:bottom w:w="0" w:type="dxa"/>
              <w:right w:w="108" w:type="dxa"/>
            </w:tcMar>
          </w:tcPr>
          <w:p w:rsidR="00000000" w:rsidRDefault="00000000">
            <w:pPr>
              <w:spacing w:after="0"/>
              <w:rPr>
                <w:sz w:val="19"/>
              </w:rPr>
            </w:pPr>
            <w:r>
              <w:rPr>
                <w:sz w:val="19"/>
              </w:rPr>
              <w:t xml:space="preserve">District </w:t>
            </w:r>
            <w:proofErr w:type="spellStart"/>
            <w:r>
              <w:rPr>
                <w:sz w:val="19"/>
              </w:rPr>
              <w:t>Shkoder</w:t>
            </w:r>
            <w:proofErr w:type="spellEnd"/>
          </w:p>
        </w:tc>
        <w:tc>
          <w:tcPr>
            <w:tcW w:w="954" w:type="dxa"/>
            <w:tcBorders>
              <w:top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tcBorders>
            <w:tcMar>
              <w:left w:w="108" w:type="dxa"/>
              <w:bottom w:w="0" w:type="dxa"/>
              <w:right w:w="108" w:type="dxa"/>
            </w:tcMar>
          </w:tcPr>
          <w:p w:rsidR="00000000" w:rsidRDefault="00000000">
            <w:pPr>
              <w:spacing w:after="0"/>
              <w:ind w:right="57"/>
              <w:jc w:val="right"/>
              <w:rPr>
                <w:sz w:val="19"/>
              </w:rPr>
            </w:pPr>
            <w:r>
              <w:rPr>
                <w:sz w:val="19"/>
              </w:rPr>
              <w:t>743</w:t>
            </w:r>
          </w:p>
        </w:tc>
        <w:tc>
          <w:tcPr>
            <w:tcW w:w="992" w:type="dxa"/>
            <w:tcBorders>
              <w:top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w:t>
            </w:r>
          </w:p>
        </w:tc>
        <w:tc>
          <w:tcPr>
            <w:tcW w:w="1784" w:type="dxa"/>
            <w:tcMar>
              <w:left w:w="108" w:type="dxa"/>
              <w:bottom w:w="0" w:type="dxa"/>
              <w:right w:w="108" w:type="dxa"/>
            </w:tcMar>
          </w:tcPr>
          <w:p w:rsidR="00000000" w:rsidRDefault="00000000">
            <w:pPr>
              <w:spacing w:after="0"/>
              <w:rPr>
                <w:sz w:val="19"/>
              </w:rPr>
            </w:pPr>
            <w:r>
              <w:rPr>
                <w:sz w:val="19"/>
              </w:rPr>
              <w:t xml:space="preserve">District </w:t>
            </w:r>
            <w:proofErr w:type="spellStart"/>
            <w:r>
              <w:rPr>
                <w:sz w:val="19"/>
              </w:rPr>
              <w:t>Laç</w:t>
            </w:r>
            <w:proofErr w:type="spellEnd"/>
            <w:r>
              <w:rPr>
                <w:sz w:val="19"/>
              </w:rPr>
              <w:t xml:space="preserve"> </w:t>
            </w:r>
            <w:r>
              <w:rPr>
                <w:sz w:val="19"/>
              </w:rPr>
              <w:br/>
              <w:t xml:space="preserve">  </w:t>
            </w:r>
            <w:proofErr w:type="spellStart"/>
            <w:r>
              <w:rPr>
                <w:sz w:val="19"/>
              </w:rPr>
              <w:t>Vau</w:t>
            </w:r>
            <w:r>
              <w:rPr>
                <w:sz w:val="19"/>
              </w:rPr>
              <w:noBreakHyphen/>
              <w:t>Dejes</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r>
              <w:rPr>
                <w:sz w:val="19"/>
              </w:rPr>
              <w:t>42</w:t>
            </w: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3.</w:t>
            </w:r>
          </w:p>
        </w:tc>
        <w:tc>
          <w:tcPr>
            <w:tcW w:w="1784" w:type="dxa"/>
            <w:tcMar>
              <w:left w:w="108" w:type="dxa"/>
              <w:bottom w:w="0" w:type="dxa"/>
              <w:right w:w="108" w:type="dxa"/>
            </w:tcMar>
          </w:tcPr>
          <w:p w:rsidR="00000000" w:rsidRDefault="00000000">
            <w:pPr>
              <w:spacing w:after="0"/>
              <w:rPr>
                <w:sz w:val="19"/>
              </w:rPr>
            </w:pPr>
            <w:r>
              <w:rPr>
                <w:sz w:val="19"/>
              </w:rPr>
              <w:t>District Puke</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r>
              <w:rPr>
                <w:sz w:val="19"/>
              </w:rPr>
              <w:t>45</w:t>
            </w: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4.</w:t>
            </w:r>
          </w:p>
        </w:tc>
        <w:tc>
          <w:tcPr>
            <w:tcW w:w="1784" w:type="dxa"/>
            <w:tcMar>
              <w:left w:w="108" w:type="dxa"/>
              <w:bottom w:w="0" w:type="dxa"/>
              <w:right w:w="108" w:type="dxa"/>
            </w:tcMar>
          </w:tcPr>
          <w:p w:rsidR="00000000" w:rsidRDefault="00000000">
            <w:pPr>
              <w:spacing w:after="0"/>
              <w:rPr>
                <w:sz w:val="19"/>
              </w:rPr>
            </w:pPr>
            <w:r>
              <w:rPr>
                <w:sz w:val="19"/>
              </w:rPr>
              <w:t xml:space="preserve">District </w:t>
            </w:r>
            <w:proofErr w:type="spellStart"/>
            <w:r>
              <w:rPr>
                <w:sz w:val="19"/>
              </w:rPr>
              <w:t>Fushe-Arres</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r>
              <w:rPr>
                <w:sz w:val="19"/>
              </w:rPr>
              <w:t>49</w:t>
            </w: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5.</w:t>
            </w:r>
          </w:p>
        </w:tc>
        <w:tc>
          <w:tcPr>
            <w:tcW w:w="1784" w:type="dxa"/>
            <w:tcMar>
              <w:left w:w="108" w:type="dxa"/>
              <w:bottom w:w="0" w:type="dxa"/>
              <w:right w:w="108" w:type="dxa"/>
            </w:tcMar>
          </w:tcPr>
          <w:p w:rsidR="00000000" w:rsidRDefault="00000000">
            <w:pPr>
              <w:spacing w:after="0"/>
              <w:rPr>
                <w:sz w:val="19"/>
              </w:rPr>
            </w:pPr>
            <w:r>
              <w:rPr>
                <w:sz w:val="19"/>
              </w:rPr>
              <w:t xml:space="preserve">District </w:t>
            </w:r>
            <w:r>
              <w:rPr>
                <w:sz w:val="19"/>
              </w:rPr>
              <w:br/>
              <w:t xml:space="preserve">  </w:t>
            </w:r>
            <w:proofErr w:type="spellStart"/>
            <w:r>
              <w:rPr>
                <w:sz w:val="19"/>
              </w:rPr>
              <w:t>Malsi</w:t>
            </w:r>
            <w:r>
              <w:rPr>
                <w:sz w:val="19"/>
              </w:rPr>
              <w:noBreakHyphen/>
              <w:t>Madhe</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r>
              <w:rPr>
                <w:sz w:val="19"/>
              </w:rPr>
              <w:t>54</w:t>
            </w: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rPr>
            </w:pPr>
            <w:r>
              <w:rPr>
                <w:sz w:val="19"/>
              </w:rPr>
              <w:t>6.</w:t>
            </w:r>
          </w:p>
        </w:tc>
        <w:tc>
          <w:tcPr>
            <w:tcW w:w="1784" w:type="dxa"/>
            <w:tcBorders>
              <w:bottom w:val="single" w:sz="4" w:space="0" w:color="auto"/>
            </w:tcBorders>
            <w:tcMar>
              <w:left w:w="108" w:type="dxa"/>
              <w:bottom w:w="0" w:type="dxa"/>
              <w:right w:w="108" w:type="dxa"/>
            </w:tcMar>
          </w:tcPr>
          <w:p w:rsidR="00000000" w:rsidRDefault="00000000">
            <w:pPr>
              <w:spacing w:after="0"/>
              <w:rPr>
                <w:sz w:val="19"/>
              </w:rPr>
            </w:pPr>
            <w:r>
              <w:rPr>
                <w:sz w:val="19"/>
              </w:rPr>
              <w:t xml:space="preserve">C. </w:t>
            </w:r>
            <w:proofErr w:type="spellStart"/>
            <w:r>
              <w:rPr>
                <w:sz w:val="19"/>
              </w:rPr>
              <w:t>Shenkoll</w:t>
            </w:r>
            <w:proofErr w:type="spellEnd"/>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rPr>
            </w:pP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single" w:sz="4" w:space="0" w:color="auto"/>
              <w:bottom w:val="nil"/>
            </w:tcBorders>
            <w:tcMar>
              <w:left w:w="108" w:type="dxa"/>
              <w:bottom w:w="0" w:type="dxa"/>
              <w:right w:w="108" w:type="dxa"/>
            </w:tcMar>
          </w:tcPr>
          <w:p w:rsidR="00000000" w:rsidRDefault="00000000">
            <w:pPr>
              <w:spacing w:after="0"/>
              <w:ind w:left="113"/>
              <w:rPr>
                <w:sz w:val="19"/>
                <w:lang w:val="fr-FR"/>
              </w:rPr>
            </w:pPr>
            <w:r>
              <w:rPr>
                <w:sz w:val="19"/>
                <w:lang w:val="fr-FR"/>
              </w:rPr>
              <w:t>VII.</w:t>
            </w:r>
          </w:p>
        </w:tc>
        <w:tc>
          <w:tcPr>
            <w:tcW w:w="1784" w:type="dxa"/>
            <w:tcBorders>
              <w:top w:val="single" w:sz="4" w:space="0" w:color="auto"/>
              <w:bottom w:val="nil"/>
            </w:tcBorders>
            <w:tcMar>
              <w:left w:w="108" w:type="dxa"/>
              <w:bottom w:w="0" w:type="dxa"/>
              <w:right w:w="108" w:type="dxa"/>
            </w:tcMar>
          </w:tcPr>
          <w:p w:rsidR="00000000" w:rsidRDefault="00000000">
            <w:pPr>
              <w:spacing w:after="0"/>
              <w:rPr>
                <w:sz w:val="19"/>
                <w:lang w:val="fr-FR"/>
              </w:rPr>
            </w:pPr>
            <w:proofErr w:type="spellStart"/>
            <w:r>
              <w:rPr>
                <w:sz w:val="19"/>
                <w:lang w:val="fr-FR"/>
              </w:rPr>
              <w:t>Region</w:t>
            </w:r>
            <w:proofErr w:type="spellEnd"/>
            <w:r>
              <w:rPr>
                <w:sz w:val="19"/>
                <w:lang w:val="fr-FR"/>
              </w:rPr>
              <w:t xml:space="preserve"> </w:t>
            </w:r>
            <w:proofErr w:type="spellStart"/>
            <w:r>
              <w:rPr>
                <w:sz w:val="19"/>
                <w:lang w:val="fr-FR"/>
              </w:rPr>
              <w:t>Tirane</w:t>
            </w:r>
            <w:proofErr w:type="spellEnd"/>
          </w:p>
        </w:tc>
        <w:tc>
          <w:tcPr>
            <w:tcW w:w="954" w:type="dxa"/>
            <w:tcBorders>
              <w:top w:val="single" w:sz="4" w:space="0" w:color="auto"/>
              <w:bottom w:val="nil"/>
            </w:tcBorders>
            <w:tcMar>
              <w:left w:w="108" w:type="dxa"/>
              <w:bottom w:w="0" w:type="dxa"/>
              <w:right w:w="108" w:type="dxa"/>
            </w:tcMar>
          </w:tcPr>
          <w:p w:rsidR="00000000" w:rsidRDefault="00000000">
            <w:pPr>
              <w:spacing w:after="0"/>
              <w:ind w:right="113"/>
              <w:jc w:val="right"/>
              <w:rPr>
                <w:sz w:val="19"/>
              </w:rPr>
            </w:pPr>
            <w:r>
              <w:rPr>
                <w:sz w:val="19"/>
              </w:rPr>
              <w:t>0</w:t>
            </w:r>
          </w:p>
        </w:tc>
        <w:tc>
          <w:tcPr>
            <w:tcW w:w="850" w:type="dxa"/>
            <w:tcBorders>
              <w:top w:val="single" w:sz="4" w:space="0" w:color="auto"/>
              <w:bottom w:val="nil"/>
            </w:tcBorders>
            <w:tcMar>
              <w:left w:w="108" w:type="dxa"/>
              <w:bottom w:w="0" w:type="dxa"/>
              <w:right w:w="108" w:type="dxa"/>
            </w:tcMar>
          </w:tcPr>
          <w:p w:rsidR="00000000" w:rsidRDefault="00000000">
            <w:pPr>
              <w:spacing w:after="0"/>
              <w:ind w:right="57"/>
              <w:jc w:val="right"/>
              <w:rPr>
                <w:sz w:val="19"/>
              </w:rPr>
            </w:pPr>
            <w:r>
              <w:rPr>
                <w:sz w:val="19"/>
              </w:rPr>
              <w:t>0</w:t>
            </w:r>
          </w:p>
        </w:tc>
        <w:tc>
          <w:tcPr>
            <w:tcW w:w="951" w:type="dxa"/>
            <w:tcBorders>
              <w:top w:val="single" w:sz="4" w:space="0" w:color="auto"/>
              <w:bottom w:val="nil"/>
            </w:tcBorders>
            <w:tcMar>
              <w:left w:w="108" w:type="dxa"/>
              <w:bottom w:w="0" w:type="dxa"/>
              <w:right w:w="108" w:type="dxa"/>
            </w:tcMar>
          </w:tcPr>
          <w:p w:rsidR="00000000" w:rsidRDefault="00000000">
            <w:pPr>
              <w:spacing w:after="0"/>
              <w:ind w:right="57"/>
              <w:jc w:val="right"/>
              <w:rPr>
                <w:sz w:val="19"/>
              </w:rPr>
            </w:pPr>
            <w:r>
              <w:rPr>
                <w:sz w:val="19"/>
              </w:rPr>
              <w:t>237</w:t>
            </w:r>
          </w:p>
        </w:tc>
        <w:tc>
          <w:tcPr>
            <w:tcW w:w="847" w:type="dxa"/>
            <w:tcBorders>
              <w:top w:val="single" w:sz="4" w:space="0" w:color="auto"/>
              <w:bottom w:val="nil"/>
            </w:tcBorders>
            <w:tcMar>
              <w:left w:w="108" w:type="dxa"/>
              <w:bottom w:w="0" w:type="dxa"/>
              <w:right w:w="108" w:type="dxa"/>
            </w:tcMar>
          </w:tcPr>
          <w:p w:rsidR="00000000" w:rsidRDefault="00000000">
            <w:pPr>
              <w:spacing w:after="0"/>
              <w:ind w:right="57"/>
              <w:jc w:val="right"/>
              <w:rPr>
                <w:sz w:val="19"/>
              </w:rPr>
            </w:pPr>
            <w:r>
              <w:rPr>
                <w:sz w:val="19"/>
              </w:rPr>
              <w:t>0</w:t>
            </w:r>
          </w:p>
        </w:tc>
        <w:tc>
          <w:tcPr>
            <w:tcW w:w="712" w:type="dxa"/>
            <w:tcBorders>
              <w:top w:val="single" w:sz="4" w:space="0" w:color="auto"/>
              <w:bottom w:val="nil"/>
            </w:tcBorders>
            <w:tcMar>
              <w:left w:w="108" w:type="dxa"/>
              <w:bottom w:w="0" w:type="dxa"/>
              <w:right w:w="108" w:type="dxa"/>
            </w:tcMar>
          </w:tcPr>
          <w:p w:rsidR="00000000" w:rsidRDefault="00000000">
            <w:pPr>
              <w:spacing w:after="0"/>
              <w:ind w:right="57"/>
              <w:jc w:val="right"/>
              <w:rPr>
                <w:sz w:val="19"/>
              </w:rPr>
            </w:pPr>
            <w:r>
              <w:rPr>
                <w:sz w:val="19"/>
              </w:rPr>
              <w:t>0</w:t>
            </w:r>
          </w:p>
        </w:tc>
        <w:tc>
          <w:tcPr>
            <w:tcW w:w="992" w:type="dxa"/>
            <w:tcBorders>
              <w:top w:val="single" w:sz="4" w:space="0" w:color="auto"/>
              <w:bottom w:val="nil"/>
            </w:tcBorders>
            <w:tcMar>
              <w:left w:w="108" w:type="dxa"/>
              <w:bottom w:w="0" w:type="dxa"/>
              <w:right w:w="108" w:type="dxa"/>
            </w:tcMar>
          </w:tcPr>
          <w:p w:rsidR="00000000" w:rsidRDefault="00000000">
            <w:pPr>
              <w:spacing w:after="0"/>
              <w:ind w:right="284"/>
              <w:jc w:val="right"/>
              <w:rPr>
                <w:sz w:val="19"/>
              </w:rPr>
            </w:pPr>
            <w:r>
              <w:rPr>
                <w:sz w:val="19"/>
              </w:rPr>
              <w:t>338</w:t>
            </w:r>
          </w:p>
        </w:tc>
        <w:tc>
          <w:tcPr>
            <w:tcW w:w="1418" w:type="dxa"/>
            <w:tcBorders>
              <w:top w:val="single" w:sz="4" w:space="0" w:color="auto"/>
              <w:bottom w:val="nil"/>
            </w:tcBorders>
            <w:tcMar>
              <w:left w:w="108" w:type="dxa"/>
              <w:bottom w:w="0" w:type="dxa"/>
              <w:right w:w="108" w:type="dxa"/>
            </w:tcMar>
          </w:tcPr>
          <w:p w:rsidR="00000000" w:rsidRDefault="00000000">
            <w:pPr>
              <w:spacing w:after="0"/>
              <w:ind w:right="454"/>
              <w:jc w:val="right"/>
              <w:rPr>
                <w:sz w:val="19"/>
              </w:rPr>
            </w:pPr>
            <w:r>
              <w:rPr>
                <w:sz w:val="19"/>
              </w:rPr>
              <w:t>0</w:t>
            </w:r>
          </w:p>
        </w:tc>
      </w:tr>
      <w:tr w:rsidR="00000000">
        <w:tc>
          <w:tcPr>
            <w:tcW w:w="848" w:type="dxa"/>
            <w:tcBorders>
              <w:top w:val="nil"/>
            </w:tcBorders>
            <w:tcMar>
              <w:left w:w="108" w:type="dxa"/>
              <w:bottom w:w="0" w:type="dxa"/>
              <w:right w:w="108" w:type="dxa"/>
            </w:tcMar>
          </w:tcPr>
          <w:p w:rsidR="00000000" w:rsidRDefault="00000000">
            <w:pPr>
              <w:spacing w:after="0"/>
              <w:ind w:left="113"/>
              <w:rPr>
                <w:sz w:val="19"/>
              </w:rPr>
            </w:pPr>
            <w:r>
              <w:rPr>
                <w:sz w:val="19"/>
              </w:rPr>
              <w:t>1.</w:t>
            </w:r>
          </w:p>
        </w:tc>
        <w:tc>
          <w:tcPr>
            <w:tcW w:w="1784" w:type="dxa"/>
            <w:tcBorders>
              <w:top w:val="nil"/>
            </w:tcBorders>
            <w:tcMar>
              <w:left w:w="108" w:type="dxa"/>
              <w:bottom w:w="0" w:type="dxa"/>
              <w:right w:w="108" w:type="dxa"/>
            </w:tcMar>
          </w:tcPr>
          <w:p w:rsidR="00000000" w:rsidRDefault="00000000">
            <w:pPr>
              <w:spacing w:after="0"/>
              <w:rPr>
                <w:sz w:val="19"/>
              </w:rPr>
            </w:pPr>
            <w:r>
              <w:rPr>
                <w:sz w:val="19"/>
              </w:rPr>
              <w:t xml:space="preserve">M. </w:t>
            </w:r>
            <w:proofErr w:type="spellStart"/>
            <w:r>
              <w:rPr>
                <w:sz w:val="19"/>
              </w:rPr>
              <w:t>Tirane</w:t>
            </w:r>
            <w:proofErr w:type="spellEnd"/>
          </w:p>
        </w:tc>
        <w:tc>
          <w:tcPr>
            <w:tcW w:w="954" w:type="dxa"/>
            <w:tcBorders>
              <w:top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tcBorders>
            <w:tcMar>
              <w:left w:w="108" w:type="dxa"/>
              <w:bottom w:w="0" w:type="dxa"/>
              <w:right w:w="108" w:type="dxa"/>
            </w:tcMar>
          </w:tcPr>
          <w:p w:rsidR="00000000" w:rsidRDefault="00000000">
            <w:pPr>
              <w:spacing w:after="0"/>
              <w:ind w:right="57"/>
              <w:jc w:val="right"/>
              <w:rPr>
                <w:sz w:val="19"/>
              </w:rPr>
            </w:pPr>
            <w:r>
              <w:rPr>
                <w:sz w:val="19"/>
              </w:rPr>
              <w:t>237</w:t>
            </w:r>
          </w:p>
        </w:tc>
        <w:tc>
          <w:tcPr>
            <w:tcW w:w="847" w:type="dxa"/>
            <w:tcBorders>
              <w:top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tcBorders>
            <w:tcMar>
              <w:left w:w="108" w:type="dxa"/>
              <w:bottom w:w="0" w:type="dxa"/>
              <w:right w:w="108" w:type="dxa"/>
            </w:tcMar>
          </w:tcPr>
          <w:p w:rsidR="00000000" w:rsidRDefault="00000000">
            <w:pPr>
              <w:spacing w:after="0"/>
              <w:ind w:right="284"/>
              <w:jc w:val="right"/>
              <w:rPr>
                <w:sz w:val="19"/>
              </w:rPr>
            </w:pPr>
            <w:r>
              <w:rPr>
                <w:sz w:val="19"/>
              </w:rPr>
              <w:t>338</w:t>
            </w:r>
          </w:p>
        </w:tc>
        <w:tc>
          <w:tcPr>
            <w:tcW w:w="1418" w:type="dxa"/>
            <w:tcBorders>
              <w:top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w:t>
            </w:r>
          </w:p>
        </w:tc>
        <w:tc>
          <w:tcPr>
            <w:tcW w:w="1784" w:type="dxa"/>
            <w:tcMar>
              <w:left w:w="108" w:type="dxa"/>
              <w:bottom w:w="0" w:type="dxa"/>
              <w:right w:w="108" w:type="dxa"/>
            </w:tcMar>
          </w:tcPr>
          <w:p w:rsidR="00000000" w:rsidRDefault="00000000">
            <w:pPr>
              <w:spacing w:after="0"/>
              <w:rPr>
                <w:sz w:val="19"/>
              </w:rPr>
            </w:pPr>
            <w:r>
              <w:rPr>
                <w:sz w:val="19"/>
              </w:rPr>
              <w:t>M. Unit. No. 1</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3.</w:t>
            </w:r>
          </w:p>
        </w:tc>
        <w:tc>
          <w:tcPr>
            <w:tcW w:w="1784" w:type="dxa"/>
            <w:tcMar>
              <w:left w:w="108" w:type="dxa"/>
              <w:bottom w:w="0" w:type="dxa"/>
              <w:right w:w="108" w:type="dxa"/>
            </w:tcMar>
          </w:tcPr>
          <w:p w:rsidR="00000000" w:rsidRDefault="00000000">
            <w:pPr>
              <w:spacing w:after="0"/>
              <w:rPr>
                <w:sz w:val="19"/>
              </w:rPr>
            </w:pPr>
            <w:r>
              <w:rPr>
                <w:sz w:val="19"/>
              </w:rPr>
              <w:t>M. Unit. No. 2</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4.</w:t>
            </w:r>
          </w:p>
        </w:tc>
        <w:tc>
          <w:tcPr>
            <w:tcW w:w="1784" w:type="dxa"/>
            <w:tcMar>
              <w:left w:w="108" w:type="dxa"/>
              <w:bottom w:w="0" w:type="dxa"/>
              <w:right w:w="108" w:type="dxa"/>
            </w:tcMar>
          </w:tcPr>
          <w:p w:rsidR="00000000" w:rsidRDefault="00000000">
            <w:pPr>
              <w:spacing w:after="0"/>
              <w:rPr>
                <w:sz w:val="19"/>
              </w:rPr>
            </w:pPr>
            <w:r>
              <w:rPr>
                <w:sz w:val="19"/>
              </w:rPr>
              <w:t>M. Unit. No. 3</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5.</w:t>
            </w:r>
          </w:p>
        </w:tc>
        <w:tc>
          <w:tcPr>
            <w:tcW w:w="1784" w:type="dxa"/>
            <w:tcMar>
              <w:left w:w="108" w:type="dxa"/>
              <w:bottom w:w="0" w:type="dxa"/>
              <w:right w:w="108" w:type="dxa"/>
            </w:tcMar>
          </w:tcPr>
          <w:p w:rsidR="00000000" w:rsidRDefault="00000000">
            <w:pPr>
              <w:spacing w:after="0"/>
              <w:rPr>
                <w:sz w:val="19"/>
              </w:rPr>
            </w:pPr>
            <w:r>
              <w:rPr>
                <w:sz w:val="19"/>
              </w:rPr>
              <w:t>M. Unit. No. 4</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6.</w:t>
            </w:r>
          </w:p>
        </w:tc>
        <w:tc>
          <w:tcPr>
            <w:tcW w:w="1784" w:type="dxa"/>
            <w:tcMar>
              <w:left w:w="108" w:type="dxa"/>
              <w:bottom w:w="0" w:type="dxa"/>
              <w:right w:w="108" w:type="dxa"/>
            </w:tcMar>
          </w:tcPr>
          <w:p w:rsidR="00000000" w:rsidRDefault="00000000">
            <w:pPr>
              <w:spacing w:after="0"/>
              <w:rPr>
                <w:sz w:val="19"/>
              </w:rPr>
            </w:pPr>
            <w:r>
              <w:rPr>
                <w:sz w:val="19"/>
              </w:rPr>
              <w:t>M. Unit. No. 5</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7.</w:t>
            </w:r>
          </w:p>
        </w:tc>
        <w:tc>
          <w:tcPr>
            <w:tcW w:w="1784" w:type="dxa"/>
            <w:tcMar>
              <w:left w:w="108" w:type="dxa"/>
              <w:bottom w:w="0" w:type="dxa"/>
              <w:right w:w="108" w:type="dxa"/>
            </w:tcMar>
          </w:tcPr>
          <w:p w:rsidR="00000000" w:rsidRDefault="00000000">
            <w:pPr>
              <w:spacing w:after="0"/>
              <w:rPr>
                <w:sz w:val="19"/>
              </w:rPr>
            </w:pPr>
            <w:r>
              <w:rPr>
                <w:sz w:val="19"/>
              </w:rPr>
              <w:t>M. Unit. No. 6</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8.</w:t>
            </w:r>
          </w:p>
        </w:tc>
        <w:tc>
          <w:tcPr>
            <w:tcW w:w="1784" w:type="dxa"/>
            <w:tcMar>
              <w:left w:w="108" w:type="dxa"/>
              <w:bottom w:w="0" w:type="dxa"/>
              <w:right w:w="108" w:type="dxa"/>
            </w:tcMar>
          </w:tcPr>
          <w:p w:rsidR="00000000" w:rsidRDefault="00000000">
            <w:pPr>
              <w:spacing w:after="0"/>
              <w:rPr>
                <w:sz w:val="19"/>
              </w:rPr>
            </w:pPr>
            <w:r>
              <w:rPr>
                <w:sz w:val="19"/>
              </w:rPr>
              <w:t>M. Unit. No. 7</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9.</w:t>
            </w:r>
          </w:p>
        </w:tc>
        <w:tc>
          <w:tcPr>
            <w:tcW w:w="1784" w:type="dxa"/>
            <w:tcMar>
              <w:left w:w="108" w:type="dxa"/>
              <w:bottom w:w="0" w:type="dxa"/>
              <w:right w:w="108" w:type="dxa"/>
            </w:tcMar>
          </w:tcPr>
          <w:p w:rsidR="00000000" w:rsidRDefault="00000000">
            <w:pPr>
              <w:spacing w:after="0"/>
              <w:rPr>
                <w:sz w:val="19"/>
              </w:rPr>
            </w:pPr>
            <w:r>
              <w:rPr>
                <w:sz w:val="19"/>
              </w:rPr>
              <w:t>M. Unit. No. 8</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Borders>
              <w:bottom w:val="nil"/>
            </w:tcBorders>
            <w:tcMar>
              <w:left w:w="108" w:type="dxa"/>
              <w:bottom w:w="0" w:type="dxa"/>
              <w:right w:w="108" w:type="dxa"/>
            </w:tcMar>
          </w:tcPr>
          <w:p w:rsidR="00000000" w:rsidRDefault="00000000">
            <w:pPr>
              <w:spacing w:after="0"/>
              <w:ind w:left="113"/>
              <w:rPr>
                <w:sz w:val="19"/>
              </w:rPr>
            </w:pPr>
            <w:r>
              <w:rPr>
                <w:sz w:val="19"/>
              </w:rPr>
              <w:t>10.</w:t>
            </w:r>
          </w:p>
        </w:tc>
        <w:tc>
          <w:tcPr>
            <w:tcW w:w="1784" w:type="dxa"/>
            <w:tcBorders>
              <w:bottom w:val="nil"/>
            </w:tcBorders>
            <w:tcMar>
              <w:left w:w="108" w:type="dxa"/>
              <w:bottom w:w="0" w:type="dxa"/>
              <w:right w:w="108" w:type="dxa"/>
            </w:tcMar>
          </w:tcPr>
          <w:p w:rsidR="00000000" w:rsidRDefault="00000000">
            <w:pPr>
              <w:spacing w:after="0"/>
              <w:rPr>
                <w:sz w:val="19"/>
              </w:rPr>
            </w:pPr>
            <w:r>
              <w:rPr>
                <w:sz w:val="19"/>
              </w:rPr>
              <w:t>M. Unit. No. 9</w:t>
            </w:r>
          </w:p>
        </w:tc>
        <w:tc>
          <w:tcPr>
            <w:tcW w:w="954" w:type="dxa"/>
            <w:tcBorders>
              <w:bottom w:val="nil"/>
            </w:tcBorders>
            <w:tcMar>
              <w:left w:w="108" w:type="dxa"/>
              <w:bottom w:w="0" w:type="dxa"/>
              <w:right w:w="108" w:type="dxa"/>
            </w:tcMar>
          </w:tcPr>
          <w:p w:rsidR="00000000" w:rsidRDefault="00000000">
            <w:pPr>
              <w:spacing w:after="0"/>
              <w:ind w:right="113"/>
              <w:jc w:val="right"/>
              <w:rPr>
                <w:sz w:val="19"/>
              </w:rPr>
            </w:pPr>
          </w:p>
        </w:tc>
        <w:tc>
          <w:tcPr>
            <w:tcW w:w="850" w:type="dxa"/>
            <w:tcBorders>
              <w:bottom w:val="nil"/>
            </w:tcBorders>
            <w:tcMar>
              <w:left w:w="108" w:type="dxa"/>
              <w:bottom w:w="0" w:type="dxa"/>
              <w:right w:w="108" w:type="dxa"/>
            </w:tcMar>
          </w:tcPr>
          <w:p w:rsidR="00000000" w:rsidRDefault="00000000">
            <w:pPr>
              <w:spacing w:after="0"/>
              <w:ind w:right="57"/>
              <w:jc w:val="right"/>
              <w:rPr>
                <w:sz w:val="19"/>
              </w:rPr>
            </w:pPr>
          </w:p>
        </w:tc>
        <w:tc>
          <w:tcPr>
            <w:tcW w:w="951" w:type="dxa"/>
            <w:tcBorders>
              <w:bottom w:val="nil"/>
            </w:tcBorders>
            <w:tcMar>
              <w:left w:w="108" w:type="dxa"/>
              <w:bottom w:w="0" w:type="dxa"/>
              <w:right w:w="108" w:type="dxa"/>
            </w:tcMar>
          </w:tcPr>
          <w:p w:rsidR="00000000" w:rsidRDefault="00000000">
            <w:pPr>
              <w:spacing w:after="0"/>
              <w:ind w:right="57"/>
              <w:jc w:val="right"/>
              <w:rPr>
                <w:sz w:val="19"/>
              </w:rPr>
            </w:pPr>
          </w:p>
        </w:tc>
        <w:tc>
          <w:tcPr>
            <w:tcW w:w="847" w:type="dxa"/>
            <w:tcBorders>
              <w:bottom w:val="nil"/>
            </w:tcBorders>
            <w:tcMar>
              <w:left w:w="108" w:type="dxa"/>
              <w:bottom w:w="0" w:type="dxa"/>
              <w:right w:w="108" w:type="dxa"/>
            </w:tcMar>
          </w:tcPr>
          <w:p w:rsidR="00000000" w:rsidRDefault="00000000">
            <w:pPr>
              <w:spacing w:after="0"/>
              <w:ind w:right="57"/>
              <w:jc w:val="right"/>
              <w:rPr>
                <w:sz w:val="19"/>
              </w:rPr>
            </w:pPr>
          </w:p>
        </w:tc>
        <w:tc>
          <w:tcPr>
            <w:tcW w:w="712" w:type="dxa"/>
            <w:tcBorders>
              <w:bottom w:val="nil"/>
            </w:tcBorders>
            <w:tcMar>
              <w:left w:w="108" w:type="dxa"/>
              <w:bottom w:w="0" w:type="dxa"/>
              <w:right w:w="108" w:type="dxa"/>
            </w:tcMar>
          </w:tcPr>
          <w:p w:rsidR="00000000" w:rsidRDefault="00000000">
            <w:pPr>
              <w:spacing w:after="0"/>
              <w:ind w:right="57"/>
              <w:jc w:val="right"/>
              <w:rPr>
                <w:sz w:val="19"/>
              </w:rPr>
            </w:pPr>
          </w:p>
        </w:tc>
        <w:tc>
          <w:tcPr>
            <w:tcW w:w="992" w:type="dxa"/>
            <w:tcBorders>
              <w:bottom w:val="nil"/>
            </w:tcBorders>
            <w:tcMar>
              <w:left w:w="108" w:type="dxa"/>
              <w:bottom w:w="0" w:type="dxa"/>
              <w:right w:w="108" w:type="dxa"/>
            </w:tcMar>
          </w:tcPr>
          <w:p w:rsidR="00000000" w:rsidRDefault="00000000">
            <w:pPr>
              <w:spacing w:after="0"/>
              <w:ind w:right="284"/>
              <w:jc w:val="right"/>
              <w:rPr>
                <w:sz w:val="19"/>
              </w:rPr>
            </w:pPr>
          </w:p>
        </w:tc>
        <w:tc>
          <w:tcPr>
            <w:tcW w:w="1418" w:type="dxa"/>
            <w:tcBorders>
              <w:bottom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bottom w:val="nil"/>
            </w:tcBorders>
            <w:tcMar>
              <w:left w:w="108" w:type="dxa"/>
              <w:bottom w:w="0" w:type="dxa"/>
              <w:right w:w="108" w:type="dxa"/>
            </w:tcMar>
          </w:tcPr>
          <w:p w:rsidR="00000000" w:rsidRDefault="00000000">
            <w:pPr>
              <w:spacing w:after="0"/>
              <w:ind w:left="113"/>
              <w:rPr>
                <w:sz w:val="19"/>
              </w:rPr>
            </w:pPr>
            <w:r>
              <w:rPr>
                <w:sz w:val="19"/>
              </w:rPr>
              <w:t>11.</w:t>
            </w:r>
          </w:p>
        </w:tc>
        <w:tc>
          <w:tcPr>
            <w:tcW w:w="1784" w:type="dxa"/>
            <w:tcBorders>
              <w:top w:val="nil"/>
              <w:bottom w:val="nil"/>
            </w:tcBorders>
            <w:tcMar>
              <w:left w:w="108" w:type="dxa"/>
              <w:bottom w:w="0" w:type="dxa"/>
              <w:right w:w="108" w:type="dxa"/>
            </w:tcMar>
          </w:tcPr>
          <w:p w:rsidR="00000000" w:rsidRDefault="00000000">
            <w:pPr>
              <w:spacing w:after="0"/>
              <w:rPr>
                <w:sz w:val="19"/>
              </w:rPr>
            </w:pPr>
            <w:r>
              <w:rPr>
                <w:sz w:val="19"/>
              </w:rPr>
              <w:t>M. Unit. No. 10</w:t>
            </w:r>
          </w:p>
        </w:tc>
        <w:tc>
          <w:tcPr>
            <w:tcW w:w="954" w:type="dxa"/>
            <w:tcBorders>
              <w:top w:val="nil"/>
              <w:bottom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bottom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bottom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bottom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tcBorders>
            <w:tcMar>
              <w:left w:w="108" w:type="dxa"/>
              <w:bottom w:w="0" w:type="dxa"/>
              <w:right w:w="108" w:type="dxa"/>
            </w:tcMar>
          </w:tcPr>
          <w:p w:rsidR="00000000" w:rsidRDefault="00000000">
            <w:pPr>
              <w:spacing w:after="0"/>
              <w:ind w:left="113"/>
              <w:rPr>
                <w:sz w:val="19"/>
              </w:rPr>
            </w:pPr>
            <w:r>
              <w:rPr>
                <w:sz w:val="19"/>
              </w:rPr>
              <w:t>12.</w:t>
            </w:r>
          </w:p>
        </w:tc>
        <w:tc>
          <w:tcPr>
            <w:tcW w:w="1784" w:type="dxa"/>
            <w:tcBorders>
              <w:top w:val="nil"/>
            </w:tcBorders>
            <w:tcMar>
              <w:left w:w="108" w:type="dxa"/>
              <w:bottom w:w="0" w:type="dxa"/>
              <w:right w:w="108" w:type="dxa"/>
            </w:tcMar>
          </w:tcPr>
          <w:p w:rsidR="00000000" w:rsidRDefault="00000000">
            <w:pPr>
              <w:spacing w:after="0"/>
              <w:rPr>
                <w:sz w:val="19"/>
              </w:rPr>
            </w:pPr>
            <w:r>
              <w:rPr>
                <w:sz w:val="19"/>
              </w:rPr>
              <w:t>M. Unit. No. 11</w:t>
            </w:r>
          </w:p>
        </w:tc>
        <w:tc>
          <w:tcPr>
            <w:tcW w:w="954" w:type="dxa"/>
            <w:tcBorders>
              <w:top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13.</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Shengjergj</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72</w:t>
            </w: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rPr>
            </w:pPr>
            <w:r>
              <w:rPr>
                <w:sz w:val="19"/>
              </w:rPr>
              <w:t>14.</w:t>
            </w:r>
          </w:p>
        </w:tc>
        <w:tc>
          <w:tcPr>
            <w:tcW w:w="1784" w:type="dxa"/>
            <w:tcBorders>
              <w:bottom w:val="single" w:sz="4" w:space="0" w:color="auto"/>
            </w:tcBorders>
            <w:tcMar>
              <w:left w:w="108" w:type="dxa"/>
              <w:bottom w:w="0" w:type="dxa"/>
              <w:right w:w="108" w:type="dxa"/>
            </w:tcMar>
          </w:tcPr>
          <w:p w:rsidR="00000000" w:rsidRDefault="00000000">
            <w:pPr>
              <w:spacing w:after="0"/>
              <w:rPr>
                <w:sz w:val="19"/>
              </w:rPr>
            </w:pPr>
            <w:r>
              <w:rPr>
                <w:sz w:val="19"/>
              </w:rPr>
              <w:t xml:space="preserve">C. </w:t>
            </w:r>
            <w:proofErr w:type="spellStart"/>
            <w:r>
              <w:rPr>
                <w:sz w:val="19"/>
              </w:rPr>
              <w:t>Synej</w:t>
            </w:r>
            <w:proofErr w:type="spellEnd"/>
            <w:r>
              <w:rPr>
                <w:sz w:val="19"/>
              </w:rPr>
              <w:t xml:space="preserve"> (</w:t>
            </w:r>
            <w:proofErr w:type="spellStart"/>
            <w:r>
              <w:rPr>
                <w:sz w:val="19"/>
              </w:rPr>
              <w:t>Kavaje</w:t>
            </w:r>
            <w:proofErr w:type="spellEnd"/>
            <w:r>
              <w:rPr>
                <w:sz w:val="19"/>
              </w:rPr>
              <w:t>)</w:t>
            </w:r>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rPr>
            </w:pP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single" w:sz="4" w:space="0" w:color="auto"/>
              <w:bottom w:val="nil"/>
            </w:tcBorders>
            <w:tcMar>
              <w:left w:w="108" w:type="dxa"/>
              <w:bottom w:w="0" w:type="dxa"/>
              <w:right w:w="108" w:type="dxa"/>
            </w:tcMar>
          </w:tcPr>
          <w:p w:rsidR="00000000" w:rsidRDefault="00000000">
            <w:pPr>
              <w:spacing w:after="0"/>
              <w:ind w:left="113"/>
              <w:rPr>
                <w:sz w:val="19"/>
                <w:lang w:val="de-DE"/>
              </w:rPr>
            </w:pPr>
            <w:r>
              <w:rPr>
                <w:sz w:val="19"/>
                <w:lang w:val="de-DE"/>
              </w:rPr>
              <w:t>VIII.</w:t>
            </w:r>
          </w:p>
        </w:tc>
        <w:tc>
          <w:tcPr>
            <w:tcW w:w="1784" w:type="dxa"/>
            <w:tcBorders>
              <w:top w:val="single" w:sz="4" w:space="0" w:color="auto"/>
              <w:bottom w:val="nil"/>
            </w:tcBorders>
            <w:tcMar>
              <w:left w:w="108" w:type="dxa"/>
              <w:bottom w:w="0" w:type="dxa"/>
              <w:right w:w="108" w:type="dxa"/>
            </w:tcMar>
          </w:tcPr>
          <w:p w:rsidR="00000000" w:rsidRDefault="00000000">
            <w:pPr>
              <w:spacing w:after="0"/>
              <w:rPr>
                <w:sz w:val="19"/>
                <w:lang w:val="de-DE"/>
              </w:rPr>
            </w:pPr>
            <w:r>
              <w:rPr>
                <w:sz w:val="19"/>
                <w:lang w:val="de-DE"/>
              </w:rPr>
              <w:t>Region Korçe</w:t>
            </w:r>
          </w:p>
        </w:tc>
        <w:tc>
          <w:tcPr>
            <w:tcW w:w="954" w:type="dxa"/>
            <w:tcBorders>
              <w:top w:val="single" w:sz="4" w:space="0" w:color="auto"/>
              <w:bottom w:val="nil"/>
            </w:tcBorders>
            <w:tcMar>
              <w:left w:w="108" w:type="dxa"/>
              <w:bottom w:w="0" w:type="dxa"/>
              <w:right w:w="108" w:type="dxa"/>
            </w:tcMar>
          </w:tcPr>
          <w:p w:rsidR="00000000" w:rsidRDefault="00000000">
            <w:pPr>
              <w:spacing w:after="0"/>
              <w:ind w:right="113"/>
              <w:jc w:val="right"/>
              <w:rPr>
                <w:sz w:val="19"/>
                <w:lang w:val="de-DE"/>
              </w:rPr>
            </w:pPr>
            <w:r>
              <w:rPr>
                <w:sz w:val="19"/>
                <w:lang w:val="de-DE"/>
              </w:rPr>
              <w:t>310</w:t>
            </w:r>
          </w:p>
        </w:tc>
        <w:tc>
          <w:tcPr>
            <w:tcW w:w="850"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684</w:t>
            </w:r>
          </w:p>
        </w:tc>
        <w:tc>
          <w:tcPr>
            <w:tcW w:w="951"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455</w:t>
            </w:r>
          </w:p>
        </w:tc>
        <w:tc>
          <w:tcPr>
            <w:tcW w:w="847"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859</w:t>
            </w:r>
          </w:p>
        </w:tc>
        <w:tc>
          <w:tcPr>
            <w:tcW w:w="712"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92" w:type="dxa"/>
            <w:tcBorders>
              <w:top w:val="single" w:sz="4" w:space="0" w:color="auto"/>
              <w:bottom w:val="nil"/>
            </w:tcBorders>
            <w:tcMar>
              <w:left w:w="108" w:type="dxa"/>
              <w:bottom w:w="0" w:type="dxa"/>
              <w:right w:w="108" w:type="dxa"/>
            </w:tcMar>
          </w:tcPr>
          <w:p w:rsidR="00000000" w:rsidRDefault="00000000">
            <w:pPr>
              <w:spacing w:after="0"/>
              <w:ind w:right="284"/>
              <w:jc w:val="right"/>
              <w:rPr>
                <w:sz w:val="19"/>
                <w:lang w:val="de-DE"/>
              </w:rPr>
            </w:pPr>
            <w:r>
              <w:rPr>
                <w:sz w:val="19"/>
                <w:lang w:val="de-DE"/>
              </w:rPr>
              <w:t>0</w:t>
            </w:r>
          </w:p>
        </w:tc>
        <w:tc>
          <w:tcPr>
            <w:tcW w:w="1418" w:type="dxa"/>
            <w:tcBorders>
              <w:top w:val="single" w:sz="4" w:space="0" w:color="auto"/>
              <w:bottom w:val="nil"/>
            </w:tcBorders>
            <w:tcMar>
              <w:left w:w="108" w:type="dxa"/>
              <w:bottom w:w="0" w:type="dxa"/>
              <w:right w:w="108" w:type="dxa"/>
            </w:tcMar>
          </w:tcPr>
          <w:p w:rsidR="00000000" w:rsidRDefault="00000000">
            <w:pPr>
              <w:spacing w:after="0"/>
              <w:ind w:right="454"/>
              <w:jc w:val="right"/>
              <w:rPr>
                <w:sz w:val="19"/>
                <w:lang w:val="de-DE"/>
              </w:rPr>
            </w:pPr>
            <w:r>
              <w:rPr>
                <w:sz w:val="19"/>
                <w:lang w:val="de-DE"/>
              </w:rPr>
              <w:t>0</w:t>
            </w:r>
          </w:p>
        </w:tc>
      </w:tr>
      <w:tr w:rsidR="00000000">
        <w:tc>
          <w:tcPr>
            <w:tcW w:w="848" w:type="dxa"/>
            <w:tcBorders>
              <w:top w:val="nil"/>
            </w:tcBorders>
            <w:tcMar>
              <w:left w:w="108" w:type="dxa"/>
              <w:bottom w:w="0" w:type="dxa"/>
              <w:right w:w="108" w:type="dxa"/>
            </w:tcMar>
          </w:tcPr>
          <w:p w:rsidR="00000000" w:rsidRDefault="00000000">
            <w:pPr>
              <w:spacing w:after="0"/>
              <w:ind w:left="113"/>
              <w:rPr>
                <w:sz w:val="19"/>
                <w:lang w:val="de-DE"/>
              </w:rPr>
            </w:pPr>
            <w:r>
              <w:rPr>
                <w:sz w:val="19"/>
                <w:lang w:val="de-DE"/>
              </w:rPr>
              <w:t>1.</w:t>
            </w:r>
          </w:p>
        </w:tc>
        <w:tc>
          <w:tcPr>
            <w:tcW w:w="1784" w:type="dxa"/>
            <w:tcBorders>
              <w:top w:val="nil"/>
            </w:tcBorders>
            <w:tcMar>
              <w:left w:w="108" w:type="dxa"/>
              <w:bottom w:w="0" w:type="dxa"/>
              <w:right w:w="108" w:type="dxa"/>
            </w:tcMar>
          </w:tcPr>
          <w:p w:rsidR="00000000" w:rsidRDefault="00000000">
            <w:pPr>
              <w:spacing w:after="0"/>
              <w:rPr>
                <w:sz w:val="19"/>
                <w:lang w:val="de-DE"/>
              </w:rPr>
            </w:pPr>
            <w:r>
              <w:rPr>
                <w:sz w:val="19"/>
                <w:lang w:val="de-DE"/>
              </w:rPr>
              <w:t>M. Korçe</w:t>
            </w:r>
          </w:p>
        </w:tc>
        <w:tc>
          <w:tcPr>
            <w:tcW w:w="954" w:type="dxa"/>
            <w:tcBorders>
              <w:top w:val="nil"/>
            </w:tcBorders>
            <w:tcMar>
              <w:left w:w="108" w:type="dxa"/>
              <w:bottom w:w="0" w:type="dxa"/>
              <w:right w:w="108" w:type="dxa"/>
            </w:tcMar>
          </w:tcPr>
          <w:p w:rsidR="00000000" w:rsidRDefault="00000000">
            <w:pPr>
              <w:spacing w:after="0"/>
              <w:ind w:right="113"/>
              <w:jc w:val="right"/>
              <w:rPr>
                <w:sz w:val="19"/>
                <w:lang w:val="de-DE"/>
              </w:rPr>
            </w:pPr>
          </w:p>
        </w:tc>
        <w:tc>
          <w:tcPr>
            <w:tcW w:w="850"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951" w:type="dxa"/>
            <w:tcBorders>
              <w:top w:val="nil"/>
            </w:tcBorders>
            <w:tcMar>
              <w:left w:w="108" w:type="dxa"/>
              <w:bottom w:w="0" w:type="dxa"/>
              <w:right w:w="108" w:type="dxa"/>
            </w:tcMar>
          </w:tcPr>
          <w:p w:rsidR="00000000" w:rsidRDefault="00000000">
            <w:pPr>
              <w:spacing w:after="0"/>
              <w:ind w:right="57"/>
              <w:jc w:val="right"/>
              <w:rPr>
                <w:sz w:val="19"/>
                <w:lang w:val="de-DE"/>
              </w:rPr>
            </w:pPr>
            <w:r>
              <w:rPr>
                <w:sz w:val="19"/>
                <w:lang w:val="de-DE"/>
              </w:rPr>
              <w:t>220</w:t>
            </w:r>
          </w:p>
        </w:tc>
        <w:tc>
          <w:tcPr>
            <w:tcW w:w="847"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712"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992" w:type="dxa"/>
            <w:tcBorders>
              <w:top w:val="nil"/>
            </w:tcBorders>
            <w:tcMar>
              <w:left w:w="108" w:type="dxa"/>
              <w:bottom w:w="0" w:type="dxa"/>
              <w:right w:w="108" w:type="dxa"/>
            </w:tcMar>
          </w:tcPr>
          <w:p w:rsidR="00000000" w:rsidRDefault="00000000">
            <w:pPr>
              <w:spacing w:after="0"/>
              <w:ind w:right="284"/>
              <w:jc w:val="right"/>
              <w:rPr>
                <w:sz w:val="19"/>
                <w:lang w:val="de-DE"/>
              </w:rPr>
            </w:pPr>
          </w:p>
        </w:tc>
        <w:tc>
          <w:tcPr>
            <w:tcW w:w="1418" w:type="dxa"/>
            <w:tcBorders>
              <w:top w:val="nil"/>
            </w:tcBorders>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2.</w:t>
            </w:r>
          </w:p>
        </w:tc>
        <w:tc>
          <w:tcPr>
            <w:tcW w:w="1784" w:type="dxa"/>
            <w:tcMar>
              <w:left w:w="108" w:type="dxa"/>
              <w:bottom w:w="0" w:type="dxa"/>
              <w:right w:w="108" w:type="dxa"/>
            </w:tcMar>
          </w:tcPr>
          <w:p w:rsidR="00000000" w:rsidRDefault="00000000">
            <w:pPr>
              <w:spacing w:after="0"/>
              <w:rPr>
                <w:sz w:val="19"/>
                <w:lang w:val="de-DE"/>
              </w:rPr>
            </w:pPr>
            <w:r>
              <w:rPr>
                <w:sz w:val="19"/>
                <w:lang w:val="de-DE"/>
              </w:rPr>
              <w:t>M. Pogradec</w:t>
            </w:r>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146</w:t>
            </w: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684</w:t>
            </w: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94</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470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3.</w:t>
            </w:r>
          </w:p>
        </w:tc>
        <w:tc>
          <w:tcPr>
            <w:tcW w:w="1784" w:type="dxa"/>
            <w:tcMar>
              <w:left w:w="108" w:type="dxa"/>
              <w:bottom w:w="0" w:type="dxa"/>
              <w:right w:w="108" w:type="dxa"/>
            </w:tcMar>
          </w:tcPr>
          <w:p w:rsidR="00000000" w:rsidRDefault="00000000">
            <w:pPr>
              <w:spacing w:after="0"/>
              <w:rPr>
                <w:sz w:val="19"/>
                <w:lang w:val="de-DE"/>
              </w:rPr>
            </w:pPr>
            <w:r>
              <w:rPr>
                <w:sz w:val="19"/>
                <w:lang w:val="de-DE"/>
              </w:rPr>
              <w:t>M. Erseke</w:t>
            </w:r>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135</w:t>
            </w: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15</w:t>
            </w: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4.</w:t>
            </w:r>
          </w:p>
        </w:tc>
        <w:tc>
          <w:tcPr>
            <w:tcW w:w="1784" w:type="dxa"/>
            <w:tcMar>
              <w:left w:w="108" w:type="dxa"/>
              <w:bottom w:w="0" w:type="dxa"/>
              <w:right w:w="108" w:type="dxa"/>
            </w:tcMar>
          </w:tcPr>
          <w:p w:rsidR="00000000" w:rsidRDefault="00000000">
            <w:pPr>
              <w:spacing w:after="0"/>
              <w:rPr>
                <w:sz w:val="19"/>
                <w:lang w:val="de-DE"/>
              </w:rPr>
            </w:pPr>
            <w:r>
              <w:rPr>
                <w:sz w:val="19"/>
                <w:lang w:val="de-DE"/>
              </w:rPr>
              <w:t>M. Bilisht</w:t>
            </w:r>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10</w:t>
            </w: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20</w:t>
            </w: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5.</w:t>
            </w:r>
          </w:p>
        </w:tc>
        <w:tc>
          <w:tcPr>
            <w:tcW w:w="1784" w:type="dxa"/>
            <w:tcMar>
              <w:left w:w="108" w:type="dxa"/>
              <w:bottom w:w="0" w:type="dxa"/>
              <w:right w:w="108" w:type="dxa"/>
            </w:tcMar>
          </w:tcPr>
          <w:p w:rsidR="00000000" w:rsidRDefault="00000000">
            <w:pPr>
              <w:spacing w:after="0"/>
              <w:rPr>
                <w:sz w:val="19"/>
                <w:lang w:val="de-DE"/>
              </w:rPr>
            </w:pPr>
            <w:r>
              <w:rPr>
                <w:sz w:val="19"/>
                <w:lang w:val="de-DE"/>
              </w:rPr>
              <w:t>M. Maliq</w:t>
            </w:r>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19</w:t>
            </w: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91</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389</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lang w:val="de-DE"/>
              </w:rPr>
            </w:pPr>
            <w:r>
              <w:rPr>
                <w:sz w:val="19"/>
                <w:lang w:val="de-DE"/>
              </w:rPr>
              <w:t>6.</w:t>
            </w:r>
          </w:p>
        </w:tc>
        <w:tc>
          <w:tcPr>
            <w:tcW w:w="1784" w:type="dxa"/>
            <w:tcBorders>
              <w:bottom w:val="single" w:sz="4" w:space="0" w:color="auto"/>
            </w:tcBorders>
            <w:tcMar>
              <w:left w:w="108" w:type="dxa"/>
              <w:bottom w:w="0" w:type="dxa"/>
              <w:right w:w="108" w:type="dxa"/>
            </w:tcMar>
          </w:tcPr>
          <w:p w:rsidR="00000000" w:rsidRDefault="00000000">
            <w:pPr>
              <w:spacing w:after="0"/>
              <w:rPr>
                <w:sz w:val="19"/>
                <w:lang w:val="de-DE"/>
              </w:rPr>
            </w:pPr>
            <w:r>
              <w:rPr>
                <w:sz w:val="19"/>
                <w:lang w:val="de-DE"/>
              </w:rPr>
              <w:t>M. Leskovik</w:t>
            </w:r>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lang w:val="de-DE"/>
              </w:rPr>
            </w:pP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lang w:val="de-DE"/>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r>
              <w:rPr>
                <w:sz w:val="19"/>
                <w:lang w:val="fr-FR"/>
              </w:rPr>
              <w:t>15</w:t>
            </w: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lang w:val="fr-FR"/>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top w:val="single" w:sz="4" w:space="0" w:color="auto"/>
              <w:bottom w:val="nil"/>
            </w:tcBorders>
            <w:tcMar>
              <w:left w:w="108" w:type="dxa"/>
              <w:bottom w:w="0" w:type="dxa"/>
              <w:right w:w="108" w:type="dxa"/>
            </w:tcMar>
          </w:tcPr>
          <w:p w:rsidR="00000000" w:rsidRDefault="00000000">
            <w:pPr>
              <w:spacing w:after="0"/>
              <w:ind w:left="113"/>
              <w:rPr>
                <w:sz w:val="19"/>
                <w:lang w:val="fr-FR"/>
              </w:rPr>
            </w:pPr>
            <w:proofErr w:type="spellStart"/>
            <w:r>
              <w:rPr>
                <w:sz w:val="19"/>
                <w:lang w:val="fr-FR"/>
              </w:rPr>
              <w:t>IX</w:t>
            </w:r>
            <w:proofErr w:type="spellEnd"/>
            <w:r>
              <w:rPr>
                <w:sz w:val="19"/>
                <w:lang w:val="fr-FR"/>
              </w:rPr>
              <w:t>.</w:t>
            </w:r>
          </w:p>
        </w:tc>
        <w:tc>
          <w:tcPr>
            <w:tcW w:w="1784" w:type="dxa"/>
            <w:tcBorders>
              <w:top w:val="single" w:sz="4" w:space="0" w:color="auto"/>
              <w:bottom w:val="nil"/>
            </w:tcBorders>
            <w:tcMar>
              <w:left w:w="108" w:type="dxa"/>
              <w:bottom w:w="0" w:type="dxa"/>
              <w:right w:w="108" w:type="dxa"/>
            </w:tcMar>
          </w:tcPr>
          <w:p w:rsidR="00000000" w:rsidRDefault="00000000">
            <w:pPr>
              <w:spacing w:after="0"/>
              <w:rPr>
                <w:sz w:val="19"/>
                <w:lang w:val="fr-FR"/>
              </w:rPr>
            </w:pPr>
            <w:proofErr w:type="spellStart"/>
            <w:r>
              <w:rPr>
                <w:sz w:val="19"/>
                <w:lang w:val="fr-FR"/>
              </w:rPr>
              <w:t>Region</w:t>
            </w:r>
            <w:proofErr w:type="spellEnd"/>
            <w:r>
              <w:rPr>
                <w:sz w:val="19"/>
                <w:lang w:val="fr-FR"/>
              </w:rPr>
              <w:t xml:space="preserve"> </w:t>
            </w:r>
            <w:proofErr w:type="spellStart"/>
            <w:r>
              <w:rPr>
                <w:sz w:val="19"/>
                <w:lang w:val="fr-FR"/>
              </w:rPr>
              <w:t>Durres</w:t>
            </w:r>
            <w:proofErr w:type="spellEnd"/>
          </w:p>
        </w:tc>
        <w:tc>
          <w:tcPr>
            <w:tcW w:w="954" w:type="dxa"/>
            <w:tcBorders>
              <w:top w:val="single" w:sz="4" w:space="0" w:color="auto"/>
              <w:bottom w:val="nil"/>
            </w:tcBorders>
            <w:tcMar>
              <w:left w:w="108" w:type="dxa"/>
              <w:bottom w:w="0" w:type="dxa"/>
              <w:right w:w="108" w:type="dxa"/>
            </w:tcMar>
          </w:tcPr>
          <w:p w:rsidR="00000000" w:rsidRDefault="00000000">
            <w:pPr>
              <w:spacing w:after="0"/>
              <w:ind w:right="113"/>
              <w:jc w:val="right"/>
              <w:rPr>
                <w:sz w:val="19"/>
                <w:lang w:val="de-DE"/>
              </w:rPr>
            </w:pPr>
            <w:r>
              <w:rPr>
                <w:sz w:val="19"/>
                <w:lang w:val="de-DE"/>
              </w:rPr>
              <w:t>1E+05</w:t>
            </w:r>
          </w:p>
        </w:tc>
        <w:tc>
          <w:tcPr>
            <w:tcW w:w="850"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51"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11 872</w:t>
            </w:r>
          </w:p>
        </w:tc>
        <w:tc>
          <w:tcPr>
            <w:tcW w:w="847"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712"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0</w:t>
            </w:r>
          </w:p>
        </w:tc>
        <w:tc>
          <w:tcPr>
            <w:tcW w:w="992" w:type="dxa"/>
            <w:tcBorders>
              <w:top w:val="single" w:sz="4" w:space="0" w:color="auto"/>
              <w:bottom w:val="nil"/>
            </w:tcBorders>
            <w:tcMar>
              <w:left w:w="108" w:type="dxa"/>
              <w:bottom w:w="0" w:type="dxa"/>
              <w:right w:w="108" w:type="dxa"/>
            </w:tcMar>
          </w:tcPr>
          <w:p w:rsidR="00000000" w:rsidRDefault="00000000">
            <w:pPr>
              <w:spacing w:after="0"/>
              <w:ind w:right="284"/>
              <w:jc w:val="right"/>
              <w:rPr>
                <w:sz w:val="19"/>
                <w:lang w:val="de-DE"/>
              </w:rPr>
            </w:pPr>
            <w:r>
              <w:rPr>
                <w:sz w:val="19"/>
                <w:lang w:val="de-DE"/>
              </w:rPr>
              <w:t>0</w:t>
            </w:r>
          </w:p>
        </w:tc>
        <w:tc>
          <w:tcPr>
            <w:tcW w:w="1418" w:type="dxa"/>
            <w:tcBorders>
              <w:top w:val="single" w:sz="4" w:space="0" w:color="auto"/>
              <w:bottom w:val="nil"/>
            </w:tcBorders>
            <w:tcMar>
              <w:left w:w="108" w:type="dxa"/>
              <w:bottom w:w="0" w:type="dxa"/>
              <w:right w:w="108" w:type="dxa"/>
            </w:tcMar>
          </w:tcPr>
          <w:p w:rsidR="00000000" w:rsidRDefault="00000000">
            <w:pPr>
              <w:spacing w:after="0"/>
              <w:ind w:right="454"/>
              <w:jc w:val="right"/>
              <w:rPr>
                <w:sz w:val="19"/>
                <w:lang w:val="de-DE"/>
              </w:rPr>
            </w:pPr>
            <w:r>
              <w:rPr>
                <w:sz w:val="19"/>
                <w:lang w:val="de-DE"/>
              </w:rPr>
              <w:t>0</w:t>
            </w:r>
          </w:p>
        </w:tc>
      </w:tr>
      <w:tr w:rsidR="00000000">
        <w:tc>
          <w:tcPr>
            <w:tcW w:w="848" w:type="dxa"/>
            <w:tcBorders>
              <w:top w:val="nil"/>
            </w:tcBorders>
            <w:tcMar>
              <w:left w:w="108" w:type="dxa"/>
              <w:bottom w:w="0" w:type="dxa"/>
              <w:right w:w="108" w:type="dxa"/>
            </w:tcMar>
          </w:tcPr>
          <w:p w:rsidR="00000000" w:rsidRDefault="00000000">
            <w:pPr>
              <w:spacing w:after="0"/>
              <w:ind w:left="113"/>
              <w:rPr>
                <w:sz w:val="19"/>
                <w:lang w:val="de-DE"/>
              </w:rPr>
            </w:pPr>
            <w:r>
              <w:rPr>
                <w:sz w:val="19"/>
                <w:lang w:val="de-DE"/>
              </w:rPr>
              <w:t>1.</w:t>
            </w:r>
          </w:p>
        </w:tc>
        <w:tc>
          <w:tcPr>
            <w:tcW w:w="1784" w:type="dxa"/>
            <w:tcBorders>
              <w:top w:val="nil"/>
            </w:tcBorders>
            <w:tcMar>
              <w:left w:w="108" w:type="dxa"/>
              <w:bottom w:w="0" w:type="dxa"/>
              <w:right w:w="108" w:type="dxa"/>
            </w:tcMar>
          </w:tcPr>
          <w:p w:rsidR="00000000" w:rsidRDefault="00000000">
            <w:pPr>
              <w:spacing w:after="0"/>
              <w:rPr>
                <w:sz w:val="19"/>
                <w:lang w:val="de-DE"/>
              </w:rPr>
            </w:pPr>
            <w:r>
              <w:rPr>
                <w:sz w:val="19"/>
                <w:lang w:val="de-DE"/>
              </w:rPr>
              <w:t>M. Durres</w:t>
            </w:r>
          </w:p>
        </w:tc>
        <w:tc>
          <w:tcPr>
            <w:tcW w:w="954" w:type="dxa"/>
            <w:tcBorders>
              <w:top w:val="nil"/>
            </w:tcBorders>
            <w:tcMar>
              <w:left w:w="108" w:type="dxa"/>
              <w:bottom w:w="0" w:type="dxa"/>
              <w:right w:w="108" w:type="dxa"/>
            </w:tcMar>
          </w:tcPr>
          <w:p w:rsidR="00000000" w:rsidRDefault="00000000">
            <w:pPr>
              <w:spacing w:after="0"/>
              <w:ind w:right="113"/>
              <w:jc w:val="right"/>
              <w:rPr>
                <w:sz w:val="19"/>
              </w:rPr>
            </w:pPr>
            <w:r>
              <w:rPr>
                <w:sz w:val="19"/>
              </w:rPr>
              <w:t>52 689</w:t>
            </w:r>
          </w:p>
        </w:tc>
        <w:tc>
          <w:tcPr>
            <w:tcW w:w="850" w:type="dxa"/>
            <w:tcBorders>
              <w:top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tcBorders>
            <w:tcMar>
              <w:left w:w="108" w:type="dxa"/>
              <w:bottom w:w="0" w:type="dxa"/>
              <w:right w:w="108" w:type="dxa"/>
            </w:tcMar>
          </w:tcPr>
          <w:p w:rsidR="00000000" w:rsidRDefault="00000000">
            <w:pPr>
              <w:spacing w:after="0"/>
              <w:ind w:right="57"/>
              <w:jc w:val="right"/>
              <w:rPr>
                <w:sz w:val="19"/>
              </w:rPr>
            </w:pPr>
            <w:r>
              <w:rPr>
                <w:sz w:val="19"/>
              </w:rPr>
              <w:t>3 790</w:t>
            </w:r>
          </w:p>
        </w:tc>
        <w:tc>
          <w:tcPr>
            <w:tcW w:w="847" w:type="dxa"/>
            <w:tcBorders>
              <w:top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w:t>
            </w:r>
          </w:p>
        </w:tc>
        <w:tc>
          <w:tcPr>
            <w:tcW w:w="1784" w:type="dxa"/>
            <w:tcMar>
              <w:left w:w="108" w:type="dxa"/>
              <w:bottom w:w="0" w:type="dxa"/>
              <w:right w:w="108" w:type="dxa"/>
            </w:tcMar>
          </w:tcPr>
          <w:p w:rsidR="00000000" w:rsidRDefault="00000000">
            <w:pPr>
              <w:spacing w:after="0"/>
              <w:rPr>
                <w:sz w:val="19"/>
              </w:rPr>
            </w:pPr>
            <w:r>
              <w:rPr>
                <w:sz w:val="19"/>
              </w:rPr>
              <w:t xml:space="preserve">M. </w:t>
            </w:r>
            <w:proofErr w:type="spellStart"/>
            <w:r>
              <w:rPr>
                <w:sz w:val="19"/>
              </w:rPr>
              <w:t>Shijak</w:t>
            </w:r>
            <w:proofErr w:type="spellEnd"/>
          </w:p>
        </w:tc>
        <w:tc>
          <w:tcPr>
            <w:tcW w:w="954" w:type="dxa"/>
            <w:tcMar>
              <w:left w:w="108" w:type="dxa"/>
              <w:bottom w:w="0" w:type="dxa"/>
              <w:right w:w="108" w:type="dxa"/>
            </w:tcMar>
          </w:tcPr>
          <w:p w:rsidR="00000000" w:rsidRDefault="00000000">
            <w:pPr>
              <w:spacing w:after="0"/>
              <w:ind w:right="113"/>
              <w:jc w:val="right"/>
              <w:rPr>
                <w:sz w:val="19"/>
              </w:rPr>
            </w:pPr>
            <w:r>
              <w:rPr>
                <w:sz w:val="19"/>
              </w:rPr>
              <w:t>3 012</w:t>
            </w: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16</w:t>
            </w: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3.</w:t>
            </w:r>
          </w:p>
        </w:tc>
        <w:tc>
          <w:tcPr>
            <w:tcW w:w="1784" w:type="dxa"/>
            <w:tcMar>
              <w:left w:w="108" w:type="dxa"/>
              <w:bottom w:w="0" w:type="dxa"/>
              <w:right w:w="108" w:type="dxa"/>
            </w:tcMar>
          </w:tcPr>
          <w:p w:rsidR="00000000" w:rsidRDefault="00000000">
            <w:pPr>
              <w:spacing w:after="0"/>
              <w:rPr>
                <w:sz w:val="19"/>
              </w:rPr>
            </w:pPr>
            <w:r>
              <w:rPr>
                <w:sz w:val="19"/>
              </w:rPr>
              <w:t xml:space="preserve">M. </w:t>
            </w:r>
            <w:proofErr w:type="spellStart"/>
            <w:r>
              <w:rPr>
                <w:sz w:val="19"/>
              </w:rPr>
              <w:t>Sukth</w:t>
            </w:r>
            <w:proofErr w:type="spellEnd"/>
          </w:p>
        </w:tc>
        <w:tc>
          <w:tcPr>
            <w:tcW w:w="954" w:type="dxa"/>
            <w:tcMar>
              <w:left w:w="108" w:type="dxa"/>
              <w:bottom w:w="0" w:type="dxa"/>
              <w:right w:w="108" w:type="dxa"/>
            </w:tcMar>
          </w:tcPr>
          <w:p w:rsidR="00000000" w:rsidRDefault="00000000">
            <w:pPr>
              <w:spacing w:after="0"/>
              <w:ind w:right="113"/>
              <w:jc w:val="right"/>
              <w:rPr>
                <w:sz w:val="19"/>
              </w:rPr>
            </w:pPr>
            <w:r>
              <w:rPr>
                <w:sz w:val="19"/>
              </w:rPr>
              <w:t>4 237</w:t>
            </w: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151</w:t>
            </w: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4.</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Manze</w:t>
            </w:r>
            <w:proofErr w:type="spellEnd"/>
          </w:p>
        </w:tc>
        <w:tc>
          <w:tcPr>
            <w:tcW w:w="954" w:type="dxa"/>
            <w:tcMar>
              <w:left w:w="108" w:type="dxa"/>
              <w:bottom w:w="0" w:type="dxa"/>
              <w:right w:w="108" w:type="dxa"/>
            </w:tcMar>
          </w:tcPr>
          <w:p w:rsidR="00000000" w:rsidRDefault="00000000">
            <w:pPr>
              <w:spacing w:after="0"/>
              <w:ind w:right="113"/>
              <w:jc w:val="right"/>
              <w:rPr>
                <w:sz w:val="19"/>
              </w:rPr>
            </w:pPr>
            <w:r>
              <w:rPr>
                <w:sz w:val="19"/>
              </w:rPr>
              <w:t>3 200</w:t>
            </w: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36</w:t>
            </w: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5.</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Rrashbull</w:t>
            </w:r>
            <w:proofErr w:type="spellEnd"/>
          </w:p>
        </w:tc>
        <w:tc>
          <w:tcPr>
            <w:tcW w:w="954" w:type="dxa"/>
            <w:tcMar>
              <w:left w:w="108" w:type="dxa"/>
              <w:bottom w:w="0" w:type="dxa"/>
              <w:right w:w="108" w:type="dxa"/>
            </w:tcMar>
          </w:tcPr>
          <w:p w:rsidR="00000000" w:rsidRDefault="00000000">
            <w:pPr>
              <w:spacing w:after="0"/>
              <w:ind w:right="113"/>
              <w:jc w:val="right"/>
              <w:rPr>
                <w:sz w:val="19"/>
              </w:rPr>
            </w:pPr>
            <w:r>
              <w:rPr>
                <w:sz w:val="19"/>
              </w:rPr>
              <w:t>5 214</w:t>
            </w: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450</w:t>
            </w:r>
          </w:p>
        </w:tc>
        <w:tc>
          <w:tcPr>
            <w:tcW w:w="847" w:type="dxa"/>
            <w:tcMar>
              <w:left w:w="108" w:type="dxa"/>
              <w:bottom w:w="0" w:type="dxa"/>
              <w:right w:w="108" w:type="dxa"/>
            </w:tcMar>
          </w:tcPr>
          <w:p w:rsidR="00000000" w:rsidRDefault="00000000">
            <w:pPr>
              <w:spacing w:after="0"/>
              <w:ind w:right="57"/>
              <w:jc w:val="right"/>
              <w:rPr>
                <w:sz w:val="19"/>
              </w:rPr>
            </w:pP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6.</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Xhafzotaj</w:t>
            </w:r>
            <w:proofErr w:type="spellEnd"/>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3 389</w:t>
            </w: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115</w:t>
            </w: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7.</w:t>
            </w:r>
          </w:p>
        </w:tc>
        <w:tc>
          <w:tcPr>
            <w:tcW w:w="1784" w:type="dxa"/>
            <w:tcMar>
              <w:left w:w="108" w:type="dxa"/>
              <w:bottom w:w="0" w:type="dxa"/>
              <w:right w:w="108" w:type="dxa"/>
            </w:tcMar>
          </w:tcPr>
          <w:p w:rsidR="00000000" w:rsidRDefault="00000000">
            <w:pPr>
              <w:spacing w:after="0"/>
              <w:rPr>
                <w:sz w:val="19"/>
                <w:lang w:val="de-DE"/>
              </w:rPr>
            </w:pPr>
            <w:r>
              <w:rPr>
                <w:sz w:val="19"/>
                <w:lang w:val="de-DE"/>
              </w:rPr>
              <w:t>C. Katund i Ri</w:t>
            </w:r>
          </w:p>
        </w:tc>
        <w:tc>
          <w:tcPr>
            <w:tcW w:w="954" w:type="dxa"/>
            <w:tcMar>
              <w:left w:w="108" w:type="dxa"/>
              <w:bottom w:w="0" w:type="dxa"/>
              <w:right w:w="108" w:type="dxa"/>
            </w:tcMar>
          </w:tcPr>
          <w:p w:rsidR="00000000" w:rsidRDefault="00000000">
            <w:pPr>
              <w:spacing w:after="0"/>
              <w:ind w:right="113"/>
              <w:jc w:val="right"/>
              <w:rPr>
                <w:sz w:val="19"/>
                <w:lang w:val="nl-NL"/>
              </w:rPr>
            </w:pPr>
            <w:r>
              <w:rPr>
                <w:sz w:val="19"/>
                <w:lang w:val="nl-NL"/>
              </w:rPr>
              <w:t>4 100</w:t>
            </w: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2 500</w:t>
            </w: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8.</w:t>
            </w:r>
          </w:p>
        </w:tc>
        <w:tc>
          <w:tcPr>
            <w:tcW w:w="1784" w:type="dxa"/>
            <w:tcMar>
              <w:left w:w="108" w:type="dxa"/>
              <w:bottom w:w="0" w:type="dxa"/>
              <w:right w:w="108" w:type="dxa"/>
            </w:tcMar>
          </w:tcPr>
          <w:p w:rsidR="00000000" w:rsidRDefault="00000000">
            <w:pPr>
              <w:spacing w:after="0"/>
              <w:rPr>
                <w:sz w:val="19"/>
                <w:lang w:val="nl-NL"/>
              </w:rPr>
            </w:pPr>
            <w:r>
              <w:rPr>
                <w:sz w:val="19"/>
                <w:lang w:val="nl-NL"/>
              </w:rPr>
              <w:t>C. Gjepalaj</w:t>
            </w:r>
          </w:p>
        </w:tc>
        <w:tc>
          <w:tcPr>
            <w:tcW w:w="954" w:type="dxa"/>
            <w:tcMar>
              <w:left w:w="108" w:type="dxa"/>
              <w:bottom w:w="0" w:type="dxa"/>
              <w:right w:w="108" w:type="dxa"/>
            </w:tcMar>
          </w:tcPr>
          <w:p w:rsidR="00000000" w:rsidRDefault="00000000">
            <w:pPr>
              <w:spacing w:after="0"/>
              <w:ind w:right="113"/>
              <w:jc w:val="right"/>
              <w:rPr>
                <w:sz w:val="19"/>
                <w:lang w:val="nl-NL"/>
              </w:rPr>
            </w:pPr>
            <w:r>
              <w:rPr>
                <w:sz w:val="19"/>
                <w:lang w:val="nl-NL"/>
              </w:rPr>
              <w:t>3 260</w:t>
            </w: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3 070</w:t>
            </w:r>
          </w:p>
        </w:tc>
        <w:tc>
          <w:tcPr>
            <w:tcW w:w="847" w:type="dxa"/>
            <w:tcMar>
              <w:left w:w="108" w:type="dxa"/>
              <w:bottom w:w="0" w:type="dxa"/>
              <w:right w:w="108" w:type="dxa"/>
            </w:tcMar>
          </w:tcPr>
          <w:p w:rsidR="00000000" w:rsidRDefault="00000000">
            <w:pPr>
              <w:spacing w:after="0"/>
              <w:ind w:right="57"/>
              <w:jc w:val="right"/>
              <w:rPr>
                <w:sz w:val="19"/>
                <w:lang w:val="nl-NL"/>
              </w:rPr>
            </w:pP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9.</w:t>
            </w:r>
          </w:p>
        </w:tc>
        <w:tc>
          <w:tcPr>
            <w:tcW w:w="1784" w:type="dxa"/>
            <w:tcMar>
              <w:left w:w="108" w:type="dxa"/>
              <w:bottom w:w="0" w:type="dxa"/>
              <w:right w:w="108" w:type="dxa"/>
            </w:tcMar>
          </w:tcPr>
          <w:p w:rsidR="00000000" w:rsidRDefault="00000000">
            <w:pPr>
              <w:spacing w:after="0"/>
              <w:rPr>
                <w:sz w:val="19"/>
                <w:lang w:val="nl-NL"/>
              </w:rPr>
            </w:pPr>
            <w:r>
              <w:rPr>
                <w:sz w:val="19"/>
                <w:lang w:val="nl-NL"/>
              </w:rPr>
              <w:t>C. Maminas</w:t>
            </w:r>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3 260</w:t>
            </w: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24</w:t>
            </w: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lang w:val="de-DE"/>
              </w:rPr>
            </w:pPr>
            <w:r>
              <w:rPr>
                <w:sz w:val="19"/>
                <w:lang w:val="de-DE"/>
              </w:rPr>
              <w:t>10.</w:t>
            </w:r>
          </w:p>
        </w:tc>
        <w:tc>
          <w:tcPr>
            <w:tcW w:w="1784" w:type="dxa"/>
            <w:tcBorders>
              <w:bottom w:val="single" w:sz="4" w:space="0" w:color="auto"/>
            </w:tcBorders>
            <w:tcMar>
              <w:left w:w="108" w:type="dxa"/>
              <w:bottom w:w="0" w:type="dxa"/>
              <w:right w:w="108" w:type="dxa"/>
            </w:tcMar>
          </w:tcPr>
          <w:p w:rsidR="00000000" w:rsidRDefault="00000000">
            <w:pPr>
              <w:spacing w:after="0"/>
              <w:rPr>
                <w:sz w:val="19"/>
                <w:lang w:val="de-DE"/>
              </w:rPr>
            </w:pPr>
            <w:r>
              <w:rPr>
                <w:sz w:val="19"/>
                <w:lang w:val="de-DE"/>
              </w:rPr>
              <w:t>C. Ishem</w:t>
            </w:r>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lang w:val="de-DE"/>
              </w:rPr>
            </w:pPr>
            <w:r>
              <w:rPr>
                <w:sz w:val="19"/>
                <w:lang w:val="de-DE"/>
              </w:rPr>
              <w:t>3 000</w:t>
            </w: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lang w:val="de-DE"/>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lang w:val="de-DE"/>
              </w:rPr>
            </w:pPr>
            <w:r>
              <w:rPr>
                <w:sz w:val="19"/>
                <w:lang w:val="de-DE"/>
              </w:rPr>
              <w:t>18</w:t>
            </w: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lang w:val="de-DE"/>
              </w:rPr>
            </w:pP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lang w:val="de-DE"/>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lang w:val="de-DE"/>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top w:val="single" w:sz="4" w:space="0" w:color="auto"/>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single" w:sz="4" w:space="0" w:color="auto"/>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single" w:sz="4" w:space="0" w:color="auto"/>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single" w:sz="4" w:space="0" w:color="auto"/>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single" w:sz="4" w:space="0" w:color="auto"/>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de-DE"/>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lang w:val="de-DE"/>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bottom w:val="nil"/>
            </w:tcBorders>
            <w:tcMar>
              <w:left w:w="108" w:type="dxa"/>
              <w:bottom w:w="0" w:type="dxa"/>
              <w:right w:w="108" w:type="dxa"/>
            </w:tcMar>
          </w:tcPr>
          <w:p w:rsidR="00000000" w:rsidRDefault="00000000">
            <w:pPr>
              <w:spacing w:after="0"/>
              <w:ind w:left="113"/>
              <w:rPr>
                <w:sz w:val="19"/>
                <w:lang w:val="de-DE"/>
              </w:rPr>
            </w:pPr>
            <w:r>
              <w:rPr>
                <w:sz w:val="19"/>
                <w:lang w:val="de-DE"/>
              </w:rPr>
              <w:t>11.</w:t>
            </w:r>
          </w:p>
        </w:tc>
        <w:tc>
          <w:tcPr>
            <w:tcW w:w="1784" w:type="dxa"/>
            <w:tcBorders>
              <w:top w:val="nil"/>
              <w:bottom w:val="nil"/>
            </w:tcBorders>
            <w:tcMar>
              <w:left w:w="108" w:type="dxa"/>
              <w:bottom w:w="0" w:type="dxa"/>
              <w:right w:w="108" w:type="dxa"/>
            </w:tcMar>
          </w:tcPr>
          <w:p w:rsidR="00000000" w:rsidRDefault="00000000">
            <w:pPr>
              <w:spacing w:after="0"/>
              <w:rPr>
                <w:sz w:val="19"/>
                <w:lang w:val="de-DE"/>
              </w:rPr>
            </w:pPr>
            <w:r>
              <w:rPr>
                <w:sz w:val="19"/>
                <w:lang w:val="de-DE"/>
              </w:rPr>
              <w:t>M. Kruje</w:t>
            </w:r>
          </w:p>
        </w:tc>
        <w:tc>
          <w:tcPr>
            <w:tcW w:w="954" w:type="dxa"/>
            <w:tcBorders>
              <w:top w:val="nil"/>
              <w:bottom w:val="nil"/>
            </w:tcBorders>
            <w:tcMar>
              <w:left w:w="108" w:type="dxa"/>
              <w:bottom w:w="0" w:type="dxa"/>
              <w:right w:w="108" w:type="dxa"/>
            </w:tcMar>
          </w:tcPr>
          <w:p w:rsidR="00000000" w:rsidRDefault="00000000">
            <w:pPr>
              <w:spacing w:after="0"/>
              <w:ind w:right="113"/>
              <w:jc w:val="right"/>
              <w:rPr>
                <w:sz w:val="19"/>
                <w:lang w:val="nl-NL"/>
              </w:rPr>
            </w:pPr>
            <w:r>
              <w:rPr>
                <w:sz w:val="19"/>
                <w:lang w:val="nl-NL"/>
              </w:rPr>
              <w:t>3 786</w:t>
            </w:r>
          </w:p>
        </w:tc>
        <w:tc>
          <w:tcPr>
            <w:tcW w:w="850" w:type="dxa"/>
            <w:tcBorders>
              <w:top w:val="nil"/>
              <w:bottom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bottom w:val="nil"/>
            </w:tcBorders>
            <w:tcMar>
              <w:left w:w="108" w:type="dxa"/>
              <w:bottom w:w="0" w:type="dxa"/>
              <w:right w:w="108" w:type="dxa"/>
            </w:tcMar>
          </w:tcPr>
          <w:p w:rsidR="00000000" w:rsidRDefault="00000000">
            <w:pPr>
              <w:spacing w:after="0"/>
              <w:ind w:right="57"/>
              <w:jc w:val="right"/>
              <w:rPr>
                <w:sz w:val="19"/>
                <w:lang w:val="nl-NL"/>
              </w:rPr>
            </w:pPr>
          </w:p>
        </w:tc>
        <w:tc>
          <w:tcPr>
            <w:tcW w:w="847" w:type="dxa"/>
            <w:tcBorders>
              <w:top w:val="nil"/>
              <w:bottom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bottom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bottom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bottom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nil"/>
            </w:tcBorders>
            <w:tcMar>
              <w:left w:w="108" w:type="dxa"/>
              <w:bottom w:w="0" w:type="dxa"/>
              <w:right w:w="108" w:type="dxa"/>
            </w:tcMar>
          </w:tcPr>
          <w:p w:rsidR="00000000" w:rsidRDefault="00000000">
            <w:pPr>
              <w:spacing w:after="0"/>
              <w:ind w:left="113"/>
              <w:rPr>
                <w:sz w:val="19"/>
                <w:lang w:val="nl-NL"/>
              </w:rPr>
            </w:pPr>
            <w:r>
              <w:rPr>
                <w:sz w:val="19"/>
                <w:lang w:val="nl-NL"/>
              </w:rPr>
              <w:t>12.</w:t>
            </w:r>
          </w:p>
        </w:tc>
        <w:tc>
          <w:tcPr>
            <w:tcW w:w="1784" w:type="dxa"/>
            <w:tcBorders>
              <w:top w:val="nil"/>
            </w:tcBorders>
            <w:tcMar>
              <w:left w:w="108" w:type="dxa"/>
              <w:bottom w:w="0" w:type="dxa"/>
              <w:right w:w="108" w:type="dxa"/>
            </w:tcMar>
          </w:tcPr>
          <w:p w:rsidR="00000000" w:rsidRDefault="00000000">
            <w:pPr>
              <w:spacing w:after="0"/>
              <w:rPr>
                <w:sz w:val="19"/>
                <w:lang w:val="nl-NL"/>
              </w:rPr>
            </w:pPr>
            <w:r>
              <w:rPr>
                <w:sz w:val="19"/>
                <w:lang w:val="nl-NL"/>
              </w:rPr>
              <w:t>M. Fushe-Kruje</w:t>
            </w:r>
          </w:p>
        </w:tc>
        <w:tc>
          <w:tcPr>
            <w:tcW w:w="954" w:type="dxa"/>
            <w:tcBorders>
              <w:top w:val="nil"/>
            </w:tcBorders>
            <w:tcMar>
              <w:left w:w="108" w:type="dxa"/>
              <w:bottom w:w="0" w:type="dxa"/>
              <w:right w:w="108" w:type="dxa"/>
            </w:tcMar>
          </w:tcPr>
          <w:p w:rsidR="00000000" w:rsidRDefault="00000000">
            <w:pPr>
              <w:spacing w:after="0"/>
              <w:ind w:right="113"/>
              <w:jc w:val="right"/>
              <w:rPr>
                <w:sz w:val="19"/>
                <w:lang w:val="nl-NL"/>
              </w:rPr>
            </w:pPr>
            <w:r>
              <w:rPr>
                <w:sz w:val="19"/>
                <w:lang w:val="nl-NL"/>
              </w:rPr>
              <w:t>7 000</w:t>
            </w:r>
          </w:p>
        </w:tc>
        <w:tc>
          <w:tcPr>
            <w:tcW w:w="850" w:type="dxa"/>
            <w:tcBorders>
              <w:top w:val="nil"/>
            </w:tcBorders>
            <w:tcMar>
              <w:left w:w="108" w:type="dxa"/>
              <w:bottom w:w="0" w:type="dxa"/>
              <w:right w:w="108" w:type="dxa"/>
            </w:tcMar>
          </w:tcPr>
          <w:p w:rsidR="00000000" w:rsidRDefault="00000000">
            <w:pPr>
              <w:spacing w:after="0"/>
              <w:ind w:right="57"/>
              <w:jc w:val="right"/>
              <w:rPr>
                <w:sz w:val="19"/>
                <w:lang w:val="nl-NL"/>
              </w:rPr>
            </w:pPr>
          </w:p>
        </w:tc>
        <w:tc>
          <w:tcPr>
            <w:tcW w:w="951" w:type="dxa"/>
            <w:tcBorders>
              <w:top w:val="nil"/>
            </w:tcBorders>
            <w:tcMar>
              <w:left w:w="108" w:type="dxa"/>
              <w:bottom w:w="0" w:type="dxa"/>
              <w:right w:w="108" w:type="dxa"/>
            </w:tcMar>
          </w:tcPr>
          <w:p w:rsidR="00000000" w:rsidRDefault="00000000">
            <w:pPr>
              <w:spacing w:after="0"/>
              <w:ind w:right="57"/>
              <w:jc w:val="right"/>
              <w:rPr>
                <w:sz w:val="19"/>
                <w:lang w:val="nl-NL"/>
              </w:rPr>
            </w:pPr>
            <w:r>
              <w:rPr>
                <w:sz w:val="19"/>
                <w:lang w:val="nl-NL"/>
              </w:rPr>
              <w:t>509</w:t>
            </w:r>
          </w:p>
        </w:tc>
        <w:tc>
          <w:tcPr>
            <w:tcW w:w="847" w:type="dxa"/>
            <w:tcBorders>
              <w:top w:val="nil"/>
            </w:tcBorders>
            <w:tcMar>
              <w:left w:w="108" w:type="dxa"/>
              <w:bottom w:w="0" w:type="dxa"/>
              <w:right w:w="108" w:type="dxa"/>
            </w:tcMar>
          </w:tcPr>
          <w:p w:rsidR="00000000" w:rsidRDefault="00000000">
            <w:pPr>
              <w:spacing w:after="0"/>
              <w:ind w:right="57"/>
              <w:jc w:val="right"/>
              <w:rPr>
                <w:sz w:val="19"/>
                <w:lang w:val="nl-NL"/>
              </w:rPr>
            </w:pPr>
          </w:p>
        </w:tc>
        <w:tc>
          <w:tcPr>
            <w:tcW w:w="712" w:type="dxa"/>
            <w:tcBorders>
              <w:top w:val="nil"/>
            </w:tcBorders>
            <w:tcMar>
              <w:left w:w="108" w:type="dxa"/>
              <w:bottom w:w="0" w:type="dxa"/>
              <w:right w:w="108" w:type="dxa"/>
            </w:tcMar>
          </w:tcPr>
          <w:p w:rsidR="00000000" w:rsidRDefault="00000000">
            <w:pPr>
              <w:spacing w:after="0"/>
              <w:ind w:right="57"/>
              <w:jc w:val="right"/>
              <w:rPr>
                <w:sz w:val="19"/>
                <w:lang w:val="nl-NL"/>
              </w:rPr>
            </w:pPr>
          </w:p>
        </w:tc>
        <w:tc>
          <w:tcPr>
            <w:tcW w:w="992" w:type="dxa"/>
            <w:tcBorders>
              <w:top w:val="nil"/>
            </w:tcBorders>
            <w:tcMar>
              <w:left w:w="108" w:type="dxa"/>
              <w:bottom w:w="0" w:type="dxa"/>
              <w:right w:w="108" w:type="dxa"/>
            </w:tcMar>
          </w:tcPr>
          <w:p w:rsidR="00000000" w:rsidRDefault="00000000">
            <w:pPr>
              <w:spacing w:after="0"/>
              <w:ind w:right="284"/>
              <w:jc w:val="right"/>
              <w:rPr>
                <w:sz w:val="19"/>
                <w:lang w:val="nl-NL"/>
              </w:rPr>
            </w:pPr>
          </w:p>
        </w:tc>
        <w:tc>
          <w:tcPr>
            <w:tcW w:w="1418" w:type="dxa"/>
            <w:tcBorders>
              <w:top w:val="nil"/>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13.</w:t>
            </w:r>
          </w:p>
        </w:tc>
        <w:tc>
          <w:tcPr>
            <w:tcW w:w="1784" w:type="dxa"/>
            <w:tcMar>
              <w:left w:w="108" w:type="dxa"/>
              <w:bottom w:w="0" w:type="dxa"/>
              <w:right w:w="108" w:type="dxa"/>
            </w:tcMar>
          </w:tcPr>
          <w:p w:rsidR="00000000" w:rsidRDefault="00000000">
            <w:pPr>
              <w:spacing w:after="0"/>
              <w:rPr>
                <w:sz w:val="19"/>
                <w:lang w:val="nl-NL"/>
              </w:rPr>
            </w:pPr>
            <w:r>
              <w:rPr>
                <w:sz w:val="19"/>
                <w:lang w:val="nl-NL"/>
              </w:rPr>
              <w:t>C. Nikel</w:t>
            </w:r>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3 800</w:t>
            </w:r>
          </w:p>
        </w:tc>
        <w:tc>
          <w:tcPr>
            <w:tcW w:w="850" w:type="dxa"/>
            <w:tcMar>
              <w:left w:w="108" w:type="dxa"/>
              <w:bottom w:w="0" w:type="dxa"/>
              <w:right w:w="108" w:type="dxa"/>
            </w:tcMar>
          </w:tcPr>
          <w:p w:rsidR="00000000" w:rsidRDefault="00000000">
            <w:pPr>
              <w:spacing w:after="0"/>
              <w:ind w:right="57"/>
              <w:jc w:val="right"/>
              <w:rPr>
                <w:sz w:val="19"/>
                <w:lang w:val="fr-FR"/>
              </w:rPr>
            </w:pP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375</w:t>
            </w:r>
          </w:p>
        </w:tc>
        <w:tc>
          <w:tcPr>
            <w:tcW w:w="847" w:type="dxa"/>
            <w:tcMar>
              <w:left w:w="108" w:type="dxa"/>
              <w:bottom w:w="0" w:type="dxa"/>
              <w:right w:w="108" w:type="dxa"/>
            </w:tcMar>
          </w:tcPr>
          <w:p w:rsidR="00000000" w:rsidRDefault="00000000">
            <w:pPr>
              <w:spacing w:after="0"/>
              <w:ind w:right="57"/>
              <w:jc w:val="right"/>
              <w:rPr>
                <w:sz w:val="19"/>
                <w:lang w:val="fr-FR"/>
              </w:rPr>
            </w:pP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14.</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Bubq</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2 340</w:t>
            </w:r>
          </w:p>
        </w:tc>
        <w:tc>
          <w:tcPr>
            <w:tcW w:w="850" w:type="dxa"/>
            <w:tcMar>
              <w:left w:w="108" w:type="dxa"/>
              <w:bottom w:w="0" w:type="dxa"/>
              <w:right w:w="108" w:type="dxa"/>
            </w:tcMar>
          </w:tcPr>
          <w:p w:rsidR="00000000" w:rsidRDefault="00000000">
            <w:pPr>
              <w:spacing w:after="0"/>
              <w:ind w:right="57"/>
              <w:jc w:val="right"/>
              <w:rPr>
                <w:sz w:val="19"/>
                <w:lang w:val="fr-FR"/>
              </w:rPr>
            </w:pP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680</w:t>
            </w:r>
          </w:p>
        </w:tc>
        <w:tc>
          <w:tcPr>
            <w:tcW w:w="847" w:type="dxa"/>
            <w:tcMar>
              <w:left w:w="108" w:type="dxa"/>
              <w:bottom w:w="0" w:type="dxa"/>
              <w:right w:w="108" w:type="dxa"/>
            </w:tcMar>
          </w:tcPr>
          <w:p w:rsidR="00000000" w:rsidRDefault="00000000">
            <w:pPr>
              <w:spacing w:after="0"/>
              <w:ind w:right="57"/>
              <w:jc w:val="right"/>
              <w:rPr>
                <w:sz w:val="19"/>
                <w:lang w:val="fr-FR"/>
              </w:rPr>
            </w:pP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15.</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Thumane</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4 200</w:t>
            </w:r>
          </w:p>
        </w:tc>
        <w:tc>
          <w:tcPr>
            <w:tcW w:w="850" w:type="dxa"/>
            <w:tcMar>
              <w:left w:w="108" w:type="dxa"/>
              <w:bottom w:w="0" w:type="dxa"/>
              <w:right w:w="108" w:type="dxa"/>
            </w:tcMar>
          </w:tcPr>
          <w:p w:rsidR="00000000" w:rsidRDefault="00000000">
            <w:pPr>
              <w:spacing w:after="0"/>
              <w:ind w:right="57"/>
              <w:jc w:val="right"/>
              <w:rPr>
                <w:sz w:val="19"/>
                <w:lang w:val="fr-FR"/>
              </w:rPr>
            </w:pP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120</w:t>
            </w:r>
          </w:p>
        </w:tc>
        <w:tc>
          <w:tcPr>
            <w:tcW w:w="847" w:type="dxa"/>
            <w:tcMar>
              <w:left w:w="108" w:type="dxa"/>
              <w:bottom w:w="0" w:type="dxa"/>
              <w:right w:w="108" w:type="dxa"/>
            </w:tcMar>
          </w:tcPr>
          <w:p w:rsidR="00000000" w:rsidRDefault="00000000">
            <w:pPr>
              <w:spacing w:after="0"/>
              <w:ind w:right="57"/>
              <w:jc w:val="right"/>
              <w:rPr>
                <w:sz w:val="19"/>
                <w:lang w:val="fr-FR"/>
              </w:rPr>
            </w:pP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lang w:val="fr-FR"/>
              </w:rPr>
            </w:pPr>
            <w:r>
              <w:rPr>
                <w:sz w:val="19"/>
                <w:lang w:val="fr-FR"/>
              </w:rPr>
              <w:t>16.</w:t>
            </w:r>
          </w:p>
        </w:tc>
        <w:tc>
          <w:tcPr>
            <w:tcW w:w="1784" w:type="dxa"/>
            <w:tcBorders>
              <w:bottom w:val="single" w:sz="4" w:space="0" w:color="auto"/>
            </w:tcBorders>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Cudhi</w:t>
            </w:r>
            <w:proofErr w:type="spellEnd"/>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lang w:val="nl-NL"/>
              </w:rPr>
            </w:pPr>
            <w:r>
              <w:rPr>
                <w:sz w:val="19"/>
                <w:lang w:val="nl-NL"/>
              </w:rPr>
              <w:t>1 500</w:t>
            </w: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lang w:val="nl-NL"/>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lang w:val="nl-NL"/>
              </w:rPr>
            </w:pPr>
            <w:r>
              <w:rPr>
                <w:sz w:val="19"/>
                <w:lang w:val="nl-NL"/>
              </w:rPr>
              <w:t>18</w:t>
            </w: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lang w:val="nl-NL"/>
              </w:rPr>
            </w:pP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lang w:val="nl-NL"/>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lang w:val="nl-NL"/>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top w:val="single" w:sz="4" w:space="0" w:color="auto"/>
              <w:bottom w:val="nil"/>
            </w:tcBorders>
            <w:tcMar>
              <w:left w:w="108" w:type="dxa"/>
              <w:bottom w:w="0" w:type="dxa"/>
              <w:right w:w="108" w:type="dxa"/>
            </w:tcMar>
          </w:tcPr>
          <w:p w:rsidR="00000000" w:rsidRDefault="00000000">
            <w:pPr>
              <w:spacing w:after="0"/>
              <w:ind w:left="113"/>
              <w:rPr>
                <w:sz w:val="19"/>
                <w:lang w:val="nl-NL"/>
              </w:rPr>
            </w:pPr>
            <w:r>
              <w:rPr>
                <w:sz w:val="19"/>
                <w:lang w:val="nl-NL"/>
              </w:rPr>
              <w:t>X.</w:t>
            </w:r>
          </w:p>
        </w:tc>
        <w:tc>
          <w:tcPr>
            <w:tcW w:w="1784" w:type="dxa"/>
            <w:tcBorders>
              <w:top w:val="single" w:sz="4" w:space="0" w:color="auto"/>
              <w:bottom w:val="nil"/>
            </w:tcBorders>
            <w:tcMar>
              <w:left w:w="108" w:type="dxa"/>
              <w:bottom w:w="0" w:type="dxa"/>
              <w:right w:w="108" w:type="dxa"/>
            </w:tcMar>
          </w:tcPr>
          <w:p w:rsidR="00000000" w:rsidRDefault="00000000">
            <w:pPr>
              <w:spacing w:after="0"/>
              <w:rPr>
                <w:sz w:val="19"/>
                <w:lang w:val="nl-NL"/>
              </w:rPr>
            </w:pPr>
            <w:r>
              <w:rPr>
                <w:sz w:val="19"/>
                <w:lang w:val="nl-NL"/>
              </w:rPr>
              <w:t>Region Vlore</w:t>
            </w:r>
          </w:p>
        </w:tc>
        <w:tc>
          <w:tcPr>
            <w:tcW w:w="954" w:type="dxa"/>
            <w:tcBorders>
              <w:top w:val="single" w:sz="4" w:space="0" w:color="auto"/>
              <w:bottom w:val="nil"/>
            </w:tcBorders>
            <w:tcMar>
              <w:left w:w="108" w:type="dxa"/>
              <w:bottom w:w="0" w:type="dxa"/>
              <w:right w:w="108" w:type="dxa"/>
            </w:tcMar>
          </w:tcPr>
          <w:p w:rsidR="00000000" w:rsidRDefault="00000000">
            <w:pPr>
              <w:spacing w:after="0"/>
              <w:ind w:right="113"/>
              <w:jc w:val="right"/>
              <w:rPr>
                <w:sz w:val="19"/>
                <w:lang w:val="nl-NL"/>
              </w:rPr>
            </w:pPr>
            <w:r>
              <w:rPr>
                <w:sz w:val="19"/>
                <w:lang w:val="nl-NL"/>
              </w:rPr>
              <w:t>0</w:t>
            </w:r>
          </w:p>
        </w:tc>
        <w:tc>
          <w:tcPr>
            <w:tcW w:w="850"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nl-NL"/>
              </w:rPr>
            </w:pPr>
            <w:r>
              <w:rPr>
                <w:sz w:val="19"/>
                <w:lang w:val="nl-NL"/>
              </w:rPr>
              <w:t>6 401</w:t>
            </w:r>
          </w:p>
        </w:tc>
        <w:tc>
          <w:tcPr>
            <w:tcW w:w="951"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nl-NL"/>
              </w:rPr>
            </w:pPr>
            <w:r>
              <w:rPr>
                <w:sz w:val="19"/>
                <w:lang w:val="nl-NL"/>
              </w:rPr>
              <w:t>0</w:t>
            </w:r>
          </w:p>
        </w:tc>
        <w:tc>
          <w:tcPr>
            <w:tcW w:w="847"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nl-NL"/>
              </w:rPr>
            </w:pPr>
            <w:r>
              <w:rPr>
                <w:sz w:val="19"/>
                <w:lang w:val="nl-NL"/>
              </w:rPr>
              <w:t>5 350</w:t>
            </w:r>
          </w:p>
        </w:tc>
        <w:tc>
          <w:tcPr>
            <w:tcW w:w="712" w:type="dxa"/>
            <w:tcBorders>
              <w:top w:val="single" w:sz="4" w:space="0" w:color="auto"/>
              <w:bottom w:val="nil"/>
            </w:tcBorders>
            <w:tcMar>
              <w:left w:w="108" w:type="dxa"/>
              <w:bottom w:w="0" w:type="dxa"/>
              <w:right w:w="108" w:type="dxa"/>
            </w:tcMar>
          </w:tcPr>
          <w:p w:rsidR="00000000" w:rsidRDefault="00000000">
            <w:pPr>
              <w:spacing w:after="0"/>
              <w:ind w:right="57"/>
              <w:jc w:val="right"/>
              <w:rPr>
                <w:sz w:val="19"/>
                <w:lang w:val="nl-NL"/>
              </w:rPr>
            </w:pPr>
            <w:r>
              <w:rPr>
                <w:sz w:val="19"/>
                <w:lang w:val="nl-NL"/>
              </w:rPr>
              <w:t>0</w:t>
            </w:r>
          </w:p>
        </w:tc>
        <w:tc>
          <w:tcPr>
            <w:tcW w:w="992" w:type="dxa"/>
            <w:tcBorders>
              <w:top w:val="single" w:sz="4" w:space="0" w:color="auto"/>
              <w:bottom w:val="nil"/>
            </w:tcBorders>
            <w:tcMar>
              <w:left w:w="108" w:type="dxa"/>
              <w:bottom w:w="0" w:type="dxa"/>
              <w:right w:w="108" w:type="dxa"/>
            </w:tcMar>
          </w:tcPr>
          <w:p w:rsidR="00000000" w:rsidRDefault="00000000">
            <w:pPr>
              <w:spacing w:after="0"/>
              <w:ind w:right="284"/>
              <w:jc w:val="right"/>
              <w:rPr>
                <w:sz w:val="19"/>
                <w:lang w:val="nl-NL"/>
              </w:rPr>
            </w:pPr>
            <w:r>
              <w:rPr>
                <w:sz w:val="19"/>
                <w:lang w:val="nl-NL"/>
              </w:rPr>
              <w:t>0</w:t>
            </w:r>
          </w:p>
        </w:tc>
        <w:tc>
          <w:tcPr>
            <w:tcW w:w="1418" w:type="dxa"/>
            <w:tcBorders>
              <w:top w:val="single" w:sz="4" w:space="0" w:color="auto"/>
              <w:bottom w:val="nil"/>
            </w:tcBorders>
            <w:tcMar>
              <w:left w:w="108" w:type="dxa"/>
              <w:bottom w:w="0" w:type="dxa"/>
              <w:right w:w="108" w:type="dxa"/>
            </w:tcMar>
          </w:tcPr>
          <w:p w:rsidR="00000000" w:rsidRDefault="00000000">
            <w:pPr>
              <w:spacing w:after="0"/>
              <w:ind w:right="454"/>
              <w:jc w:val="right"/>
              <w:rPr>
                <w:sz w:val="19"/>
                <w:lang w:val="nl-NL"/>
              </w:rPr>
            </w:pPr>
            <w:r>
              <w:rPr>
                <w:sz w:val="19"/>
                <w:lang w:val="nl-NL"/>
              </w:rPr>
              <w:t>0</w:t>
            </w:r>
          </w:p>
        </w:tc>
      </w:tr>
      <w:tr w:rsidR="00000000">
        <w:tc>
          <w:tcPr>
            <w:tcW w:w="848" w:type="dxa"/>
            <w:tcBorders>
              <w:top w:val="nil"/>
            </w:tcBorders>
            <w:tcMar>
              <w:left w:w="108" w:type="dxa"/>
              <w:bottom w:w="0" w:type="dxa"/>
              <w:right w:w="108" w:type="dxa"/>
            </w:tcMar>
          </w:tcPr>
          <w:p w:rsidR="00000000" w:rsidRDefault="00000000">
            <w:pPr>
              <w:spacing w:after="0"/>
              <w:ind w:left="113"/>
              <w:rPr>
                <w:sz w:val="19"/>
                <w:lang w:val="nl-NL"/>
              </w:rPr>
            </w:pPr>
            <w:r>
              <w:rPr>
                <w:sz w:val="19"/>
                <w:lang w:val="nl-NL"/>
              </w:rPr>
              <w:t>1.</w:t>
            </w:r>
          </w:p>
        </w:tc>
        <w:tc>
          <w:tcPr>
            <w:tcW w:w="1784" w:type="dxa"/>
            <w:tcBorders>
              <w:top w:val="nil"/>
            </w:tcBorders>
            <w:tcMar>
              <w:left w:w="108" w:type="dxa"/>
              <w:bottom w:w="0" w:type="dxa"/>
              <w:right w:w="108" w:type="dxa"/>
            </w:tcMar>
          </w:tcPr>
          <w:p w:rsidR="00000000" w:rsidRDefault="00000000">
            <w:pPr>
              <w:spacing w:after="0"/>
              <w:rPr>
                <w:sz w:val="19"/>
                <w:lang w:val="nl-NL"/>
              </w:rPr>
            </w:pPr>
            <w:r>
              <w:rPr>
                <w:sz w:val="19"/>
                <w:lang w:val="nl-NL"/>
              </w:rPr>
              <w:t>M. Vlore</w:t>
            </w:r>
          </w:p>
        </w:tc>
        <w:tc>
          <w:tcPr>
            <w:tcW w:w="954" w:type="dxa"/>
            <w:tcBorders>
              <w:top w:val="nil"/>
            </w:tcBorders>
            <w:tcMar>
              <w:left w:w="108" w:type="dxa"/>
              <w:bottom w:w="0" w:type="dxa"/>
              <w:right w:w="108" w:type="dxa"/>
            </w:tcMar>
          </w:tcPr>
          <w:p w:rsidR="00000000" w:rsidRDefault="00000000">
            <w:pPr>
              <w:spacing w:after="0"/>
              <w:ind w:right="113"/>
              <w:jc w:val="right"/>
              <w:rPr>
                <w:sz w:val="19"/>
                <w:lang w:val="nl-NL"/>
              </w:rPr>
            </w:pPr>
          </w:p>
        </w:tc>
        <w:tc>
          <w:tcPr>
            <w:tcW w:w="850" w:type="dxa"/>
            <w:tcBorders>
              <w:top w:val="nil"/>
            </w:tcBorders>
            <w:tcMar>
              <w:left w:w="108" w:type="dxa"/>
              <w:bottom w:w="0" w:type="dxa"/>
              <w:right w:w="108" w:type="dxa"/>
            </w:tcMar>
          </w:tcPr>
          <w:p w:rsidR="00000000" w:rsidRDefault="00000000">
            <w:pPr>
              <w:spacing w:after="0"/>
              <w:ind w:right="57"/>
              <w:jc w:val="right"/>
              <w:rPr>
                <w:sz w:val="19"/>
                <w:lang w:val="de-DE"/>
              </w:rPr>
            </w:pPr>
            <w:r>
              <w:rPr>
                <w:sz w:val="19"/>
                <w:lang w:val="de-DE"/>
              </w:rPr>
              <w:t>248</w:t>
            </w:r>
          </w:p>
        </w:tc>
        <w:tc>
          <w:tcPr>
            <w:tcW w:w="951"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847"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712"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992" w:type="dxa"/>
            <w:tcBorders>
              <w:top w:val="nil"/>
            </w:tcBorders>
            <w:tcMar>
              <w:left w:w="108" w:type="dxa"/>
              <w:bottom w:w="0" w:type="dxa"/>
              <w:right w:w="108" w:type="dxa"/>
            </w:tcMar>
          </w:tcPr>
          <w:p w:rsidR="00000000" w:rsidRDefault="00000000">
            <w:pPr>
              <w:spacing w:after="0"/>
              <w:ind w:right="284"/>
              <w:jc w:val="right"/>
              <w:rPr>
                <w:sz w:val="19"/>
                <w:lang w:val="de-DE"/>
              </w:rPr>
            </w:pPr>
          </w:p>
        </w:tc>
        <w:tc>
          <w:tcPr>
            <w:tcW w:w="1418" w:type="dxa"/>
            <w:tcBorders>
              <w:top w:val="nil"/>
            </w:tcBorders>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2.</w:t>
            </w:r>
          </w:p>
        </w:tc>
        <w:tc>
          <w:tcPr>
            <w:tcW w:w="1784" w:type="dxa"/>
            <w:tcMar>
              <w:left w:w="108" w:type="dxa"/>
              <w:bottom w:w="0" w:type="dxa"/>
              <w:right w:w="108" w:type="dxa"/>
            </w:tcMar>
          </w:tcPr>
          <w:p w:rsidR="00000000" w:rsidRDefault="00000000">
            <w:pPr>
              <w:spacing w:after="0"/>
              <w:rPr>
                <w:sz w:val="19"/>
                <w:lang w:val="de-DE"/>
              </w:rPr>
            </w:pPr>
            <w:r>
              <w:rPr>
                <w:sz w:val="19"/>
                <w:lang w:val="de-DE"/>
              </w:rPr>
              <w:t>M. Himare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5</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40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3.</w:t>
            </w:r>
          </w:p>
        </w:tc>
        <w:tc>
          <w:tcPr>
            <w:tcW w:w="1784" w:type="dxa"/>
            <w:tcMar>
              <w:left w:w="108" w:type="dxa"/>
              <w:bottom w:w="0" w:type="dxa"/>
              <w:right w:w="108" w:type="dxa"/>
            </w:tcMar>
          </w:tcPr>
          <w:p w:rsidR="00000000" w:rsidRDefault="00000000">
            <w:pPr>
              <w:spacing w:after="0"/>
              <w:rPr>
                <w:sz w:val="19"/>
                <w:lang w:val="de-DE"/>
              </w:rPr>
            </w:pPr>
            <w:r>
              <w:rPr>
                <w:sz w:val="19"/>
                <w:lang w:val="de-DE"/>
              </w:rPr>
              <w:t>M. Orikum</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18</w:t>
            </w: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1 000</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4.</w:t>
            </w:r>
          </w:p>
        </w:tc>
        <w:tc>
          <w:tcPr>
            <w:tcW w:w="1784" w:type="dxa"/>
            <w:tcMar>
              <w:left w:w="108" w:type="dxa"/>
              <w:bottom w:w="0" w:type="dxa"/>
              <w:right w:w="108" w:type="dxa"/>
            </w:tcMar>
          </w:tcPr>
          <w:p w:rsidR="00000000" w:rsidRDefault="00000000">
            <w:pPr>
              <w:spacing w:after="0"/>
              <w:rPr>
                <w:sz w:val="19"/>
                <w:lang w:val="nl-NL"/>
              </w:rPr>
            </w:pPr>
            <w:r>
              <w:rPr>
                <w:sz w:val="19"/>
                <w:lang w:val="nl-NL"/>
              </w:rPr>
              <w:t>M. Selenice</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20</w:t>
            </w: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1 200</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5.</w:t>
            </w:r>
          </w:p>
        </w:tc>
        <w:tc>
          <w:tcPr>
            <w:tcW w:w="1784" w:type="dxa"/>
            <w:tcMar>
              <w:left w:w="108" w:type="dxa"/>
              <w:bottom w:w="0" w:type="dxa"/>
              <w:right w:w="108" w:type="dxa"/>
            </w:tcMar>
          </w:tcPr>
          <w:p w:rsidR="00000000" w:rsidRDefault="00000000">
            <w:pPr>
              <w:spacing w:after="0"/>
              <w:rPr>
                <w:sz w:val="19"/>
                <w:lang w:val="nl-NL"/>
              </w:rPr>
            </w:pPr>
            <w:r>
              <w:rPr>
                <w:sz w:val="19"/>
                <w:lang w:val="nl-NL"/>
              </w:rPr>
              <w:t>C. Qender</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rPr>
            </w:pPr>
            <w:r>
              <w:rPr>
                <w:sz w:val="19"/>
              </w:rPr>
              <w:t>10</w:t>
            </w: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r>
              <w:rPr>
                <w:sz w:val="19"/>
              </w:rPr>
              <w:t>60</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6.</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Novosele</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r>
              <w:rPr>
                <w:sz w:val="19"/>
              </w:rPr>
              <w:t>13</w:t>
            </w: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r>
              <w:rPr>
                <w:sz w:val="19"/>
              </w:rPr>
              <w:t>55</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7.</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Shushice</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35</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39</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8.</w:t>
            </w:r>
          </w:p>
        </w:tc>
        <w:tc>
          <w:tcPr>
            <w:tcW w:w="1784" w:type="dxa"/>
            <w:tcMar>
              <w:left w:w="108" w:type="dxa"/>
              <w:bottom w:w="0" w:type="dxa"/>
              <w:right w:w="108" w:type="dxa"/>
            </w:tcMar>
          </w:tcPr>
          <w:p w:rsidR="00000000" w:rsidRDefault="00000000">
            <w:pPr>
              <w:spacing w:after="0"/>
              <w:rPr>
                <w:sz w:val="19"/>
                <w:lang w:val="de-DE"/>
              </w:rPr>
            </w:pPr>
            <w:r>
              <w:rPr>
                <w:sz w:val="19"/>
                <w:lang w:val="de-DE"/>
              </w:rPr>
              <w:t>C. Armen</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359</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9.</w:t>
            </w:r>
          </w:p>
        </w:tc>
        <w:tc>
          <w:tcPr>
            <w:tcW w:w="1784" w:type="dxa"/>
            <w:tcMar>
              <w:left w:w="108" w:type="dxa"/>
              <w:bottom w:w="0" w:type="dxa"/>
              <w:right w:w="108" w:type="dxa"/>
            </w:tcMar>
          </w:tcPr>
          <w:p w:rsidR="00000000" w:rsidRDefault="00000000">
            <w:pPr>
              <w:spacing w:after="0"/>
              <w:rPr>
                <w:sz w:val="19"/>
                <w:lang w:val="de-DE"/>
              </w:rPr>
            </w:pPr>
            <w:r>
              <w:rPr>
                <w:sz w:val="19"/>
                <w:lang w:val="de-DE"/>
              </w:rPr>
              <w:t>C. Vllahine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6</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10.</w:t>
            </w:r>
          </w:p>
        </w:tc>
        <w:tc>
          <w:tcPr>
            <w:tcW w:w="1784" w:type="dxa"/>
            <w:tcMar>
              <w:left w:w="108" w:type="dxa"/>
              <w:bottom w:w="0" w:type="dxa"/>
              <w:right w:w="108" w:type="dxa"/>
            </w:tcMar>
          </w:tcPr>
          <w:p w:rsidR="00000000" w:rsidRDefault="00000000">
            <w:pPr>
              <w:spacing w:after="0"/>
              <w:rPr>
                <w:sz w:val="19"/>
                <w:lang w:val="de-DE"/>
              </w:rPr>
            </w:pPr>
            <w:r>
              <w:rPr>
                <w:sz w:val="19"/>
                <w:lang w:val="de-DE"/>
              </w:rPr>
              <w:t>C. Kote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43</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35</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11.</w:t>
            </w:r>
          </w:p>
        </w:tc>
        <w:tc>
          <w:tcPr>
            <w:tcW w:w="1784" w:type="dxa"/>
            <w:tcMar>
              <w:left w:w="108" w:type="dxa"/>
              <w:bottom w:w="0" w:type="dxa"/>
              <w:right w:w="108" w:type="dxa"/>
            </w:tcMar>
          </w:tcPr>
          <w:p w:rsidR="00000000" w:rsidRDefault="00000000">
            <w:pPr>
              <w:spacing w:after="0"/>
              <w:rPr>
                <w:sz w:val="19"/>
                <w:lang w:val="de-DE"/>
              </w:rPr>
            </w:pPr>
            <w:r>
              <w:rPr>
                <w:sz w:val="19"/>
                <w:lang w:val="de-DE"/>
              </w:rPr>
              <w:t>C. Brataj</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3</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25</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12.</w:t>
            </w:r>
          </w:p>
        </w:tc>
        <w:tc>
          <w:tcPr>
            <w:tcW w:w="1784" w:type="dxa"/>
            <w:tcMar>
              <w:left w:w="108" w:type="dxa"/>
              <w:bottom w:w="0" w:type="dxa"/>
              <w:right w:w="108" w:type="dxa"/>
            </w:tcMar>
          </w:tcPr>
          <w:p w:rsidR="00000000" w:rsidRDefault="00000000">
            <w:pPr>
              <w:spacing w:after="0"/>
              <w:rPr>
                <w:sz w:val="19"/>
                <w:lang w:val="de-DE"/>
              </w:rPr>
            </w:pPr>
            <w:r>
              <w:rPr>
                <w:sz w:val="19"/>
                <w:lang w:val="de-DE"/>
              </w:rPr>
              <w:t>C. H-Vranisht</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3</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13.</w:t>
            </w:r>
          </w:p>
        </w:tc>
        <w:tc>
          <w:tcPr>
            <w:tcW w:w="1784" w:type="dxa"/>
            <w:tcMar>
              <w:left w:w="108" w:type="dxa"/>
              <w:bottom w:w="0" w:type="dxa"/>
              <w:right w:w="108" w:type="dxa"/>
            </w:tcMar>
          </w:tcPr>
          <w:p w:rsidR="00000000" w:rsidRDefault="00000000">
            <w:pPr>
              <w:spacing w:after="0"/>
              <w:rPr>
                <w:sz w:val="19"/>
                <w:lang w:val="de-DE"/>
              </w:rPr>
            </w:pPr>
            <w:r>
              <w:rPr>
                <w:sz w:val="19"/>
                <w:lang w:val="de-DE"/>
              </w:rPr>
              <w:t>M. Sarande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470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14.</w:t>
            </w:r>
          </w:p>
        </w:tc>
        <w:tc>
          <w:tcPr>
            <w:tcW w:w="1784" w:type="dxa"/>
            <w:tcMar>
              <w:left w:w="108" w:type="dxa"/>
              <w:bottom w:w="0" w:type="dxa"/>
              <w:right w:w="108" w:type="dxa"/>
            </w:tcMar>
          </w:tcPr>
          <w:p w:rsidR="00000000" w:rsidRDefault="00000000">
            <w:pPr>
              <w:spacing w:after="0"/>
              <w:rPr>
                <w:sz w:val="19"/>
                <w:lang w:val="de-DE"/>
              </w:rPr>
            </w:pPr>
            <w:r>
              <w:rPr>
                <w:sz w:val="19"/>
                <w:lang w:val="de-DE"/>
              </w:rPr>
              <w:t>M. Konispol</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782</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15.</w:t>
            </w:r>
          </w:p>
        </w:tc>
        <w:tc>
          <w:tcPr>
            <w:tcW w:w="1784" w:type="dxa"/>
            <w:tcMar>
              <w:left w:w="108" w:type="dxa"/>
              <w:bottom w:w="0" w:type="dxa"/>
              <w:right w:w="108" w:type="dxa"/>
            </w:tcMar>
          </w:tcPr>
          <w:p w:rsidR="00000000" w:rsidRDefault="00000000">
            <w:pPr>
              <w:spacing w:after="0"/>
              <w:rPr>
                <w:sz w:val="19"/>
                <w:lang w:val="de-DE"/>
              </w:rPr>
            </w:pPr>
            <w:r>
              <w:rPr>
                <w:sz w:val="19"/>
                <w:lang w:val="de-DE"/>
              </w:rPr>
              <w:t>C. Ksamil</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2 020</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1 960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16.</w:t>
            </w:r>
          </w:p>
        </w:tc>
        <w:tc>
          <w:tcPr>
            <w:tcW w:w="1784" w:type="dxa"/>
            <w:tcMar>
              <w:left w:w="108" w:type="dxa"/>
              <w:bottom w:w="0" w:type="dxa"/>
              <w:right w:w="108" w:type="dxa"/>
            </w:tcMar>
          </w:tcPr>
          <w:p w:rsidR="00000000" w:rsidRDefault="00000000">
            <w:pPr>
              <w:spacing w:after="0"/>
              <w:rPr>
                <w:sz w:val="19"/>
                <w:lang w:val="de-DE"/>
              </w:rPr>
            </w:pPr>
            <w:r>
              <w:rPr>
                <w:sz w:val="19"/>
                <w:lang w:val="de-DE"/>
              </w:rPr>
              <w:t>C. Livadhja</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20</w:t>
            </w:r>
          </w:p>
        </w:tc>
        <w:tc>
          <w:tcPr>
            <w:tcW w:w="951" w:type="dxa"/>
            <w:tcMar>
              <w:left w:w="108" w:type="dxa"/>
              <w:bottom w:w="0" w:type="dxa"/>
              <w:right w:w="108" w:type="dxa"/>
            </w:tcMar>
          </w:tcPr>
          <w:p w:rsidR="00000000" w:rsidRDefault="00000000">
            <w:pPr>
              <w:spacing w:after="0"/>
              <w:ind w:right="57"/>
              <w:jc w:val="right"/>
              <w:rPr>
                <w:sz w:val="19"/>
                <w:lang w:val="de-DE"/>
              </w:rPr>
            </w:pP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25</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17.</w:t>
            </w:r>
          </w:p>
        </w:tc>
        <w:tc>
          <w:tcPr>
            <w:tcW w:w="1784" w:type="dxa"/>
            <w:tcMar>
              <w:left w:w="108" w:type="dxa"/>
              <w:bottom w:w="0" w:type="dxa"/>
              <w:right w:w="108" w:type="dxa"/>
            </w:tcMar>
          </w:tcPr>
          <w:p w:rsidR="00000000" w:rsidRDefault="00000000">
            <w:pPr>
              <w:spacing w:after="0"/>
              <w:rPr>
                <w:sz w:val="19"/>
                <w:lang w:val="de-DE"/>
              </w:rPr>
            </w:pPr>
            <w:r>
              <w:rPr>
                <w:sz w:val="19"/>
                <w:lang w:val="de-DE"/>
              </w:rPr>
              <w:t>C. Aliko</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rPr>
            </w:pPr>
            <w:r>
              <w:rPr>
                <w:sz w:val="19"/>
              </w:rPr>
              <w:t>2 058</w:t>
            </w: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r>
              <w:rPr>
                <w:sz w:val="19"/>
              </w:rPr>
              <w:t>28</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18.</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Lukove</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r>
              <w:rPr>
                <w:sz w:val="19"/>
              </w:rPr>
              <w:t>1 000</w:t>
            </w:r>
          </w:p>
        </w:tc>
        <w:tc>
          <w:tcPr>
            <w:tcW w:w="951" w:type="dxa"/>
            <w:tcMar>
              <w:left w:w="108" w:type="dxa"/>
              <w:bottom w:w="0" w:type="dxa"/>
              <w:right w:w="108" w:type="dxa"/>
            </w:tcMar>
          </w:tcPr>
          <w:p w:rsidR="00000000" w:rsidRDefault="00000000">
            <w:pPr>
              <w:spacing w:after="0"/>
              <w:ind w:right="57"/>
              <w:jc w:val="right"/>
              <w:rPr>
                <w:sz w:val="19"/>
              </w:rPr>
            </w:pPr>
          </w:p>
        </w:tc>
        <w:tc>
          <w:tcPr>
            <w:tcW w:w="847" w:type="dxa"/>
            <w:tcMar>
              <w:left w:w="108" w:type="dxa"/>
              <w:bottom w:w="0" w:type="dxa"/>
              <w:right w:w="108" w:type="dxa"/>
            </w:tcMar>
          </w:tcPr>
          <w:p w:rsidR="00000000" w:rsidRDefault="00000000">
            <w:pPr>
              <w:spacing w:after="0"/>
              <w:ind w:right="57"/>
              <w:jc w:val="right"/>
              <w:rPr>
                <w:sz w:val="19"/>
              </w:rPr>
            </w:pPr>
            <w:r>
              <w:rPr>
                <w:sz w:val="19"/>
              </w:rPr>
              <w:t>20</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19.</w:t>
            </w:r>
          </w:p>
        </w:tc>
        <w:tc>
          <w:tcPr>
            <w:tcW w:w="1784" w:type="dxa"/>
            <w:tcMar>
              <w:left w:w="108" w:type="dxa"/>
              <w:bottom w:w="0" w:type="dxa"/>
              <w:right w:w="108" w:type="dxa"/>
            </w:tcMar>
          </w:tcPr>
          <w:p w:rsidR="00000000" w:rsidRDefault="00000000">
            <w:pPr>
              <w:spacing w:after="0"/>
              <w:rPr>
                <w:sz w:val="19"/>
              </w:rPr>
            </w:pPr>
            <w:r>
              <w:rPr>
                <w:sz w:val="19"/>
              </w:rPr>
              <w:t xml:space="preserve">M. </w:t>
            </w:r>
            <w:proofErr w:type="spellStart"/>
            <w:r>
              <w:rPr>
                <w:sz w:val="19"/>
              </w:rPr>
              <w:t>Delvine</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117</w:t>
            </w: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19</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20.</w:t>
            </w:r>
          </w:p>
        </w:tc>
        <w:tc>
          <w:tcPr>
            <w:tcW w:w="1784" w:type="dxa"/>
            <w:tcMar>
              <w:left w:w="108" w:type="dxa"/>
              <w:bottom w:w="0" w:type="dxa"/>
              <w:right w:w="108" w:type="dxa"/>
            </w:tcMar>
          </w:tcPr>
          <w:p w:rsidR="00000000" w:rsidRDefault="00000000">
            <w:pPr>
              <w:spacing w:after="0"/>
              <w:rPr>
                <w:sz w:val="19"/>
                <w:lang w:val="nl-NL"/>
              </w:rPr>
            </w:pPr>
            <w:r>
              <w:rPr>
                <w:sz w:val="19"/>
                <w:lang w:val="nl-NL"/>
              </w:rPr>
              <w:t>C. Finiq</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10</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lang w:val="nl-NL"/>
              </w:rPr>
            </w:pPr>
            <w:r>
              <w:rPr>
                <w:sz w:val="19"/>
                <w:lang w:val="nl-NL"/>
              </w:rPr>
              <w:t>21.</w:t>
            </w:r>
          </w:p>
        </w:tc>
        <w:tc>
          <w:tcPr>
            <w:tcW w:w="1784" w:type="dxa"/>
            <w:tcBorders>
              <w:bottom w:val="single" w:sz="4" w:space="0" w:color="auto"/>
            </w:tcBorders>
            <w:tcMar>
              <w:left w:w="108" w:type="dxa"/>
              <w:bottom w:w="0" w:type="dxa"/>
              <w:right w:w="108" w:type="dxa"/>
            </w:tcMar>
          </w:tcPr>
          <w:p w:rsidR="00000000" w:rsidRDefault="00000000">
            <w:pPr>
              <w:spacing w:after="0"/>
              <w:rPr>
                <w:sz w:val="19"/>
                <w:lang w:val="nl-NL"/>
              </w:rPr>
            </w:pPr>
            <w:r>
              <w:rPr>
                <w:sz w:val="19"/>
                <w:lang w:val="nl-NL"/>
              </w:rPr>
              <w:t>C. Vergo</w:t>
            </w:r>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lang w:val="nl-NL"/>
              </w:rPr>
            </w:pP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lang w:val="nl-NL"/>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lang w:val="nl-NL"/>
              </w:rPr>
            </w:pP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r>
              <w:rPr>
                <w:sz w:val="19"/>
                <w:lang w:val="fr-FR"/>
              </w:rPr>
              <w:t>5</w:t>
            </w: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lang w:val="fr-FR"/>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top w:val="nil"/>
              <w:bottom w:val="nil"/>
            </w:tcBorders>
            <w:tcMar>
              <w:left w:w="108" w:type="dxa"/>
              <w:bottom w:w="0" w:type="dxa"/>
              <w:right w:w="108" w:type="dxa"/>
            </w:tcMar>
          </w:tcPr>
          <w:p w:rsidR="00000000" w:rsidRDefault="00000000">
            <w:pPr>
              <w:spacing w:after="0"/>
              <w:ind w:left="113"/>
              <w:rPr>
                <w:sz w:val="19"/>
                <w:lang w:val="fr-FR"/>
              </w:rPr>
            </w:pPr>
            <w:r>
              <w:rPr>
                <w:sz w:val="19"/>
                <w:lang w:val="fr-FR"/>
              </w:rPr>
              <w:t>XI.</w:t>
            </w:r>
          </w:p>
        </w:tc>
        <w:tc>
          <w:tcPr>
            <w:tcW w:w="1784" w:type="dxa"/>
            <w:tcBorders>
              <w:top w:val="nil"/>
              <w:bottom w:val="nil"/>
            </w:tcBorders>
            <w:tcMar>
              <w:left w:w="108" w:type="dxa"/>
              <w:bottom w:w="0" w:type="dxa"/>
              <w:right w:w="108" w:type="dxa"/>
            </w:tcMar>
          </w:tcPr>
          <w:p w:rsidR="00000000" w:rsidRDefault="00000000">
            <w:pPr>
              <w:spacing w:after="0"/>
              <w:rPr>
                <w:sz w:val="19"/>
                <w:lang w:val="fr-FR"/>
              </w:rPr>
            </w:pPr>
            <w:proofErr w:type="spellStart"/>
            <w:r>
              <w:rPr>
                <w:sz w:val="19"/>
                <w:lang w:val="fr-FR"/>
              </w:rPr>
              <w:t>Region</w:t>
            </w:r>
            <w:proofErr w:type="spellEnd"/>
            <w:r>
              <w:rPr>
                <w:sz w:val="19"/>
                <w:lang w:val="fr-FR"/>
              </w:rPr>
              <w:t xml:space="preserve"> Fier</w:t>
            </w:r>
          </w:p>
        </w:tc>
        <w:tc>
          <w:tcPr>
            <w:tcW w:w="954" w:type="dxa"/>
            <w:tcBorders>
              <w:top w:val="nil"/>
              <w:bottom w:val="nil"/>
            </w:tcBorders>
            <w:tcMar>
              <w:left w:w="108" w:type="dxa"/>
              <w:bottom w:w="0" w:type="dxa"/>
              <w:right w:w="108" w:type="dxa"/>
            </w:tcMar>
          </w:tcPr>
          <w:p w:rsidR="00000000" w:rsidRDefault="00000000">
            <w:pPr>
              <w:spacing w:after="0"/>
              <w:ind w:right="113"/>
              <w:jc w:val="right"/>
              <w:rPr>
                <w:sz w:val="19"/>
                <w:lang w:val="fr-FR"/>
              </w:rPr>
            </w:pPr>
            <w:r>
              <w:rPr>
                <w:sz w:val="19"/>
                <w:lang w:val="fr-FR"/>
              </w:rPr>
              <w:t>2 158</w:t>
            </w:r>
          </w:p>
        </w:tc>
        <w:tc>
          <w:tcPr>
            <w:tcW w:w="850" w:type="dxa"/>
            <w:tcBorders>
              <w:top w:val="nil"/>
              <w:bottom w:val="nil"/>
            </w:tcBorders>
            <w:tcMar>
              <w:left w:w="108" w:type="dxa"/>
              <w:bottom w:w="0" w:type="dxa"/>
              <w:right w:w="108" w:type="dxa"/>
            </w:tcMar>
          </w:tcPr>
          <w:p w:rsidR="00000000" w:rsidRDefault="00000000">
            <w:pPr>
              <w:spacing w:after="0"/>
              <w:ind w:right="57"/>
              <w:jc w:val="right"/>
              <w:rPr>
                <w:sz w:val="19"/>
                <w:lang w:val="fr-FR"/>
              </w:rPr>
            </w:pPr>
            <w:r>
              <w:rPr>
                <w:sz w:val="19"/>
                <w:lang w:val="fr-FR"/>
              </w:rPr>
              <w:t>8 050</w:t>
            </w:r>
          </w:p>
        </w:tc>
        <w:tc>
          <w:tcPr>
            <w:tcW w:w="951" w:type="dxa"/>
            <w:tcBorders>
              <w:top w:val="nil"/>
              <w:bottom w:val="nil"/>
            </w:tcBorders>
            <w:tcMar>
              <w:left w:w="108" w:type="dxa"/>
              <w:bottom w:w="0" w:type="dxa"/>
              <w:right w:w="108" w:type="dxa"/>
            </w:tcMar>
          </w:tcPr>
          <w:p w:rsidR="00000000" w:rsidRDefault="00000000">
            <w:pPr>
              <w:spacing w:after="0"/>
              <w:ind w:right="57"/>
              <w:jc w:val="right"/>
              <w:rPr>
                <w:sz w:val="19"/>
                <w:lang w:val="fr-FR"/>
              </w:rPr>
            </w:pPr>
            <w:r>
              <w:rPr>
                <w:sz w:val="19"/>
                <w:lang w:val="fr-FR"/>
              </w:rPr>
              <w:t>2 518</w:t>
            </w:r>
          </w:p>
        </w:tc>
        <w:tc>
          <w:tcPr>
            <w:tcW w:w="847" w:type="dxa"/>
            <w:tcBorders>
              <w:top w:val="nil"/>
              <w:bottom w:val="nil"/>
            </w:tcBorders>
            <w:tcMar>
              <w:left w:w="108" w:type="dxa"/>
              <w:bottom w:w="0" w:type="dxa"/>
              <w:right w:w="108" w:type="dxa"/>
            </w:tcMar>
          </w:tcPr>
          <w:p w:rsidR="00000000" w:rsidRDefault="00000000">
            <w:pPr>
              <w:spacing w:after="0"/>
              <w:ind w:right="57"/>
              <w:jc w:val="right"/>
              <w:rPr>
                <w:sz w:val="19"/>
                <w:lang w:val="fr-FR"/>
              </w:rPr>
            </w:pPr>
            <w:r>
              <w:rPr>
                <w:sz w:val="19"/>
                <w:lang w:val="fr-FR"/>
              </w:rPr>
              <w:t>9 632</w:t>
            </w:r>
          </w:p>
        </w:tc>
        <w:tc>
          <w:tcPr>
            <w:tcW w:w="712" w:type="dxa"/>
            <w:tcBorders>
              <w:top w:val="nil"/>
              <w:bottom w:val="nil"/>
            </w:tcBorders>
            <w:tcMar>
              <w:left w:w="108" w:type="dxa"/>
              <w:bottom w:w="0" w:type="dxa"/>
              <w:right w:w="108" w:type="dxa"/>
            </w:tcMar>
          </w:tcPr>
          <w:p w:rsidR="00000000" w:rsidRDefault="00000000">
            <w:pPr>
              <w:spacing w:after="0"/>
              <w:ind w:right="57"/>
              <w:jc w:val="right"/>
              <w:rPr>
                <w:sz w:val="19"/>
                <w:lang w:val="fr-FR"/>
              </w:rPr>
            </w:pPr>
            <w:r>
              <w:rPr>
                <w:sz w:val="19"/>
                <w:lang w:val="fr-FR"/>
              </w:rPr>
              <w:t>0</w:t>
            </w:r>
          </w:p>
        </w:tc>
        <w:tc>
          <w:tcPr>
            <w:tcW w:w="992" w:type="dxa"/>
            <w:tcBorders>
              <w:top w:val="nil"/>
              <w:bottom w:val="nil"/>
            </w:tcBorders>
            <w:tcMar>
              <w:left w:w="108" w:type="dxa"/>
              <w:bottom w:w="0" w:type="dxa"/>
              <w:right w:w="108" w:type="dxa"/>
            </w:tcMar>
          </w:tcPr>
          <w:p w:rsidR="00000000" w:rsidRDefault="00000000">
            <w:pPr>
              <w:spacing w:after="0"/>
              <w:ind w:right="284"/>
              <w:jc w:val="right"/>
              <w:rPr>
                <w:sz w:val="19"/>
                <w:lang w:val="fr-FR"/>
              </w:rPr>
            </w:pPr>
            <w:r>
              <w:rPr>
                <w:sz w:val="19"/>
                <w:lang w:val="fr-FR"/>
              </w:rPr>
              <w:t>0</w:t>
            </w:r>
          </w:p>
        </w:tc>
        <w:tc>
          <w:tcPr>
            <w:tcW w:w="1418" w:type="dxa"/>
            <w:tcBorders>
              <w:top w:val="nil"/>
              <w:bottom w:val="nil"/>
            </w:tcBorders>
            <w:tcMar>
              <w:left w:w="108" w:type="dxa"/>
              <w:bottom w:w="0" w:type="dxa"/>
              <w:right w:w="108" w:type="dxa"/>
            </w:tcMar>
          </w:tcPr>
          <w:p w:rsidR="00000000" w:rsidRDefault="00000000">
            <w:pPr>
              <w:spacing w:after="0"/>
              <w:ind w:right="454"/>
              <w:jc w:val="right"/>
              <w:rPr>
                <w:sz w:val="19"/>
                <w:lang w:val="fr-FR"/>
              </w:rPr>
            </w:pPr>
            <w:r>
              <w:rPr>
                <w:sz w:val="19"/>
                <w:lang w:val="fr-FR"/>
              </w:rPr>
              <w:t>0</w:t>
            </w:r>
          </w:p>
        </w:tc>
      </w:tr>
      <w:tr w:rsidR="00000000">
        <w:tc>
          <w:tcPr>
            <w:tcW w:w="848" w:type="dxa"/>
            <w:tcBorders>
              <w:top w:val="nil"/>
            </w:tcBorders>
            <w:tcMar>
              <w:left w:w="108" w:type="dxa"/>
              <w:bottom w:w="0" w:type="dxa"/>
              <w:right w:w="108" w:type="dxa"/>
            </w:tcMar>
          </w:tcPr>
          <w:p w:rsidR="00000000" w:rsidRDefault="00000000">
            <w:pPr>
              <w:spacing w:after="0"/>
              <w:ind w:left="113"/>
              <w:rPr>
                <w:sz w:val="19"/>
                <w:lang w:val="fr-FR"/>
              </w:rPr>
            </w:pPr>
            <w:r>
              <w:rPr>
                <w:sz w:val="19"/>
                <w:lang w:val="fr-FR"/>
              </w:rPr>
              <w:t>1.</w:t>
            </w:r>
          </w:p>
        </w:tc>
        <w:tc>
          <w:tcPr>
            <w:tcW w:w="1784" w:type="dxa"/>
            <w:tcBorders>
              <w:top w:val="nil"/>
            </w:tcBorders>
            <w:tcMar>
              <w:left w:w="108" w:type="dxa"/>
              <w:bottom w:w="0" w:type="dxa"/>
              <w:right w:w="108" w:type="dxa"/>
            </w:tcMar>
          </w:tcPr>
          <w:p w:rsidR="00000000" w:rsidRDefault="00000000">
            <w:pPr>
              <w:spacing w:after="0"/>
              <w:rPr>
                <w:sz w:val="19"/>
                <w:lang w:val="fr-FR"/>
              </w:rPr>
            </w:pPr>
            <w:r>
              <w:rPr>
                <w:sz w:val="19"/>
                <w:lang w:val="fr-FR"/>
              </w:rPr>
              <w:t>M. Fier</w:t>
            </w:r>
          </w:p>
        </w:tc>
        <w:tc>
          <w:tcPr>
            <w:tcW w:w="954" w:type="dxa"/>
            <w:tcBorders>
              <w:top w:val="nil"/>
            </w:tcBorders>
            <w:tcMar>
              <w:left w:w="108" w:type="dxa"/>
              <w:bottom w:w="0" w:type="dxa"/>
              <w:right w:w="108" w:type="dxa"/>
            </w:tcMar>
          </w:tcPr>
          <w:p w:rsidR="00000000" w:rsidRDefault="00000000">
            <w:pPr>
              <w:spacing w:after="0"/>
              <w:ind w:right="113"/>
              <w:jc w:val="right"/>
              <w:rPr>
                <w:sz w:val="19"/>
                <w:lang w:val="fr-FR"/>
              </w:rPr>
            </w:pPr>
            <w:r>
              <w:rPr>
                <w:sz w:val="19"/>
                <w:lang w:val="fr-FR"/>
              </w:rPr>
              <w:t>171</w:t>
            </w:r>
          </w:p>
        </w:tc>
        <w:tc>
          <w:tcPr>
            <w:tcW w:w="850" w:type="dxa"/>
            <w:tcBorders>
              <w:top w:val="nil"/>
            </w:tcBorders>
            <w:tcMar>
              <w:left w:w="108" w:type="dxa"/>
              <w:bottom w:w="0" w:type="dxa"/>
              <w:right w:w="108" w:type="dxa"/>
            </w:tcMar>
          </w:tcPr>
          <w:p w:rsidR="00000000" w:rsidRDefault="00000000">
            <w:pPr>
              <w:spacing w:after="0"/>
              <w:ind w:right="57"/>
              <w:jc w:val="right"/>
              <w:rPr>
                <w:sz w:val="19"/>
                <w:lang w:val="fr-FR"/>
              </w:rPr>
            </w:pPr>
            <w:r>
              <w:rPr>
                <w:sz w:val="19"/>
                <w:lang w:val="fr-FR"/>
              </w:rPr>
              <w:t>500</w:t>
            </w:r>
          </w:p>
        </w:tc>
        <w:tc>
          <w:tcPr>
            <w:tcW w:w="951" w:type="dxa"/>
            <w:tcBorders>
              <w:top w:val="nil"/>
            </w:tcBorders>
            <w:tcMar>
              <w:left w:w="108" w:type="dxa"/>
              <w:bottom w:w="0" w:type="dxa"/>
              <w:right w:w="108" w:type="dxa"/>
            </w:tcMar>
          </w:tcPr>
          <w:p w:rsidR="00000000" w:rsidRDefault="00000000">
            <w:pPr>
              <w:spacing w:after="0"/>
              <w:ind w:right="57"/>
              <w:jc w:val="right"/>
              <w:rPr>
                <w:sz w:val="19"/>
                <w:lang w:val="fr-FR"/>
              </w:rPr>
            </w:pPr>
            <w:r>
              <w:rPr>
                <w:sz w:val="19"/>
                <w:lang w:val="fr-FR"/>
              </w:rPr>
              <w:t>39</w:t>
            </w:r>
          </w:p>
        </w:tc>
        <w:tc>
          <w:tcPr>
            <w:tcW w:w="847" w:type="dxa"/>
            <w:tcBorders>
              <w:top w:val="nil"/>
            </w:tcBorders>
            <w:tcMar>
              <w:left w:w="108" w:type="dxa"/>
              <w:bottom w:w="0" w:type="dxa"/>
              <w:right w:w="108" w:type="dxa"/>
            </w:tcMar>
          </w:tcPr>
          <w:p w:rsidR="00000000" w:rsidRDefault="00000000">
            <w:pPr>
              <w:spacing w:after="0"/>
              <w:ind w:right="57"/>
              <w:jc w:val="right"/>
              <w:rPr>
                <w:sz w:val="19"/>
                <w:lang w:val="fr-FR"/>
              </w:rPr>
            </w:pPr>
            <w:r>
              <w:rPr>
                <w:sz w:val="19"/>
                <w:lang w:val="fr-FR"/>
              </w:rPr>
              <w:t>156</w:t>
            </w:r>
          </w:p>
        </w:tc>
        <w:tc>
          <w:tcPr>
            <w:tcW w:w="712" w:type="dxa"/>
            <w:tcBorders>
              <w:top w:val="nil"/>
            </w:tcBorders>
            <w:tcMar>
              <w:left w:w="108" w:type="dxa"/>
              <w:bottom w:w="0" w:type="dxa"/>
              <w:right w:w="108" w:type="dxa"/>
            </w:tcMar>
          </w:tcPr>
          <w:p w:rsidR="00000000" w:rsidRDefault="00000000">
            <w:pPr>
              <w:spacing w:after="0"/>
              <w:ind w:right="57"/>
              <w:jc w:val="right"/>
              <w:rPr>
                <w:sz w:val="19"/>
                <w:lang w:val="fr-FR"/>
              </w:rPr>
            </w:pPr>
          </w:p>
        </w:tc>
        <w:tc>
          <w:tcPr>
            <w:tcW w:w="992" w:type="dxa"/>
            <w:tcBorders>
              <w:top w:val="nil"/>
            </w:tcBorders>
            <w:tcMar>
              <w:left w:w="108" w:type="dxa"/>
              <w:bottom w:w="0" w:type="dxa"/>
              <w:right w:w="108" w:type="dxa"/>
            </w:tcMar>
          </w:tcPr>
          <w:p w:rsidR="00000000" w:rsidRDefault="00000000">
            <w:pPr>
              <w:spacing w:after="0"/>
              <w:ind w:right="284"/>
              <w:jc w:val="right"/>
              <w:rPr>
                <w:sz w:val="19"/>
                <w:lang w:val="fr-FR"/>
              </w:rPr>
            </w:pPr>
          </w:p>
        </w:tc>
        <w:tc>
          <w:tcPr>
            <w:tcW w:w="1418" w:type="dxa"/>
            <w:tcBorders>
              <w:top w:val="nil"/>
            </w:tcBorders>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2.</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Lushnje</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1</w:t>
            </w:r>
          </w:p>
        </w:tc>
        <w:tc>
          <w:tcPr>
            <w:tcW w:w="850" w:type="dxa"/>
            <w:tcMar>
              <w:left w:w="108" w:type="dxa"/>
              <w:bottom w:w="0" w:type="dxa"/>
              <w:right w:w="108" w:type="dxa"/>
            </w:tcMar>
          </w:tcPr>
          <w:p w:rsidR="00000000" w:rsidRDefault="00000000">
            <w:pPr>
              <w:spacing w:after="0"/>
              <w:ind w:right="57"/>
              <w:jc w:val="right"/>
              <w:rPr>
                <w:sz w:val="19"/>
                <w:lang w:val="fr-FR"/>
              </w:rPr>
            </w:pPr>
            <w:r>
              <w:rPr>
                <w:sz w:val="19"/>
                <w:lang w:val="fr-FR"/>
              </w:rPr>
              <w:t>4</w:t>
            </w:r>
          </w:p>
        </w:tc>
        <w:tc>
          <w:tcPr>
            <w:tcW w:w="951" w:type="dxa"/>
            <w:tcMar>
              <w:left w:w="108" w:type="dxa"/>
              <w:bottom w:w="0" w:type="dxa"/>
              <w:right w:w="108" w:type="dxa"/>
            </w:tcMar>
          </w:tcPr>
          <w:p w:rsidR="00000000" w:rsidRDefault="00000000">
            <w:pPr>
              <w:spacing w:after="0"/>
              <w:ind w:right="57"/>
              <w:jc w:val="right"/>
              <w:rPr>
                <w:sz w:val="19"/>
                <w:lang w:val="fr-FR"/>
              </w:rPr>
            </w:pPr>
          </w:p>
        </w:tc>
        <w:tc>
          <w:tcPr>
            <w:tcW w:w="847" w:type="dxa"/>
            <w:tcMar>
              <w:left w:w="108" w:type="dxa"/>
              <w:bottom w:w="0" w:type="dxa"/>
              <w:right w:w="108" w:type="dxa"/>
            </w:tcMar>
          </w:tcPr>
          <w:p w:rsidR="00000000" w:rsidRDefault="00000000">
            <w:pPr>
              <w:spacing w:after="0"/>
              <w:ind w:right="57"/>
              <w:jc w:val="right"/>
              <w:rPr>
                <w:sz w:val="19"/>
                <w:lang w:val="fr-FR"/>
              </w:rPr>
            </w:pP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3.</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Patos</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1 025</w:t>
            </w:r>
          </w:p>
        </w:tc>
        <w:tc>
          <w:tcPr>
            <w:tcW w:w="850" w:type="dxa"/>
            <w:tcMar>
              <w:left w:w="108" w:type="dxa"/>
              <w:bottom w:w="0" w:type="dxa"/>
              <w:right w:w="108" w:type="dxa"/>
            </w:tcMar>
          </w:tcPr>
          <w:p w:rsidR="00000000" w:rsidRDefault="00000000">
            <w:pPr>
              <w:spacing w:after="0"/>
              <w:ind w:right="57"/>
              <w:jc w:val="right"/>
              <w:rPr>
                <w:sz w:val="19"/>
                <w:lang w:val="fr-FR"/>
              </w:rPr>
            </w:pPr>
            <w:r>
              <w:rPr>
                <w:sz w:val="19"/>
                <w:lang w:val="fr-FR"/>
              </w:rPr>
              <w:t>3 070</w:t>
            </w: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275</w:t>
            </w:r>
          </w:p>
        </w:tc>
        <w:tc>
          <w:tcPr>
            <w:tcW w:w="847" w:type="dxa"/>
            <w:tcMar>
              <w:left w:w="108" w:type="dxa"/>
              <w:bottom w:w="0" w:type="dxa"/>
              <w:right w:w="108" w:type="dxa"/>
            </w:tcMar>
          </w:tcPr>
          <w:p w:rsidR="00000000" w:rsidRDefault="00000000">
            <w:pPr>
              <w:spacing w:after="0"/>
              <w:ind w:right="57"/>
              <w:jc w:val="right"/>
              <w:rPr>
                <w:sz w:val="19"/>
                <w:lang w:val="fr-FR"/>
              </w:rPr>
            </w:pPr>
            <w:r>
              <w:rPr>
                <w:sz w:val="19"/>
                <w:lang w:val="fr-FR"/>
              </w:rPr>
              <w:t>825</w:t>
            </w: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4.</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Ballsh</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450</w:t>
            </w:r>
          </w:p>
        </w:tc>
        <w:tc>
          <w:tcPr>
            <w:tcW w:w="850" w:type="dxa"/>
            <w:tcMar>
              <w:left w:w="108" w:type="dxa"/>
              <w:bottom w:w="0" w:type="dxa"/>
              <w:right w:w="108" w:type="dxa"/>
            </w:tcMar>
          </w:tcPr>
          <w:p w:rsidR="00000000" w:rsidRDefault="00000000">
            <w:pPr>
              <w:spacing w:after="0"/>
              <w:ind w:right="57"/>
              <w:jc w:val="right"/>
              <w:rPr>
                <w:sz w:val="19"/>
                <w:lang w:val="fr-FR"/>
              </w:rPr>
            </w:pPr>
            <w:r>
              <w:rPr>
                <w:sz w:val="19"/>
                <w:lang w:val="fr-FR"/>
              </w:rPr>
              <w:t>1 660</w:t>
            </w: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67</w:t>
            </w:r>
          </w:p>
        </w:tc>
        <w:tc>
          <w:tcPr>
            <w:tcW w:w="847" w:type="dxa"/>
            <w:tcMar>
              <w:left w:w="108" w:type="dxa"/>
              <w:bottom w:w="0" w:type="dxa"/>
              <w:right w:w="108" w:type="dxa"/>
            </w:tcMar>
          </w:tcPr>
          <w:p w:rsidR="00000000" w:rsidRDefault="00000000">
            <w:pPr>
              <w:spacing w:after="0"/>
              <w:ind w:right="57"/>
              <w:jc w:val="right"/>
              <w:rPr>
                <w:sz w:val="19"/>
                <w:lang w:val="fr-FR"/>
              </w:rPr>
            </w:pPr>
            <w:r>
              <w:rPr>
                <w:sz w:val="19"/>
                <w:lang w:val="fr-FR"/>
              </w:rPr>
              <w:t>282</w:t>
            </w: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5.</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M. </w:t>
            </w:r>
            <w:proofErr w:type="spellStart"/>
            <w:r>
              <w:rPr>
                <w:sz w:val="19"/>
                <w:lang w:val="fr-FR"/>
              </w:rPr>
              <w:t>Roskovec</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36</w:t>
            </w:r>
          </w:p>
        </w:tc>
        <w:tc>
          <w:tcPr>
            <w:tcW w:w="850" w:type="dxa"/>
            <w:tcMar>
              <w:left w:w="108" w:type="dxa"/>
              <w:bottom w:w="0" w:type="dxa"/>
              <w:right w:w="108" w:type="dxa"/>
            </w:tcMar>
          </w:tcPr>
          <w:p w:rsidR="00000000" w:rsidRDefault="00000000">
            <w:pPr>
              <w:spacing w:after="0"/>
              <w:ind w:right="57"/>
              <w:jc w:val="right"/>
              <w:rPr>
                <w:sz w:val="19"/>
                <w:lang w:val="fr-FR"/>
              </w:rPr>
            </w:pPr>
            <w:r>
              <w:rPr>
                <w:sz w:val="19"/>
                <w:lang w:val="fr-FR"/>
              </w:rPr>
              <w:t>108</w:t>
            </w: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30</w:t>
            </w:r>
          </w:p>
        </w:tc>
        <w:tc>
          <w:tcPr>
            <w:tcW w:w="847" w:type="dxa"/>
            <w:tcMar>
              <w:left w:w="108" w:type="dxa"/>
              <w:bottom w:w="0" w:type="dxa"/>
              <w:right w:w="108" w:type="dxa"/>
            </w:tcMar>
          </w:tcPr>
          <w:p w:rsidR="00000000" w:rsidRDefault="00000000">
            <w:pPr>
              <w:spacing w:after="0"/>
              <w:ind w:right="57"/>
              <w:jc w:val="right"/>
              <w:rPr>
                <w:sz w:val="19"/>
                <w:lang w:val="fr-FR"/>
              </w:rPr>
            </w:pPr>
            <w:r>
              <w:rPr>
                <w:sz w:val="19"/>
                <w:lang w:val="fr-FR"/>
              </w:rPr>
              <w:t>90</w:t>
            </w: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6.</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Bubullim</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p>
        </w:tc>
        <w:tc>
          <w:tcPr>
            <w:tcW w:w="850" w:type="dxa"/>
            <w:tcMar>
              <w:left w:w="108" w:type="dxa"/>
              <w:bottom w:w="0" w:type="dxa"/>
              <w:right w:w="108" w:type="dxa"/>
            </w:tcMar>
          </w:tcPr>
          <w:p w:rsidR="00000000" w:rsidRDefault="00000000">
            <w:pPr>
              <w:spacing w:after="0"/>
              <w:ind w:right="57"/>
              <w:jc w:val="right"/>
              <w:rPr>
                <w:sz w:val="19"/>
                <w:lang w:val="fr-FR"/>
              </w:rPr>
            </w:pP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150</w:t>
            </w:r>
          </w:p>
        </w:tc>
        <w:tc>
          <w:tcPr>
            <w:tcW w:w="847" w:type="dxa"/>
            <w:tcMar>
              <w:left w:w="108" w:type="dxa"/>
              <w:bottom w:w="0" w:type="dxa"/>
              <w:right w:w="108" w:type="dxa"/>
            </w:tcMar>
          </w:tcPr>
          <w:p w:rsidR="00000000" w:rsidRDefault="00000000">
            <w:pPr>
              <w:spacing w:after="0"/>
              <w:ind w:right="57"/>
              <w:jc w:val="right"/>
              <w:rPr>
                <w:sz w:val="19"/>
                <w:lang w:val="fr-FR"/>
              </w:rPr>
            </w:pPr>
            <w:r>
              <w:rPr>
                <w:sz w:val="19"/>
                <w:lang w:val="fr-FR"/>
              </w:rPr>
              <w:t>800</w:t>
            </w: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7.</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Grabjan</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p>
        </w:tc>
        <w:tc>
          <w:tcPr>
            <w:tcW w:w="850" w:type="dxa"/>
            <w:tcMar>
              <w:left w:w="108" w:type="dxa"/>
              <w:bottom w:w="0" w:type="dxa"/>
              <w:right w:w="108" w:type="dxa"/>
            </w:tcMar>
          </w:tcPr>
          <w:p w:rsidR="00000000" w:rsidRDefault="00000000">
            <w:pPr>
              <w:spacing w:after="0"/>
              <w:ind w:right="57"/>
              <w:jc w:val="right"/>
              <w:rPr>
                <w:sz w:val="19"/>
                <w:lang w:val="fr-FR"/>
              </w:rPr>
            </w:pPr>
            <w:r>
              <w:rPr>
                <w:sz w:val="19"/>
                <w:lang w:val="fr-FR"/>
              </w:rPr>
              <w:t>34</w:t>
            </w: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80</w:t>
            </w:r>
          </w:p>
        </w:tc>
        <w:tc>
          <w:tcPr>
            <w:tcW w:w="847" w:type="dxa"/>
            <w:tcMar>
              <w:left w:w="108" w:type="dxa"/>
              <w:bottom w:w="0" w:type="dxa"/>
              <w:right w:w="108" w:type="dxa"/>
            </w:tcMar>
          </w:tcPr>
          <w:p w:rsidR="00000000" w:rsidRDefault="00000000">
            <w:pPr>
              <w:spacing w:after="0"/>
              <w:ind w:right="57"/>
              <w:jc w:val="right"/>
              <w:rPr>
                <w:sz w:val="19"/>
                <w:lang w:val="fr-FR"/>
              </w:rPr>
            </w:pPr>
            <w:r>
              <w:rPr>
                <w:sz w:val="19"/>
                <w:lang w:val="fr-FR"/>
              </w:rPr>
              <w:t>250</w:t>
            </w: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fr-FR"/>
              </w:rPr>
            </w:pPr>
            <w:r>
              <w:rPr>
                <w:sz w:val="19"/>
                <w:lang w:val="fr-FR"/>
              </w:rPr>
              <w:t>8.</w:t>
            </w:r>
          </w:p>
        </w:tc>
        <w:tc>
          <w:tcPr>
            <w:tcW w:w="1784" w:type="dxa"/>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Hysgjokaj</w:t>
            </w:r>
            <w:proofErr w:type="spellEnd"/>
          </w:p>
        </w:tc>
        <w:tc>
          <w:tcPr>
            <w:tcW w:w="954" w:type="dxa"/>
            <w:tcMar>
              <w:left w:w="108" w:type="dxa"/>
              <w:bottom w:w="0" w:type="dxa"/>
              <w:right w:w="108" w:type="dxa"/>
            </w:tcMar>
          </w:tcPr>
          <w:p w:rsidR="00000000" w:rsidRDefault="00000000">
            <w:pPr>
              <w:spacing w:after="0"/>
              <w:ind w:right="113"/>
              <w:jc w:val="right"/>
              <w:rPr>
                <w:sz w:val="19"/>
                <w:lang w:val="fr-FR"/>
              </w:rPr>
            </w:pPr>
          </w:p>
        </w:tc>
        <w:tc>
          <w:tcPr>
            <w:tcW w:w="850" w:type="dxa"/>
            <w:tcMar>
              <w:left w:w="108" w:type="dxa"/>
              <w:bottom w:w="0" w:type="dxa"/>
              <w:right w:w="108" w:type="dxa"/>
            </w:tcMar>
          </w:tcPr>
          <w:p w:rsidR="00000000" w:rsidRDefault="00000000">
            <w:pPr>
              <w:spacing w:after="0"/>
              <w:ind w:right="57"/>
              <w:jc w:val="right"/>
              <w:rPr>
                <w:sz w:val="19"/>
                <w:lang w:val="fr-FR"/>
              </w:rPr>
            </w:pPr>
          </w:p>
        </w:tc>
        <w:tc>
          <w:tcPr>
            <w:tcW w:w="951" w:type="dxa"/>
            <w:tcMar>
              <w:left w:w="108" w:type="dxa"/>
              <w:bottom w:w="0" w:type="dxa"/>
              <w:right w:w="108" w:type="dxa"/>
            </w:tcMar>
          </w:tcPr>
          <w:p w:rsidR="00000000" w:rsidRDefault="00000000">
            <w:pPr>
              <w:spacing w:after="0"/>
              <w:ind w:right="57"/>
              <w:jc w:val="right"/>
              <w:rPr>
                <w:sz w:val="19"/>
                <w:lang w:val="fr-FR"/>
              </w:rPr>
            </w:pPr>
          </w:p>
        </w:tc>
        <w:tc>
          <w:tcPr>
            <w:tcW w:w="847" w:type="dxa"/>
            <w:tcMar>
              <w:left w:w="108" w:type="dxa"/>
              <w:bottom w:w="0" w:type="dxa"/>
              <w:right w:w="108" w:type="dxa"/>
            </w:tcMar>
          </w:tcPr>
          <w:p w:rsidR="00000000" w:rsidRDefault="00000000">
            <w:pPr>
              <w:spacing w:after="0"/>
              <w:ind w:right="57"/>
              <w:jc w:val="right"/>
              <w:rPr>
                <w:sz w:val="19"/>
                <w:lang w:val="fr-FR"/>
              </w:rPr>
            </w:pP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9.</w:t>
            </w:r>
          </w:p>
        </w:tc>
        <w:tc>
          <w:tcPr>
            <w:tcW w:w="1784" w:type="dxa"/>
            <w:tcMar>
              <w:left w:w="108" w:type="dxa"/>
              <w:bottom w:w="0" w:type="dxa"/>
              <w:right w:w="108" w:type="dxa"/>
            </w:tcMar>
          </w:tcPr>
          <w:p w:rsidR="00000000" w:rsidRDefault="00000000">
            <w:pPr>
              <w:spacing w:after="0"/>
              <w:rPr>
                <w:sz w:val="19"/>
                <w:lang w:val="nl-NL"/>
              </w:rPr>
            </w:pPr>
            <w:r>
              <w:rPr>
                <w:sz w:val="19"/>
                <w:lang w:val="nl-NL"/>
              </w:rPr>
              <w:t>C. Dushk</w:t>
            </w:r>
          </w:p>
        </w:tc>
        <w:tc>
          <w:tcPr>
            <w:tcW w:w="954" w:type="dxa"/>
            <w:tcMar>
              <w:left w:w="108" w:type="dxa"/>
              <w:bottom w:w="0" w:type="dxa"/>
              <w:right w:w="108" w:type="dxa"/>
            </w:tcMar>
          </w:tcPr>
          <w:p w:rsidR="00000000" w:rsidRDefault="00000000">
            <w:pPr>
              <w:spacing w:after="0"/>
              <w:ind w:right="113"/>
              <w:jc w:val="right"/>
              <w:rPr>
                <w:sz w:val="19"/>
                <w:lang w:val="nl-NL"/>
              </w:rPr>
            </w:pPr>
            <w:r>
              <w:rPr>
                <w:sz w:val="19"/>
                <w:lang w:val="nl-NL"/>
              </w:rPr>
              <w:t>17</w:t>
            </w: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54</w:t>
            </w: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268</w:t>
            </w: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1 070</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10.</w:t>
            </w:r>
          </w:p>
        </w:tc>
        <w:tc>
          <w:tcPr>
            <w:tcW w:w="1784" w:type="dxa"/>
            <w:tcMar>
              <w:left w:w="108" w:type="dxa"/>
              <w:bottom w:w="0" w:type="dxa"/>
              <w:right w:w="108" w:type="dxa"/>
            </w:tcMar>
          </w:tcPr>
          <w:p w:rsidR="00000000" w:rsidRDefault="00000000">
            <w:pPr>
              <w:spacing w:after="0"/>
              <w:rPr>
                <w:sz w:val="19"/>
                <w:lang w:val="nl-NL"/>
              </w:rPr>
            </w:pPr>
            <w:r>
              <w:rPr>
                <w:sz w:val="19"/>
                <w:lang w:val="nl-NL"/>
              </w:rPr>
              <w:t>C. Terbuf</w:t>
            </w:r>
          </w:p>
        </w:tc>
        <w:tc>
          <w:tcPr>
            <w:tcW w:w="954" w:type="dxa"/>
            <w:tcMar>
              <w:left w:w="108" w:type="dxa"/>
              <w:bottom w:w="0" w:type="dxa"/>
              <w:right w:w="108" w:type="dxa"/>
            </w:tcMar>
          </w:tcPr>
          <w:p w:rsidR="00000000" w:rsidRDefault="00000000">
            <w:pPr>
              <w:spacing w:after="0"/>
              <w:ind w:right="113"/>
              <w:jc w:val="right"/>
              <w:rPr>
                <w:sz w:val="19"/>
              </w:rPr>
            </w:pPr>
            <w:r>
              <w:rPr>
                <w:sz w:val="19"/>
              </w:rPr>
              <w:t>30</w:t>
            </w:r>
          </w:p>
        </w:tc>
        <w:tc>
          <w:tcPr>
            <w:tcW w:w="850" w:type="dxa"/>
            <w:tcMar>
              <w:left w:w="108" w:type="dxa"/>
              <w:bottom w:w="0" w:type="dxa"/>
              <w:right w:w="108" w:type="dxa"/>
            </w:tcMar>
          </w:tcPr>
          <w:p w:rsidR="00000000" w:rsidRDefault="00000000">
            <w:pPr>
              <w:spacing w:after="0"/>
              <w:ind w:right="57"/>
              <w:jc w:val="right"/>
              <w:rPr>
                <w:sz w:val="19"/>
              </w:rPr>
            </w:pPr>
            <w:r>
              <w:rPr>
                <w:sz w:val="19"/>
              </w:rPr>
              <w:t>105</w:t>
            </w:r>
          </w:p>
        </w:tc>
        <w:tc>
          <w:tcPr>
            <w:tcW w:w="951" w:type="dxa"/>
            <w:tcMar>
              <w:left w:w="108" w:type="dxa"/>
              <w:bottom w:w="0" w:type="dxa"/>
              <w:right w:w="108" w:type="dxa"/>
            </w:tcMar>
          </w:tcPr>
          <w:p w:rsidR="00000000" w:rsidRDefault="00000000">
            <w:pPr>
              <w:spacing w:after="0"/>
              <w:ind w:right="57"/>
              <w:jc w:val="right"/>
              <w:rPr>
                <w:sz w:val="19"/>
              </w:rPr>
            </w:pPr>
            <w:r>
              <w:rPr>
                <w:sz w:val="19"/>
              </w:rPr>
              <w:t>800</w:t>
            </w:r>
          </w:p>
        </w:tc>
        <w:tc>
          <w:tcPr>
            <w:tcW w:w="847" w:type="dxa"/>
            <w:tcMar>
              <w:left w:w="108" w:type="dxa"/>
              <w:bottom w:w="0" w:type="dxa"/>
              <w:right w:w="108" w:type="dxa"/>
            </w:tcMar>
          </w:tcPr>
          <w:p w:rsidR="00000000" w:rsidRDefault="00000000">
            <w:pPr>
              <w:spacing w:after="0"/>
              <w:ind w:right="57"/>
              <w:jc w:val="right"/>
              <w:rPr>
                <w:sz w:val="19"/>
              </w:rPr>
            </w:pPr>
            <w:r>
              <w:rPr>
                <w:sz w:val="19"/>
              </w:rPr>
              <w:t>3 100</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11.</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Ballagat</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30</w:t>
            </w:r>
          </w:p>
        </w:tc>
        <w:tc>
          <w:tcPr>
            <w:tcW w:w="847" w:type="dxa"/>
            <w:tcMar>
              <w:left w:w="108" w:type="dxa"/>
              <w:bottom w:w="0" w:type="dxa"/>
              <w:right w:w="108" w:type="dxa"/>
            </w:tcMar>
          </w:tcPr>
          <w:p w:rsidR="00000000" w:rsidRDefault="00000000">
            <w:pPr>
              <w:spacing w:after="0"/>
              <w:ind w:right="57"/>
              <w:jc w:val="right"/>
              <w:rPr>
                <w:sz w:val="19"/>
              </w:rPr>
            </w:pPr>
            <w:r>
              <w:rPr>
                <w:sz w:val="19"/>
              </w:rPr>
              <w:t>105</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12.</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Fiershegan</w:t>
            </w:r>
            <w:proofErr w:type="spellEnd"/>
          </w:p>
        </w:tc>
        <w:tc>
          <w:tcPr>
            <w:tcW w:w="954" w:type="dxa"/>
            <w:tcMar>
              <w:left w:w="108" w:type="dxa"/>
              <w:bottom w:w="0" w:type="dxa"/>
              <w:right w:w="108" w:type="dxa"/>
            </w:tcMar>
          </w:tcPr>
          <w:p w:rsidR="00000000" w:rsidRDefault="00000000">
            <w:pPr>
              <w:spacing w:after="0"/>
              <w:ind w:right="113"/>
              <w:jc w:val="right"/>
              <w:rPr>
                <w:sz w:val="19"/>
                <w:lang w:val="de-DE"/>
              </w:rPr>
            </w:pPr>
            <w:r>
              <w:rPr>
                <w:sz w:val="19"/>
                <w:lang w:val="de-DE"/>
              </w:rPr>
              <w:t>50</w:t>
            </w: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250</w:t>
            </w: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150</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800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13.</w:t>
            </w:r>
          </w:p>
        </w:tc>
        <w:tc>
          <w:tcPr>
            <w:tcW w:w="1784" w:type="dxa"/>
            <w:tcMar>
              <w:left w:w="108" w:type="dxa"/>
              <w:bottom w:w="0" w:type="dxa"/>
              <w:right w:w="108" w:type="dxa"/>
            </w:tcMar>
          </w:tcPr>
          <w:p w:rsidR="00000000" w:rsidRDefault="00000000">
            <w:pPr>
              <w:spacing w:after="0"/>
              <w:rPr>
                <w:sz w:val="19"/>
                <w:lang w:val="de-DE"/>
              </w:rPr>
            </w:pPr>
            <w:r>
              <w:rPr>
                <w:sz w:val="19"/>
                <w:lang w:val="de-DE"/>
              </w:rPr>
              <w:t>C. Karbunare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450</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1 200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14.</w:t>
            </w:r>
          </w:p>
        </w:tc>
        <w:tc>
          <w:tcPr>
            <w:tcW w:w="1784" w:type="dxa"/>
            <w:tcMar>
              <w:left w:w="108" w:type="dxa"/>
              <w:bottom w:w="0" w:type="dxa"/>
              <w:right w:w="108" w:type="dxa"/>
            </w:tcMar>
          </w:tcPr>
          <w:p w:rsidR="00000000" w:rsidRDefault="00000000">
            <w:pPr>
              <w:spacing w:after="0"/>
              <w:rPr>
                <w:sz w:val="19"/>
                <w:lang w:val="de-DE"/>
              </w:rPr>
            </w:pPr>
            <w:r>
              <w:rPr>
                <w:sz w:val="19"/>
                <w:lang w:val="de-DE"/>
              </w:rPr>
              <w:t>C. Selite</w:t>
            </w:r>
          </w:p>
        </w:tc>
        <w:tc>
          <w:tcPr>
            <w:tcW w:w="954" w:type="dxa"/>
            <w:tcMar>
              <w:left w:w="108" w:type="dxa"/>
              <w:bottom w:w="0" w:type="dxa"/>
              <w:right w:w="108" w:type="dxa"/>
            </w:tcMar>
          </w:tcPr>
          <w:p w:rsidR="00000000" w:rsidRDefault="00000000">
            <w:pPr>
              <w:spacing w:after="0"/>
              <w:ind w:right="113"/>
              <w:jc w:val="right"/>
              <w:rPr>
                <w:sz w:val="19"/>
                <w:lang w:val="fr-FR"/>
              </w:rPr>
            </w:pPr>
            <w:r>
              <w:rPr>
                <w:sz w:val="19"/>
                <w:lang w:val="fr-FR"/>
              </w:rPr>
              <w:t>375</w:t>
            </w:r>
          </w:p>
        </w:tc>
        <w:tc>
          <w:tcPr>
            <w:tcW w:w="850" w:type="dxa"/>
            <w:tcMar>
              <w:left w:w="108" w:type="dxa"/>
              <w:bottom w:w="0" w:type="dxa"/>
              <w:right w:w="108" w:type="dxa"/>
            </w:tcMar>
          </w:tcPr>
          <w:p w:rsidR="00000000" w:rsidRDefault="00000000">
            <w:pPr>
              <w:spacing w:after="0"/>
              <w:ind w:right="57"/>
              <w:jc w:val="right"/>
              <w:rPr>
                <w:sz w:val="19"/>
                <w:lang w:val="fr-FR"/>
              </w:rPr>
            </w:pPr>
            <w:r>
              <w:rPr>
                <w:sz w:val="19"/>
                <w:lang w:val="fr-FR"/>
              </w:rPr>
              <w:t>2 250</w:t>
            </w:r>
          </w:p>
        </w:tc>
        <w:tc>
          <w:tcPr>
            <w:tcW w:w="951" w:type="dxa"/>
            <w:tcMar>
              <w:left w:w="108" w:type="dxa"/>
              <w:bottom w:w="0" w:type="dxa"/>
              <w:right w:w="108" w:type="dxa"/>
            </w:tcMar>
          </w:tcPr>
          <w:p w:rsidR="00000000" w:rsidRDefault="00000000">
            <w:pPr>
              <w:spacing w:after="0"/>
              <w:ind w:right="57"/>
              <w:jc w:val="right"/>
              <w:rPr>
                <w:sz w:val="19"/>
                <w:lang w:val="fr-FR"/>
              </w:rPr>
            </w:pPr>
            <w:r>
              <w:rPr>
                <w:sz w:val="19"/>
                <w:lang w:val="fr-FR"/>
              </w:rPr>
              <w:t>59</w:t>
            </w:r>
          </w:p>
        </w:tc>
        <w:tc>
          <w:tcPr>
            <w:tcW w:w="847" w:type="dxa"/>
            <w:tcMar>
              <w:left w:w="108" w:type="dxa"/>
              <w:bottom w:w="0" w:type="dxa"/>
              <w:right w:w="108" w:type="dxa"/>
            </w:tcMar>
          </w:tcPr>
          <w:p w:rsidR="00000000" w:rsidRDefault="00000000">
            <w:pPr>
              <w:spacing w:after="0"/>
              <w:ind w:right="57"/>
              <w:jc w:val="right"/>
              <w:rPr>
                <w:sz w:val="19"/>
                <w:lang w:val="fr-FR"/>
              </w:rPr>
            </w:pPr>
            <w:r>
              <w:rPr>
                <w:sz w:val="19"/>
                <w:lang w:val="fr-FR"/>
              </w:rPr>
              <w:t>354</w:t>
            </w:r>
          </w:p>
        </w:tc>
        <w:tc>
          <w:tcPr>
            <w:tcW w:w="712" w:type="dxa"/>
            <w:tcMar>
              <w:left w:w="108" w:type="dxa"/>
              <w:bottom w:w="0" w:type="dxa"/>
              <w:right w:w="108" w:type="dxa"/>
            </w:tcMar>
          </w:tcPr>
          <w:p w:rsidR="00000000" w:rsidRDefault="00000000">
            <w:pPr>
              <w:spacing w:after="0"/>
              <w:ind w:right="57"/>
              <w:jc w:val="right"/>
              <w:rPr>
                <w:sz w:val="19"/>
                <w:lang w:val="fr-FR"/>
              </w:rPr>
            </w:pPr>
          </w:p>
        </w:tc>
        <w:tc>
          <w:tcPr>
            <w:tcW w:w="992" w:type="dxa"/>
            <w:tcMar>
              <w:left w:w="108" w:type="dxa"/>
              <w:bottom w:w="0" w:type="dxa"/>
              <w:right w:w="108" w:type="dxa"/>
            </w:tcMar>
          </w:tcPr>
          <w:p w:rsidR="00000000" w:rsidRDefault="00000000">
            <w:pPr>
              <w:spacing w:after="0"/>
              <w:ind w:right="284"/>
              <w:jc w:val="right"/>
              <w:rPr>
                <w:sz w:val="19"/>
                <w:lang w:val="fr-FR"/>
              </w:rPr>
            </w:pPr>
          </w:p>
        </w:tc>
        <w:tc>
          <w:tcPr>
            <w:tcW w:w="1418" w:type="dxa"/>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lang w:val="fr-FR"/>
              </w:rPr>
            </w:pPr>
            <w:r>
              <w:rPr>
                <w:sz w:val="19"/>
                <w:lang w:val="fr-FR"/>
              </w:rPr>
              <w:t>15.</w:t>
            </w:r>
          </w:p>
        </w:tc>
        <w:tc>
          <w:tcPr>
            <w:tcW w:w="1784" w:type="dxa"/>
            <w:tcBorders>
              <w:bottom w:val="single" w:sz="4" w:space="0" w:color="auto"/>
            </w:tcBorders>
            <w:tcMar>
              <w:left w:w="108" w:type="dxa"/>
              <w:bottom w:w="0" w:type="dxa"/>
              <w:right w:w="108" w:type="dxa"/>
            </w:tcMar>
          </w:tcPr>
          <w:p w:rsidR="00000000" w:rsidRDefault="00000000">
            <w:pPr>
              <w:spacing w:after="0"/>
              <w:rPr>
                <w:sz w:val="19"/>
                <w:lang w:val="fr-FR"/>
              </w:rPr>
            </w:pPr>
            <w:r>
              <w:rPr>
                <w:sz w:val="19"/>
                <w:lang w:val="fr-FR"/>
              </w:rPr>
              <w:t xml:space="preserve">C. </w:t>
            </w:r>
            <w:proofErr w:type="spellStart"/>
            <w:r>
              <w:rPr>
                <w:sz w:val="19"/>
                <w:lang w:val="fr-FR"/>
              </w:rPr>
              <w:t>Fratar</w:t>
            </w:r>
            <w:proofErr w:type="spellEnd"/>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lang w:val="fr-FR"/>
              </w:rPr>
            </w:pPr>
            <w:r>
              <w:rPr>
                <w:sz w:val="19"/>
                <w:lang w:val="fr-FR"/>
              </w:rPr>
              <w:t>3</w:t>
            </w: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r>
              <w:rPr>
                <w:sz w:val="19"/>
                <w:lang w:val="fr-FR"/>
              </w:rPr>
              <w:t>15</w:t>
            </w: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r>
              <w:rPr>
                <w:sz w:val="19"/>
                <w:lang w:val="fr-FR"/>
              </w:rPr>
              <w:t>120</w:t>
            </w: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r>
              <w:rPr>
                <w:sz w:val="19"/>
                <w:lang w:val="fr-FR"/>
              </w:rPr>
              <w:t>600</w:t>
            </w: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lang w:val="fr-FR"/>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lang w:val="fr-FR"/>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lang w:val="fr-FR"/>
              </w:rPr>
            </w:pPr>
          </w:p>
        </w:tc>
      </w:tr>
      <w:tr w:rsidR="00000000">
        <w:tc>
          <w:tcPr>
            <w:tcW w:w="848" w:type="dxa"/>
            <w:tcBorders>
              <w:top w:val="single" w:sz="4" w:space="0" w:color="auto"/>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single" w:sz="4" w:space="0" w:color="auto"/>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single" w:sz="4" w:space="0" w:color="auto"/>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single" w:sz="4" w:space="0" w:color="auto"/>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single" w:sz="4" w:space="0" w:color="auto"/>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single" w:sz="4" w:space="0" w:color="auto"/>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left w:val="nil"/>
              <w:bottom w:val="nil"/>
              <w:right w:val="nil"/>
            </w:tcBorders>
            <w:tcMar>
              <w:left w:w="108" w:type="dxa"/>
              <w:bottom w:w="0" w:type="dxa"/>
              <w:right w:w="108" w:type="dxa"/>
            </w:tcMar>
          </w:tcPr>
          <w:p w:rsidR="00000000" w:rsidRDefault="00000000">
            <w:pPr>
              <w:spacing w:after="0"/>
              <w:ind w:left="113"/>
              <w:rPr>
                <w:sz w:val="19"/>
                <w:lang w:val="fr-FR"/>
              </w:rPr>
            </w:pPr>
          </w:p>
        </w:tc>
        <w:tc>
          <w:tcPr>
            <w:tcW w:w="1784" w:type="dxa"/>
            <w:tcBorders>
              <w:top w:val="nil"/>
              <w:left w:val="nil"/>
              <w:bottom w:val="nil"/>
              <w:right w:val="nil"/>
            </w:tcBorders>
            <w:tcMar>
              <w:left w:w="108" w:type="dxa"/>
              <w:bottom w:w="0" w:type="dxa"/>
              <w:right w:w="108" w:type="dxa"/>
            </w:tcMar>
          </w:tcPr>
          <w:p w:rsidR="00000000" w:rsidRDefault="00000000">
            <w:pPr>
              <w:spacing w:after="0"/>
              <w:rPr>
                <w:sz w:val="19"/>
              </w:rPr>
            </w:pPr>
          </w:p>
        </w:tc>
        <w:tc>
          <w:tcPr>
            <w:tcW w:w="954" w:type="dxa"/>
            <w:tcBorders>
              <w:top w:val="nil"/>
              <w:left w:val="nil"/>
              <w:bottom w:val="nil"/>
              <w:right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51"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847"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712" w:type="dxa"/>
            <w:tcBorders>
              <w:top w:val="nil"/>
              <w:left w:val="nil"/>
              <w:bottom w:val="nil"/>
              <w:right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left w:val="nil"/>
              <w:bottom w:val="nil"/>
              <w:right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left w:val="nil"/>
              <w:bottom w:val="nil"/>
              <w:right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Borders>
              <w:top w:val="nil"/>
              <w:bottom w:val="nil"/>
            </w:tcBorders>
            <w:tcMar>
              <w:left w:w="108" w:type="dxa"/>
              <w:bottom w:w="0" w:type="dxa"/>
              <w:right w:w="108" w:type="dxa"/>
            </w:tcMar>
          </w:tcPr>
          <w:p w:rsidR="00000000" w:rsidRDefault="00000000">
            <w:pPr>
              <w:spacing w:before="60" w:after="60"/>
              <w:ind w:left="113"/>
              <w:rPr>
                <w:sz w:val="19"/>
                <w:lang w:val="fr-FR"/>
              </w:rPr>
            </w:pPr>
            <w:proofErr w:type="spellStart"/>
            <w:r>
              <w:rPr>
                <w:sz w:val="19"/>
                <w:lang w:val="fr-FR"/>
              </w:rPr>
              <w:t>XII</w:t>
            </w:r>
            <w:proofErr w:type="spellEnd"/>
            <w:r>
              <w:rPr>
                <w:sz w:val="19"/>
                <w:lang w:val="fr-FR"/>
              </w:rPr>
              <w:t>.</w:t>
            </w:r>
          </w:p>
        </w:tc>
        <w:tc>
          <w:tcPr>
            <w:tcW w:w="1784" w:type="dxa"/>
            <w:tcBorders>
              <w:top w:val="nil"/>
              <w:bottom w:val="nil"/>
            </w:tcBorders>
            <w:tcMar>
              <w:left w:w="108" w:type="dxa"/>
              <w:bottom w:w="0" w:type="dxa"/>
              <w:right w:w="108" w:type="dxa"/>
            </w:tcMar>
          </w:tcPr>
          <w:p w:rsidR="00000000" w:rsidRDefault="00000000">
            <w:pPr>
              <w:spacing w:before="60" w:after="60"/>
              <w:rPr>
                <w:sz w:val="19"/>
              </w:rPr>
            </w:pPr>
            <w:r>
              <w:rPr>
                <w:sz w:val="19"/>
              </w:rPr>
              <w:t xml:space="preserve">Region </w:t>
            </w:r>
            <w:proofErr w:type="spellStart"/>
            <w:r>
              <w:rPr>
                <w:sz w:val="19"/>
              </w:rPr>
              <w:t>Lezhe</w:t>
            </w:r>
            <w:proofErr w:type="spellEnd"/>
          </w:p>
        </w:tc>
        <w:tc>
          <w:tcPr>
            <w:tcW w:w="954" w:type="dxa"/>
            <w:tcBorders>
              <w:top w:val="nil"/>
              <w:bottom w:val="nil"/>
            </w:tcBorders>
            <w:tcMar>
              <w:left w:w="108" w:type="dxa"/>
              <w:bottom w:w="0" w:type="dxa"/>
              <w:right w:w="108" w:type="dxa"/>
            </w:tcMar>
          </w:tcPr>
          <w:p w:rsidR="00000000" w:rsidRDefault="00000000">
            <w:pPr>
              <w:spacing w:before="60" w:after="60"/>
              <w:ind w:right="113"/>
              <w:jc w:val="right"/>
              <w:rPr>
                <w:sz w:val="19"/>
              </w:rPr>
            </w:pPr>
            <w:r>
              <w:rPr>
                <w:sz w:val="19"/>
              </w:rPr>
              <w:t>0</w:t>
            </w:r>
          </w:p>
        </w:tc>
        <w:tc>
          <w:tcPr>
            <w:tcW w:w="850" w:type="dxa"/>
            <w:tcBorders>
              <w:top w:val="nil"/>
              <w:bottom w:val="nil"/>
            </w:tcBorders>
            <w:tcMar>
              <w:left w:w="108" w:type="dxa"/>
              <w:bottom w:w="0" w:type="dxa"/>
              <w:right w:w="108" w:type="dxa"/>
            </w:tcMar>
          </w:tcPr>
          <w:p w:rsidR="00000000" w:rsidRDefault="00000000">
            <w:pPr>
              <w:spacing w:before="60" w:after="60"/>
              <w:ind w:right="57"/>
              <w:jc w:val="right"/>
              <w:rPr>
                <w:sz w:val="19"/>
              </w:rPr>
            </w:pPr>
            <w:r>
              <w:rPr>
                <w:sz w:val="19"/>
              </w:rPr>
              <w:t>2 034</w:t>
            </w:r>
          </w:p>
        </w:tc>
        <w:tc>
          <w:tcPr>
            <w:tcW w:w="951" w:type="dxa"/>
            <w:tcBorders>
              <w:top w:val="nil"/>
              <w:bottom w:val="nil"/>
            </w:tcBorders>
            <w:tcMar>
              <w:left w:w="108" w:type="dxa"/>
              <w:bottom w:w="0" w:type="dxa"/>
              <w:right w:w="108" w:type="dxa"/>
            </w:tcMar>
          </w:tcPr>
          <w:p w:rsidR="00000000" w:rsidRDefault="00000000">
            <w:pPr>
              <w:spacing w:before="60" w:after="60"/>
              <w:ind w:right="57"/>
              <w:jc w:val="right"/>
              <w:rPr>
                <w:sz w:val="19"/>
              </w:rPr>
            </w:pPr>
            <w:r>
              <w:rPr>
                <w:sz w:val="19"/>
              </w:rPr>
              <w:t>2 925</w:t>
            </w:r>
          </w:p>
        </w:tc>
        <w:tc>
          <w:tcPr>
            <w:tcW w:w="847" w:type="dxa"/>
            <w:tcBorders>
              <w:top w:val="nil"/>
              <w:bottom w:val="nil"/>
            </w:tcBorders>
            <w:tcMar>
              <w:left w:w="108" w:type="dxa"/>
              <w:bottom w:w="0" w:type="dxa"/>
              <w:right w:w="108" w:type="dxa"/>
            </w:tcMar>
          </w:tcPr>
          <w:p w:rsidR="00000000" w:rsidRDefault="00000000">
            <w:pPr>
              <w:spacing w:before="60" w:after="60"/>
              <w:ind w:right="57"/>
              <w:jc w:val="right"/>
              <w:rPr>
                <w:sz w:val="19"/>
              </w:rPr>
            </w:pPr>
            <w:r>
              <w:rPr>
                <w:sz w:val="19"/>
              </w:rPr>
              <w:t>15 966</w:t>
            </w:r>
          </w:p>
        </w:tc>
        <w:tc>
          <w:tcPr>
            <w:tcW w:w="712" w:type="dxa"/>
            <w:tcBorders>
              <w:top w:val="nil"/>
              <w:bottom w:val="nil"/>
            </w:tcBorders>
            <w:tcMar>
              <w:left w:w="108" w:type="dxa"/>
              <w:bottom w:w="0" w:type="dxa"/>
              <w:right w:w="108" w:type="dxa"/>
            </w:tcMar>
          </w:tcPr>
          <w:p w:rsidR="00000000" w:rsidRDefault="00000000">
            <w:pPr>
              <w:spacing w:before="60" w:after="60"/>
              <w:ind w:right="57"/>
              <w:jc w:val="right"/>
              <w:rPr>
                <w:sz w:val="19"/>
              </w:rPr>
            </w:pPr>
            <w:r>
              <w:rPr>
                <w:sz w:val="19"/>
              </w:rPr>
              <w:t>0</w:t>
            </w:r>
          </w:p>
        </w:tc>
        <w:tc>
          <w:tcPr>
            <w:tcW w:w="992" w:type="dxa"/>
            <w:tcBorders>
              <w:top w:val="nil"/>
              <w:bottom w:val="nil"/>
            </w:tcBorders>
            <w:tcMar>
              <w:left w:w="108" w:type="dxa"/>
              <w:bottom w:w="0" w:type="dxa"/>
              <w:right w:w="108" w:type="dxa"/>
            </w:tcMar>
          </w:tcPr>
          <w:p w:rsidR="00000000" w:rsidRDefault="00000000">
            <w:pPr>
              <w:spacing w:before="60" w:after="60"/>
              <w:ind w:right="284"/>
              <w:jc w:val="right"/>
              <w:rPr>
                <w:sz w:val="19"/>
              </w:rPr>
            </w:pPr>
            <w:r>
              <w:rPr>
                <w:sz w:val="19"/>
              </w:rPr>
              <w:t>0</w:t>
            </w:r>
          </w:p>
        </w:tc>
        <w:tc>
          <w:tcPr>
            <w:tcW w:w="1418" w:type="dxa"/>
            <w:tcBorders>
              <w:top w:val="nil"/>
              <w:bottom w:val="nil"/>
            </w:tcBorders>
            <w:tcMar>
              <w:left w:w="108" w:type="dxa"/>
              <w:bottom w:w="0" w:type="dxa"/>
              <w:right w:w="108" w:type="dxa"/>
            </w:tcMar>
          </w:tcPr>
          <w:p w:rsidR="00000000" w:rsidRDefault="00000000">
            <w:pPr>
              <w:spacing w:before="60" w:after="60"/>
              <w:ind w:right="454"/>
              <w:jc w:val="right"/>
              <w:rPr>
                <w:sz w:val="19"/>
              </w:rPr>
            </w:pPr>
            <w:r>
              <w:rPr>
                <w:sz w:val="19"/>
              </w:rPr>
              <w:t>0</w:t>
            </w:r>
          </w:p>
        </w:tc>
      </w:tr>
      <w:tr w:rsidR="00000000">
        <w:tc>
          <w:tcPr>
            <w:tcW w:w="848" w:type="dxa"/>
            <w:tcBorders>
              <w:top w:val="nil"/>
            </w:tcBorders>
            <w:tcMar>
              <w:left w:w="108" w:type="dxa"/>
              <w:bottom w:w="0" w:type="dxa"/>
              <w:right w:w="108" w:type="dxa"/>
            </w:tcMar>
          </w:tcPr>
          <w:p w:rsidR="00000000" w:rsidRDefault="00000000">
            <w:pPr>
              <w:spacing w:after="0"/>
              <w:ind w:left="113"/>
              <w:rPr>
                <w:sz w:val="19"/>
              </w:rPr>
            </w:pPr>
            <w:r>
              <w:rPr>
                <w:sz w:val="19"/>
              </w:rPr>
              <w:t>1.</w:t>
            </w:r>
          </w:p>
        </w:tc>
        <w:tc>
          <w:tcPr>
            <w:tcW w:w="1784" w:type="dxa"/>
            <w:tcBorders>
              <w:top w:val="nil"/>
            </w:tcBorders>
            <w:tcMar>
              <w:left w:w="108" w:type="dxa"/>
              <w:bottom w:w="0" w:type="dxa"/>
              <w:right w:w="108" w:type="dxa"/>
            </w:tcMar>
          </w:tcPr>
          <w:p w:rsidR="00000000" w:rsidRDefault="00000000">
            <w:pPr>
              <w:spacing w:after="0"/>
              <w:rPr>
                <w:sz w:val="19"/>
              </w:rPr>
            </w:pPr>
            <w:r>
              <w:rPr>
                <w:sz w:val="19"/>
              </w:rPr>
              <w:t xml:space="preserve">M. </w:t>
            </w:r>
            <w:proofErr w:type="spellStart"/>
            <w:r>
              <w:rPr>
                <w:sz w:val="19"/>
              </w:rPr>
              <w:t>Lezhe</w:t>
            </w:r>
            <w:proofErr w:type="spellEnd"/>
          </w:p>
        </w:tc>
        <w:tc>
          <w:tcPr>
            <w:tcW w:w="954" w:type="dxa"/>
            <w:tcBorders>
              <w:top w:val="nil"/>
            </w:tcBorders>
            <w:tcMar>
              <w:left w:w="108" w:type="dxa"/>
              <w:bottom w:w="0" w:type="dxa"/>
              <w:right w:w="108" w:type="dxa"/>
            </w:tcMar>
          </w:tcPr>
          <w:p w:rsidR="00000000" w:rsidRDefault="00000000">
            <w:pPr>
              <w:spacing w:after="0"/>
              <w:ind w:right="113"/>
              <w:jc w:val="right"/>
              <w:rPr>
                <w:sz w:val="19"/>
              </w:rPr>
            </w:pPr>
          </w:p>
        </w:tc>
        <w:tc>
          <w:tcPr>
            <w:tcW w:w="850" w:type="dxa"/>
            <w:tcBorders>
              <w:top w:val="nil"/>
            </w:tcBorders>
            <w:tcMar>
              <w:left w:w="108" w:type="dxa"/>
              <w:bottom w:w="0" w:type="dxa"/>
              <w:right w:w="108" w:type="dxa"/>
            </w:tcMar>
          </w:tcPr>
          <w:p w:rsidR="00000000" w:rsidRDefault="00000000">
            <w:pPr>
              <w:spacing w:after="0"/>
              <w:ind w:right="57"/>
              <w:jc w:val="right"/>
              <w:rPr>
                <w:sz w:val="19"/>
              </w:rPr>
            </w:pPr>
            <w:r>
              <w:rPr>
                <w:sz w:val="19"/>
              </w:rPr>
              <w:t>275</w:t>
            </w:r>
          </w:p>
        </w:tc>
        <w:tc>
          <w:tcPr>
            <w:tcW w:w="951" w:type="dxa"/>
            <w:tcBorders>
              <w:top w:val="nil"/>
            </w:tcBorders>
            <w:tcMar>
              <w:left w:w="108" w:type="dxa"/>
              <w:bottom w:w="0" w:type="dxa"/>
              <w:right w:w="108" w:type="dxa"/>
            </w:tcMar>
          </w:tcPr>
          <w:p w:rsidR="00000000" w:rsidRDefault="00000000">
            <w:pPr>
              <w:spacing w:after="0"/>
              <w:ind w:right="57"/>
              <w:jc w:val="right"/>
              <w:rPr>
                <w:sz w:val="19"/>
              </w:rPr>
            </w:pPr>
            <w:r>
              <w:rPr>
                <w:sz w:val="19"/>
              </w:rPr>
              <w:t>430</w:t>
            </w:r>
          </w:p>
        </w:tc>
        <w:tc>
          <w:tcPr>
            <w:tcW w:w="847" w:type="dxa"/>
            <w:tcBorders>
              <w:top w:val="nil"/>
            </w:tcBorders>
            <w:tcMar>
              <w:left w:w="108" w:type="dxa"/>
              <w:bottom w:w="0" w:type="dxa"/>
              <w:right w:w="108" w:type="dxa"/>
            </w:tcMar>
          </w:tcPr>
          <w:p w:rsidR="00000000" w:rsidRDefault="00000000">
            <w:pPr>
              <w:spacing w:after="0"/>
              <w:ind w:right="57"/>
              <w:jc w:val="right"/>
              <w:rPr>
                <w:sz w:val="19"/>
              </w:rPr>
            </w:pPr>
            <w:r>
              <w:rPr>
                <w:sz w:val="19"/>
              </w:rPr>
              <w:t>1 634</w:t>
            </w:r>
          </w:p>
        </w:tc>
        <w:tc>
          <w:tcPr>
            <w:tcW w:w="712" w:type="dxa"/>
            <w:tcBorders>
              <w:top w:val="nil"/>
            </w:tcBorders>
            <w:tcMar>
              <w:left w:w="108" w:type="dxa"/>
              <w:bottom w:w="0" w:type="dxa"/>
              <w:right w:w="108" w:type="dxa"/>
            </w:tcMar>
          </w:tcPr>
          <w:p w:rsidR="00000000" w:rsidRDefault="00000000">
            <w:pPr>
              <w:spacing w:after="0"/>
              <w:ind w:right="57"/>
              <w:jc w:val="right"/>
              <w:rPr>
                <w:sz w:val="19"/>
              </w:rPr>
            </w:pPr>
          </w:p>
        </w:tc>
        <w:tc>
          <w:tcPr>
            <w:tcW w:w="992" w:type="dxa"/>
            <w:tcBorders>
              <w:top w:val="nil"/>
            </w:tcBorders>
            <w:tcMar>
              <w:left w:w="108" w:type="dxa"/>
              <w:bottom w:w="0" w:type="dxa"/>
              <w:right w:w="108" w:type="dxa"/>
            </w:tcMar>
          </w:tcPr>
          <w:p w:rsidR="00000000" w:rsidRDefault="00000000">
            <w:pPr>
              <w:spacing w:after="0"/>
              <w:ind w:right="284"/>
              <w:jc w:val="right"/>
              <w:rPr>
                <w:sz w:val="19"/>
              </w:rPr>
            </w:pPr>
          </w:p>
        </w:tc>
        <w:tc>
          <w:tcPr>
            <w:tcW w:w="1418" w:type="dxa"/>
            <w:tcBorders>
              <w:top w:val="nil"/>
            </w:tcBorders>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Shengjin</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122</w:t>
            </w: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82</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314</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3.</w:t>
            </w:r>
          </w:p>
        </w:tc>
        <w:tc>
          <w:tcPr>
            <w:tcW w:w="1784" w:type="dxa"/>
            <w:tcMar>
              <w:left w:w="108" w:type="dxa"/>
              <w:bottom w:w="0" w:type="dxa"/>
              <w:right w:w="108" w:type="dxa"/>
            </w:tcMar>
          </w:tcPr>
          <w:p w:rsidR="00000000" w:rsidRDefault="00000000">
            <w:pPr>
              <w:spacing w:after="0"/>
              <w:rPr>
                <w:sz w:val="19"/>
                <w:lang w:val="de-DE"/>
              </w:rPr>
            </w:pPr>
            <w:r>
              <w:rPr>
                <w:sz w:val="19"/>
                <w:lang w:val="de-DE"/>
              </w:rPr>
              <w:t>C. Shenkoll</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125</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710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4.</w:t>
            </w:r>
          </w:p>
        </w:tc>
        <w:tc>
          <w:tcPr>
            <w:tcW w:w="1784" w:type="dxa"/>
            <w:tcMar>
              <w:left w:w="108" w:type="dxa"/>
              <w:bottom w:w="0" w:type="dxa"/>
              <w:right w:w="108" w:type="dxa"/>
            </w:tcMar>
          </w:tcPr>
          <w:p w:rsidR="00000000" w:rsidRDefault="00000000">
            <w:pPr>
              <w:spacing w:after="0"/>
              <w:rPr>
                <w:sz w:val="19"/>
                <w:lang w:val="de-DE"/>
              </w:rPr>
            </w:pPr>
            <w:r>
              <w:rPr>
                <w:sz w:val="19"/>
                <w:lang w:val="de-DE"/>
              </w:rPr>
              <w:t>C. Zejmen</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88</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3 070</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bottom w:val="nil"/>
            </w:tcBorders>
            <w:tcMar>
              <w:left w:w="108" w:type="dxa"/>
              <w:bottom w:w="0" w:type="dxa"/>
              <w:right w:w="108" w:type="dxa"/>
            </w:tcMar>
          </w:tcPr>
          <w:p w:rsidR="00000000" w:rsidRDefault="00000000">
            <w:pPr>
              <w:spacing w:after="0"/>
              <w:ind w:left="113"/>
              <w:rPr>
                <w:sz w:val="19"/>
                <w:lang w:val="de-DE"/>
              </w:rPr>
            </w:pPr>
            <w:r>
              <w:rPr>
                <w:sz w:val="19"/>
                <w:lang w:val="de-DE"/>
              </w:rPr>
              <w:t>5.</w:t>
            </w:r>
          </w:p>
        </w:tc>
        <w:tc>
          <w:tcPr>
            <w:tcW w:w="1784" w:type="dxa"/>
            <w:tcBorders>
              <w:bottom w:val="nil"/>
            </w:tcBorders>
            <w:tcMar>
              <w:left w:w="108" w:type="dxa"/>
              <w:bottom w:w="0" w:type="dxa"/>
              <w:right w:w="108" w:type="dxa"/>
            </w:tcMar>
          </w:tcPr>
          <w:p w:rsidR="00000000" w:rsidRDefault="00000000">
            <w:pPr>
              <w:spacing w:after="0"/>
              <w:rPr>
                <w:sz w:val="19"/>
                <w:lang w:val="de-DE"/>
              </w:rPr>
            </w:pPr>
            <w:r>
              <w:rPr>
                <w:sz w:val="19"/>
                <w:lang w:val="de-DE"/>
              </w:rPr>
              <w:t>C. Kolsh</w:t>
            </w:r>
          </w:p>
        </w:tc>
        <w:tc>
          <w:tcPr>
            <w:tcW w:w="954" w:type="dxa"/>
            <w:tcBorders>
              <w:bottom w:val="nil"/>
            </w:tcBorders>
            <w:tcMar>
              <w:left w:w="108" w:type="dxa"/>
              <w:bottom w:w="0" w:type="dxa"/>
              <w:right w:w="108" w:type="dxa"/>
            </w:tcMar>
          </w:tcPr>
          <w:p w:rsidR="00000000" w:rsidRDefault="00000000">
            <w:pPr>
              <w:spacing w:after="0"/>
              <w:ind w:right="113"/>
              <w:jc w:val="right"/>
              <w:rPr>
                <w:sz w:val="19"/>
                <w:lang w:val="de-DE"/>
              </w:rPr>
            </w:pPr>
          </w:p>
        </w:tc>
        <w:tc>
          <w:tcPr>
            <w:tcW w:w="850" w:type="dxa"/>
            <w:tcBorders>
              <w:bottom w:val="nil"/>
            </w:tcBorders>
            <w:tcMar>
              <w:left w:w="108" w:type="dxa"/>
              <w:bottom w:w="0" w:type="dxa"/>
              <w:right w:w="108" w:type="dxa"/>
            </w:tcMar>
          </w:tcPr>
          <w:p w:rsidR="00000000" w:rsidRDefault="00000000">
            <w:pPr>
              <w:spacing w:after="0"/>
              <w:ind w:right="57"/>
              <w:jc w:val="right"/>
              <w:rPr>
                <w:sz w:val="19"/>
                <w:lang w:val="de-DE"/>
              </w:rPr>
            </w:pPr>
          </w:p>
        </w:tc>
        <w:tc>
          <w:tcPr>
            <w:tcW w:w="951" w:type="dxa"/>
            <w:tcBorders>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127</w:t>
            </w:r>
          </w:p>
        </w:tc>
        <w:tc>
          <w:tcPr>
            <w:tcW w:w="847" w:type="dxa"/>
            <w:tcBorders>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511</w:t>
            </w:r>
          </w:p>
        </w:tc>
        <w:tc>
          <w:tcPr>
            <w:tcW w:w="712" w:type="dxa"/>
            <w:tcBorders>
              <w:bottom w:val="nil"/>
            </w:tcBorders>
            <w:tcMar>
              <w:left w:w="108" w:type="dxa"/>
              <w:bottom w:w="0" w:type="dxa"/>
              <w:right w:w="108" w:type="dxa"/>
            </w:tcMar>
          </w:tcPr>
          <w:p w:rsidR="00000000" w:rsidRDefault="00000000">
            <w:pPr>
              <w:spacing w:after="0"/>
              <w:ind w:right="57"/>
              <w:jc w:val="right"/>
              <w:rPr>
                <w:sz w:val="19"/>
                <w:lang w:val="de-DE"/>
              </w:rPr>
            </w:pPr>
          </w:p>
        </w:tc>
        <w:tc>
          <w:tcPr>
            <w:tcW w:w="992" w:type="dxa"/>
            <w:tcBorders>
              <w:bottom w:val="nil"/>
            </w:tcBorders>
            <w:tcMar>
              <w:left w:w="108" w:type="dxa"/>
              <w:bottom w:w="0" w:type="dxa"/>
              <w:right w:w="108" w:type="dxa"/>
            </w:tcMar>
          </w:tcPr>
          <w:p w:rsidR="00000000" w:rsidRDefault="00000000">
            <w:pPr>
              <w:spacing w:after="0"/>
              <w:ind w:right="284"/>
              <w:jc w:val="right"/>
              <w:rPr>
                <w:sz w:val="19"/>
                <w:lang w:val="de-DE"/>
              </w:rPr>
            </w:pPr>
          </w:p>
        </w:tc>
        <w:tc>
          <w:tcPr>
            <w:tcW w:w="1418" w:type="dxa"/>
            <w:tcBorders>
              <w:bottom w:val="nil"/>
            </w:tcBorders>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top w:val="nil"/>
              <w:bottom w:val="nil"/>
            </w:tcBorders>
            <w:tcMar>
              <w:left w:w="108" w:type="dxa"/>
              <w:bottom w:w="0" w:type="dxa"/>
              <w:right w:w="108" w:type="dxa"/>
            </w:tcMar>
          </w:tcPr>
          <w:p w:rsidR="00000000" w:rsidRDefault="00000000">
            <w:pPr>
              <w:spacing w:after="0"/>
              <w:ind w:left="113"/>
              <w:rPr>
                <w:sz w:val="19"/>
                <w:lang w:val="de-DE"/>
              </w:rPr>
            </w:pPr>
            <w:r>
              <w:rPr>
                <w:sz w:val="19"/>
                <w:lang w:val="de-DE"/>
              </w:rPr>
              <w:t>6.</w:t>
            </w:r>
          </w:p>
        </w:tc>
        <w:tc>
          <w:tcPr>
            <w:tcW w:w="1784" w:type="dxa"/>
            <w:tcBorders>
              <w:top w:val="nil"/>
              <w:bottom w:val="nil"/>
            </w:tcBorders>
            <w:tcMar>
              <w:left w:w="108" w:type="dxa"/>
              <w:bottom w:w="0" w:type="dxa"/>
              <w:right w:w="108" w:type="dxa"/>
            </w:tcMar>
          </w:tcPr>
          <w:p w:rsidR="00000000" w:rsidRDefault="00000000">
            <w:pPr>
              <w:spacing w:after="0"/>
              <w:rPr>
                <w:sz w:val="19"/>
                <w:lang w:val="de-DE"/>
              </w:rPr>
            </w:pPr>
            <w:r>
              <w:rPr>
                <w:sz w:val="19"/>
                <w:lang w:val="de-DE"/>
              </w:rPr>
              <w:t>C. Balldre</w:t>
            </w:r>
          </w:p>
        </w:tc>
        <w:tc>
          <w:tcPr>
            <w:tcW w:w="954" w:type="dxa"/>
            <w:tcBorders>
              <w:top w:val="nil"/>
              <w:bottom w:val="nil"/>
            </w:tcBorders>
            <w:tcMar>
              <w:left w:w="108" w:type="dxa"/>
              <w:bottom w:w="0" w:type="dxa"/>
              <w:right w:w="108" w:type="dxa"/>
            </w:tcMar>
          </w:tcPr>
          <w:p w:rsidR="00000000" w:rsidRDefault="00000000">
            <w:pPr>
              <w:spacing w:after="0"/>
              <w:ind w:right="113"/>
              <w:jc w:val="right"/>
              <w:rPr>
                <w:sz w:val="19"/>
                <w:lang w:val="de-DE"/>
              </w:rPr>
            </w:pPr>
          </w:p>
        </w:tc>
        <w:tc>
          <w:tcPr>
            <w:tcW w:w="850" w:type="dxa"/>
            <w:tcBorders>
              <w:top w:val="nil"/>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185</w:t>
            </w:r>
          </w:p>
        </w:tc>
        <w:tc>
          <w:tcPr>
            <w:tcW w:w="951" w:type="dxa"/>
            <w:tcBorders>
              <w:top w:val="nil"/>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215</w:t>
            </w:r>
          </w:p>
        </w:tc>
        <w:tc>
          <w:tcPr>
            <w:tcW w:w="847" w:type="dxa"/>
            <w:tcBorders>
              <w:top w:val="nil"/>
              <w:bottom w:val="nil"/>
            </w:tcBorders>
            <w:tcMar>
              <w:left w:w="108" w:type="dxa"/>
              <w:bottom w:w="0" w:type="dxa"/>
              <w:right w:w="108" w:type="dxa"/>
            </w:tcMar>
          </w:tcPr>
          <w:p w:rsidR="00000000" w:rsidRDefault="00000000">
            <w:pPr>
              <w:spacing w:after="0"/>
              <w:ind w:right="57"/>
              <w:jc w:val="right"/>
              <w:rPr>
                <w:sz w:val="19"/>
                <w:lang w:val="de-DE"/>
              </w:rPr>
            </w:pPr>
            <w:r>
              <w:rPr>
                <w:sz w:val="19"/>
                <w:lang w:val="de-DE"/>
              </w:rPr>
              <w:t>985</w:t>
            </w:r>
          </w:p>
        </w:tc>
        <w:tc>
          <w:tcPr>
            <w:tcW w:w="712" w:type="dxa"/>
            <w:tcBorders>
              <w:top w:val="nil"/>
              <w:bottom w:val="nil"/>
            </w:tcBorders>
            <w:tcMar>
              <w:left w:w="108" w:type="dxa"/>
              <w:bottom w:w="0" w:type="dxa"/>
              <w:right w:w="108" w:type="dxa"/>
            </w:tcMar>
          </w:tcPr>
          <w:p w:rsidR="00000000" w:rsidRDefault="00000000">
            <w:pPr>
              <w:spacing w:after="0"/>
              <w:ind w:right="57"/>
              <w:jc w:val="right"/>
              <w:rPr>
                <w:sz w:val="19"/>
                <w:lang w:val="de-DE"/>
              </w:rPr>
            </w:pPr>
          </w:p>
        </w:tc>
        <w:tc>
          <w:tcPr>
            <w:tcW w:w="992" w:type="dxa"/>
            <w:tcBorders>
              <w:top w:val="nil"/>
              <w:bottom w:val="nil"/>
            </w:tcBorders>
            <w:tcMar>
              <w:left w:w="108" w:type="dxa"/>
              <w:bottom w:w="0" w:type="dxa"/>
              <w:right w:w="108" w:type="dxa"/>
            </w:tcMar>
          </w:tcPr>
          <w:p w:rsidR="00000000" w:rsidRDefault="00000000">
            <w:pPr>
              <w:spacing w:after="0"/>
              <w:ind w:right="284"/>
              <w:jc w:val="right"/>
              <w:rPr>
                <w:sz w:val="19"/>
                <w:lang w:val="de-DE"/>
              </w:rPr>
            </w:pPr>
          </w:p>
        </w:tc>
        <w:tc>
          <w:tcPr>
            <w:tcW w:w="1418" w:type="dxa"/>
            <w:tcBorders>
              <w:top w:val="nil"/>
              <w:bottom w:val="nil"/>
            </w:tcBorders>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Borders>
              <w:top w:val="nil"/>
            </w:tcBorders>
            <w:tcMar>
              <w:left w:w="108" w:type="dxa"/>
              <w:bottom w:w="0" w:type="dxa"/>
              <w:right w:w="108" w:type="dxa"/>
            </w:tcMar>
          </w:tcPr>
          <w:p w:rsidR="00000000" w:rsidRDefault="00000000">
            <w:pPr>
              <w:spacing w:after="0"/>
              <w:ind w:left="113"/>
              <w:rPr>
                <w:sz w:val="19"/>
                <w:lang w:val="de-DE"/>
              </w:rPr>
            </w:pPr>
            <w:r>
              <w:rPr>
                <w:sz w:val="19"/>
                <w:lang w:val="de-DE"/>
              </w:rPr>
              <w:t>7.</w:t>
            </w:r>
          </w:p>
        </w:tc>
        <w:tc>
          <w:tcPr>
            <w:tcW w:w="1784" w:type="dxa"/>
            <w:tcBorders>
              <w:top w:val="nil"/>
            </w:tcBorders>
            <w:tcMar>
              <w:left w:w="108" w:type="dxa"/>
              <w:bottom w:w="0" w:type="dxa"/>
              <w:right w:w="108" w:type="dxa"/>
            </w:tcMar>
          </w:tcPr>
          <w:p w:rsidR="00000000" w:rsidRDefault="00000000">
            <w:pPr>
              <w:spacing w:after="0"/>
              <w:rPr>
                <w:sz w:val="19"/>
                <w:lang w:val="de-DE"/>
              </w:rPr>
            </w:pPr>
            <w:r>
              <w:rPr>
                <w:sz w:val="19"/>
                <w:lang w:val="de-DE"/>
              </w:rPr>
              <w:t>C. Dajç</w:t>
            </w:r>
          </w:p>
        </w:tc>
        <w:tc>
          <w:tcPr>
            <w:tcW w:w="954" w:type="dxa"/>
            <w:tcBorders>
              <w:top w:val="nil"/>
            </w:tcBorders>
            <w:tcMar>
              <w:left w:w="108" w:type="dxa"/>
              <w:bottom w:w="0" w:type="dxa"/>
              <w:right w:w="108" w:type="dxa"/>
            </w:tcMar>
          </w:tcPr>
          <w:p w:rsidR="00000000" w:rsidRDefault="00000000">
            <w:pPr>
              <w:spacing w:after="0"/>
              <w:ind w:right="113"/>
              <w:jc w:val="right"/>
              <w:rPr>
                <w:sz w:val="19"/>
                <w:lang w:val="de-DE"/>
              </w:rPr>
            </w:pPr>
          </w:p>
        </w:tc>
        <w:tc>
          <w:tcPr>
            <w:tcW w:w="850" w:type="dxa"/>
            <w:tcBorders>
              <w:top w:val="nil"/>
            </w:tcBorders>
            <w:tcMar>
              <w:left w:w="108" w:type="dxa"/>
              <w:bottom w:w="0" w:type="dxa"/>
              <w:right w:w="108" w:type="dxa"/>
            </w:tcMar>
          </w:tcPr>
          <w:p w:rsidR="00000000" w:rsidRDefault="00000000">
            <w:pPr>
              <w:spacing w:after="0"/>
              <w:ind w:right="57"/>
              <w:jc w:val="right"/>
              <w:rPr>
                <w:sz w:val="19"/>
                <w:lang w:val="de-DE"/>
              </w:rPr>
            </w:pPr>
            <w:r>
              <w:rPr>
                <w:sz w:val="19"/>
                <w:lang w:val="de-DE"/>
              </w:rPr>
              <w:t>127</w:t>
            </w:r>
          </w:p>
        </w:tc>
        <w:tc>
          <w:tcPr>
            <w:tcW w:w="951" w:type="dxa"/>
            <w:tcBorders>
              <w:top w:val="nil"/>
            </w:tcBorders>
            <w:tcMar>
              <w:left w:w="108" w:type="dxa"/>
              <w:bottom w:w="0" w:type="dxa"/>
              <w:right w:w="108" w:type="dxa"/>
            </w:tcMar>
          </w:tcPr>
          <w:p w:rsidR="00000000" w:rsidRDefault="00000000">
            <w:pPr>
              <w:spacing w:after="0"/>
              <w:ind w:right="57"/>
              <w:jc w:val="right"/>
              <w:rPr>
                <w:sz w:val="19"/>
                <w:lang w:val="de-DE"/>
              </w:rPr>
            </w:pPr>
            <w:r>
              <w:rPr>
                <w:sz w:val="19"/>
                <w:lang w:val="de-DE"/>
              </w:rPr>
              <w:t>212</w:t>
            </w:r>
          </w:p>
        </w:tc>
        <w:tc>
          <w:tcPr>
            <w:tcW w:w="847" w:type="dxa"/>
            <w:tcBorders>
              <w:top w:val="nil"/>
            </w:tcBorders>
            <w:tcMar>
              <w:left w:w="108" w:type="dxa"/>
              <w:bottom w:w="0" w:type="dxa"/>
              <w:right w:w="108" w:type="dxa"/>
            </w:tcMar>
          </w:tcPr>
          <w:p w:rsidR="00000000" w:rsidRDefault="00000000">
            <w:pPr>
              <w:spacing w:after="0"/>
              <w:ind w:right="57"/>
              <w:jc w:val="right"/>
              <w:rPr>
                <w:sz w:val="19"/>
                <w:lang w:val="de-DE"/>
              </w:rPr>
            </w:pPr>
            <w:r>
              <w:rPr>
                <w:sz w:val="19"/>
                <w:lang w:val="de-DE"/>
              </w:rPr>
              <w:t>1 513</w:t>
            </w:r>
          </w:p>
        </w:tc>
        <w:tc>
          <w:tcPr>
            <w:tcW w:w="712" w:type="dxa"/>
            <w:tcBorders>
              <w:top w:val="nil"/>
            </w:tcBorders>
            <w:tcMar>
              <w:left w:w="108" w:type="dxa"/>
              <w:bottom w:w="0" w:type="dxa"/>
              <w:right w:w="108" w:type="dxa"/>
            </w:tcMar>
          </w:tcPr>
          <w:p w:rsidR="00000000" w:rsidRDefault="00000000">
            <w:pPr>
              <w:spacing w:after="0"/>
              <w:ind w:right="57"/>
              <w:jc w:val="right"/>
              <w:rPr>
                <w:sz w:val="19"/>
                <w:lang w:val="de-DE"/>
              </w:rPr>
            </w:pPr>
          </w:p>
        </w:tc>
        <w:tc>
          <w:tcPr>
            <w:tcW w:w="992" w:type="dxa"/>
            <w:tcBorders>
              <w:top w:val="nil"/>
            </w:tcBorders>
            <w:tcMar>
              <w:left w:w="108" w:type="dxa"/>
              <w:bottom w:w="0" w:type="dxa"/>
              <w:right w:w="108" w:type="dxa"/>
            </w:tcMar>
          </w:tcPr>
          <w:p w:rsidR="00000000" w:rsidRDefault="00000000">
            <w:pPr>
              <w:spacing w:after="0"/>
              <w:ind w:right="284"/>
              <w:jc w:val="right"/>
              <w:rPr>
                <w:sz w:val="19"/>
                <w:lang w:val="de-DE"/>
              </w:rPr>
            </w:pPr>
          </w:p>
        </w:tc>
        <w:tc>
          <w:tcPr>
            <w:tcW w:w="1418" w:type="dxa"/>
            <w:tcBorders>
              <w:top w:val="nil"/>
            </w:tcBorders>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8.</w:t>
            </w:r>
          </w:p>
        </w:tc>
        <w:tc>
          <w:tcPr>
            <w:tcW w:w="1784" w:type="dxa"/>
            <w:tcMar>
              <w:left w:w="108" w:type="dxa"/>
              <w:bottom w:w="0" w:type="dxa"/>
              <w:right w:w="108" w:type="dxa"/>
            </w:tcMar>
          </w:tcPr>
          <w:p w:rsidR="00000000" w:rsidRDefault="00000000">
            <w:pPr>
              <w:spacing w:after="0"/>
              <w:rPr>
                <w:sz w:val="19"/>
                <w:lang w:val="de-DE"/>
              </w:rPr>
            </w:pPr>
            <w:r>
              <w:rPr>
                <w:sz w:val="19"/>
                <w:lang w:val="de-DE"/>
              </w:rPr>
              <w:t>C. Blinisht</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132</w:t>
            </w: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124</w:t>
            </w: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835</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9.</w:t>
            </w:r>
          </w:p>
        </w:tc>
        <w:tc>
          <w:tcPr>
            <w:tcW w:w="1784" w:type="dxa"/>
            <w:tcMar>
              <w:left w:w="108" w:type="dxa"/>
              <w:bottom w:w="0" w:type="dxa"/>
              <w:right w:w="108" w:type="dxa"/>
            </w:tcMar>
          </w:tcPr>
          <w:p w:rsidR="00000000" w:rsidRDefault="00000000">
            <w:pPr>
              <w:spacing w:after="0"/>
              <w:rPr>
                <w:sz w:val="19"/>
                <w:lang w:val="nl-NL"/>
              </w:rPr>
            </w:pPr>
            <w:r>
              <w:rPr>
                <w:sz w:val="19"/>
                <w:lang w:val="nl-NL"/>
              </w:rPr>
              <w:t>C. Kallmet</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120</w:t>
            </w: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97</w:t>
            </w: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432</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10.</w:t>
            </w:r>
          </w:p>
        </w:tc>
        <w:tc>
          <w:tcPr>
            <w:tcW w:w="1784" w:type="dxa"/>
            <w:tcMar>
              <w:left w:w="108" w:type="dxa"/>
              <w:bottom w:w="0" w:type="dxa"/>
              <w:right w:w="108" w:type="dxa"/>
            </w:tcMar>
          </w:tcPr>
          <w:p w:rsidR="00000000" w:rsidRDefault="00000000">
            <w:pPr>
              <w:spacing w:after="0"/>
              <w:rPr>
                <w:sz w:val="19"/>
                <w:lang w:val="nl-NL"/>
              </w:rPr>
            </w:pPr>
            <w:r>
              <w:rPr>
                <w:sz w:val="19"/>
                <w:lang w:val="nl-NL"/>
              </w:rPr>
              <w:t>C. Ungrej</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30</w:t>
            </w: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227</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11.</w:t>
            </w:r>
          </w:p>
        </w:tc>
        <w:tc>
          <w:tcPr>
            <w:tcW w:w="1784" w:type="dxa"/>
            <w:tcMar>
              <w:left w:w="108" w:type="dxa"/>
              <w:bottom w:w="0" w:type="dxa"/>
              <w:right w:w="108" w:type="dxa"/>
            </w:tcMar>
          </w:tcPr>
          <w:p w:rsidR="00000000" w:rsidRDefault="00000000">
            <w:pPr>
              <w:spacing w:after="0"/>
              <w:rPr>
                <w:sz w:val="19"/>
                <w:lang w:val="nl-NL"/>
              </w:rPr>
            </w:pPr>
            <w:r>
              <w:rPr>
                <w:sz w:val="19"/>
                <w:lang w:val="nl-NL"/>
              </w:rPr>
              <w:t>M. Laç</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324</w:t>
            </w: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532</w:t>
            </w: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1 927</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12.</w:t>
            </w:r>
          </w:p>
        </w:tc>
        <w:tc>
          <w:tcPr>
            <w:tcW w:w="1784" w:type="dxa"/>
            <w:tcMar>
              <w:left w:w="108" w:type="dxa"/>
              <w:bottom w:w="0" w:type="dxa"/>
              <w:right w:w="108" w:type="dxa"/>
            </w:tcMar>
          </w:tcPr>
          <w:p w:rsidR="00000000" w:rsidRDefault="00000000">
            <w:pPr>
              <w:spacing w:after="0"/>
              <w:rPr>
                <w:sz w:val="19"/>
                <w:lang w:val="nl-NL"/>
              </w:rPr>
            </w:pPr>
            <w:r>
              <w:rPr>
                <w:sz w:val="19"/>
                <w:lang w:val="nl-NL"/>
              </w:rPr>
              <w:t>M. Mamuras</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nl-NL"/>
              </w:rPr>
            </w:pPr>
            <w:r>
              <w:rPr>
                <w:sz w:val="19"/>
                <w:lang w:val="nl-NL"/>
              </w:rPr>
              <w:t>202</w:t>
            </w:r>
          </w:p>
        </w:tc>
        <w:tc>
          <w:tcPr>
            <w:tcW w:w="951" w:type="dxa"/>
            <w:tcMar>
              <w:left w:w="108" w:type="dxa"/>
              <w:bottom w:w="0" w:type="dxa"/>
              <w:right w:w="108" w:type="dxa"/>
            </w:tcMar>
          </w:tcPr>
          <w:p w:rsidR="00000000" w:rsidRDefault="00000000">
            <w:pPr>
              <w:spacing w:after="0"/>
              <w:ind w:right="57"/>
              <w:jc w:val="right"/>
              <w:rPr>
                <w:sz w:val="19"/>
                <w:lang w:val="nl-NL"/>
              </w:rPr>
            </w:pPr>
            <w:r>
              <w:rPr>
                <w:sz w:val="19"/>
                <w:lang w:val="nl-NL"/>
              </w:rPr>
              <w:t>372</w:t>
            </w:r>
          </w:p>
        </w:tc>
        <w:tc>
          <w:tcPr>
            <w:tcW w:w="847" w:type="dxa"/>
            <w:tcMar>
              <w:left w:w="108" w:type="dxa"/>
              <w:bottom w:w="0" w:type="dxa"/>
              <w:right w:w="108" w:type="dxa"/>
            </w:tcMar>
          </w:tcPr>
          <w:p w:rsidR="00000000" w:rsidRDefault="00000000">
            <w:pPr>
              <w:spacing w:after="0"/>
              <w:ind w:right="57"/>
              <w:jc w:val="right"/>
              <w:rPr>
                <w:sz w:val="19"/>
                <w:lang w:val="nl-NL"/>
              </w:rPr>
            </w:pPr>
            <w:r>
              <w:rPr>
                <w:sz w:val="19"/>
                <w:lang w:val="nl-NL"/>
              </w:rPr>
              <w:t>1 216</w:t>
            </w:r>
          </w:p>
        </w:tc>
        <w:tc>
          <w:tcPr>
            <w:tcW w:w="712" w:type="dxa"/>
            <w:tcMar>
              <w:left w:w="108" w:type="dxa"/>
              <w:bottom w:w="0" w:type="dxa"/>
              <w:right w:w="108" w:type="dxa"/>
            </w:tcMar>
          </w:tcPr>
          <w:p w:rsidR="00000000" w:rsidRDefault="00000000">
            <w:pPr>
              <w:spacing w:after="0"/>
              <w:ind w:right="57"/>
              <w:jc w:val="right"/>
              <w:rPr>
                <w:sz w:val="19"/>
                <w:lang w:val="nl-NL"/>
              </w:rPr>
            </w:pPr>
          </w:p>
        </w:tc>
        <w:tc>
          <w:tcPr>
            <w:tcW w:w="992" w:type="dxa"/>
            <w:tcMar>
              <w:left w:w="108" w:type="dxa"/>
              <w:bottom w:w="0" w:type="dxa"/>
              <w:right w:w="108" w:type="dxa"/>
            </w:tcMar>
          </w:tcPr>
          <w:p w:rsidR="00000000" w:rsidRDefault="00000000">
            <w:pPr>
              <w:spacing w:after="0"/>
              <w:ind w:right="284"/>
              <w:jc w:val="right"/>
              <w:rPr>
                <w:sz w:val="19"/>
                <w:lang w:val="nl-NL"/>
              </w:rPr>
            </w:pPr>
          </w:p>
        </w:tc>
        <w:tc>
          <w:tcPr>
            <w:tcW w:w="1418" w:type="dxa"/>
            <w:tcMar>
              <w:left w:w="108" w:type="dxa"/>
              <w:bottom w:w="0" w:type="dxa"/>
              <w:right w:w="108" w:type="dxa"/>
            </w:tcMar>
          </w:tcPr>
          <w:p w:rsidR="00000000" w:rsidRDefault="00000000">
            <w:pPr>
              <w:spacing w:after="0"/>
              <w:ind w:right="454"/>
              <w:jc w:val="right"/>
              <w:rPr>
                <w:sz w:val="19"/>
                <w:lang w:val="nl-NL"/>
              </w:rPr>
            </w:pPr>
          </w:p>
        </w:tc>
      </w:tr>
      <w:tr w:rsidR="00000000">
        <w:tc>
          <w:tcPr>
            <w:tcW w:w="848" w:type="dxa"/>
            <w:tcMar>
              <w:left w:w="108" w:type="dxa"/>
              <w:bottom w:w="0" w:type="dxa"/>
              <w:right w:w="108" w:type="dxa"/>
            </w:tcMar>
          </w:tcPr>
          <w:p w:rsidR="00000000" w:rsidRDefault="00000000">
            <w:pPr>
              <w:spacing w:after="0"/>
              <w:ind w:left="113"/>
              <w:rPr>
                <w:sz w:val="19"/>
                <w:lang w:val="nl-NL"/>
              </w:rPr>
            </w:pPr>
            <w:r>
              <w:rPr>
                <w:sz w:val="19"/>
                <w:lang w:val="nl-NL"/>
              </w:rPr>
              <w:t>13.</w:t>
            </w:r>
          </w:p>
        </w:tc>
        <w:tc>
          <w:tcPr>
            <w:tcW w:w="1784" w:type="dxa"/>
            <w:tcMar>
              <w:left w:w="108" w:type="dxa"/>
              <w:bottom w:w="0" w:type="dxa"/>
              <w:right w:w="108" w:type="dxa"/>
            </w:tcMar>
          </w:tcPr>
          <w:p w:rsidR="00000000" w:rsidRDefault="00000000">
            <w:pPr>
              <w:spacing w:after="0"/>
              <w:rPr>
                <w:sz w:val="19"/>
                <w:lang w:val="nl-NL"/>
              </w:rPr>
            </w:pPr>
            <w:r>
              <w:rPr>
                <w:sz w:val="19"/>
                <w:lang w:val="nl-NL"/>
              </w:rPr>
              <w:t>C. Milot</w:t>
            </w:r>
          </w:p>
        </w:tc>
        <w:tc>
          <w:tcPr>
            <w:tcW w:w="954" w:type="dxa"/>
            <w:tcMar>
              <w:left w:w="108" w:type="dxa"/>
              <w:bottom w:w="0" w:type="dxa"/>
              <w:right w:w="108" w:type="dxa"/>
            </w:tcMar>
          </w:tcPr>
          <w:p w:rsidR="00000000" w:rsidRDefault="00000000">
            <w:pPr>
              <w:spacing w:after="0"/>
              <w:ind w:right="113"/>
              <w:jc w:val="right"/>
              <w:rPr>
                <w:sz w:val="19"/>
                <w:lang w:val="nl-NL"/>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143</w:t>
            </w: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93</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363</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14.</w:t>
            </w:r>
          </w:p>
        </w:tc>
        <w:tc>
          <w:tcPr>
            <w:tcW w:w="1784" w:type="dxa"/>
            <w:tcMar>
              <w:left w:w="108" w:type="dxa"/>
              <w:bottom w:w="0" w:type="dxa"/>
              <w:right w:w="108" w:type="dxa"/>
            </w:tcMar>
          </w:tcPr>
          <w:p w:rsidR="00000000" w:rsidRDefault="00000000">
            <w:pPr>
              <w:spacing w:after="0"/>
              <w:rPr>
                <w:sz w:val="19"/>
                <w:lang w:val="de-DE"/>
              </w:rPr>
            </w:pPr>
            <w:r>
              <w:rPr>
                <w:sz w:val="19"/>
                <w:lang w:val="de-DE"/>
              </w:rPr>
              <w:t>C. F-Kuqe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82</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315</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15.</w:t>
            </w:r>
          </w:p>
        </w:tc>
        <w:tc>
          <w:tcPr>
            <w:tcW w:w="1784" w:type="dxa"/>
            <w:tcMar>
              <w:left w:w="108" w:type="dxa"/>
              <w:bottom w:w="0" w:type="dxa"/>
              <w:right w:w="108" w:type="dxa"/>
            </w:tcMar>
          </w:tcPr>
          <w:p w:rsidR="00000000" w:rsidRDefault="00000000">
            <w:pPr>
              <w:spacing w:after="0"/>
              <w:rPr>
                <w:sz w:val="19"/>
                <w:lang w:val="de-DE"/>
              </w:rPr>
            </w:pPr>
            <w:r>
              <w:rPr>
                <w:sz w:val="19"/>
                <w:lang w:val="de-DE"/>
              </w:rPr>
              <w:t>M. Rreshen</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140</w:t>
            </w: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63</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347</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16.</w:t>
            </w:r>
          </w:p>
        </w:tc>
        <w:tc>
          <w:tcPr>
            <w:tcW w:w="1784" w:type="dxa"/>
            <w:tcMar>
              <w:left w:w="108" w:type="dxa"/>
              <w:bottom w:w="0" w:type="dxa"/>
              <w:right w:w="108" w:type="dxa"/>
            </w:tcMar>
          </w:tcPr>
          <w:p w:rsidR="00000000" w:rsidRDefault="00000000">
            <w:pPr>
              <w:spacing w:after="0"/>
              <w:rPr>
                <w:sz w:val="19"/>
                <w:lang w:val="de-DE"/>
              </w:rPr>
            </w:pPr>
            <w:r>
              <w:rPr>
                <w:sz w:val="19"/>
                <w:lang w:val="de-DE"/>
              </w:rPr>
              <w:t>M. Rubik</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r>
              <w:rPr>
                <w:sz w:val="19"/>
                <w:lang w:val="de-DE"/>
              </w:rPr>
              <w:t>264</w:t>
            </w: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40</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189</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17.</w:t>
            </w:r>
          </w:p>
        </w:tc>
        <w:tc>
          <w:tcPr>
            <w:tcW w:w="1784" w:type="dxa"/>
            <w:tcMar>
              <w:left w:w="108" w:type="dxa"/>
              <w:bottom w:w="0" w:type="dxa"/>
              <w:right w:w="108" w:type="dxa"/>
            </w:tcMar>
          </w:tcPr>
          <w:p w:rsidR="00000000" w:rsidRDefault="00000000">
            <w:pPr>
              <w:spacing w:after="0"/>
              <w:rPr>
                <w:sz w:val="19"/>
                <w:lang w:val="de-DE"/>
              </w:rPr>
            </w:pPr>
            <w:r>
              <w:rPr>
                <w:sz w:val="19"/>
                <w:lang w:val="de-DE"/>
              </w:rPr>
              <w:t>C. Kaçinar</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lang w:val="de-DE"/>
              </w:rPr>
            </w:pPr>
            <w:r>
              <w:rPr>
                <w:sz w:val="19"/>
                <w:lang w:val="de-DE"/>
              </w:rPr>
              <w:t>40</w:t>
            </w:r>
          </w:p>
        </w:tc>
        <w:tc>
          <w:tcPr>
            <w:tcW w:w="847" w:type="dxa"/>
            <w:tcMar>
              <w:left w:w="108" w:type="dxa"/>
              <w:bottom w:w="0" w:type="dxa"/>
              <w:right w:w="108" w:type="dxa"/>
            </w:tcMar>
          </w:tcPr>
          <w:p w:rsidR="00000000" w:rsidRDefault="00000000">
            <w:pPr>
              <w:spacing w:after="0"/>
              <w:ind w:right="57"/>
              <w:jc w:val="right"/>
              <w:rPr>
                <w:sz w:val="19"/>
                <w:lang w:val="de-DE"/>
              </w:rPr>
            </w:pPr>
            <w:r>
              <w:rPr>
                <w:sz w:val="19"/>
                <w:lang w:val="de-DE"/>
              </w:rPr>
              <w:t>234</w:t>
            </w:r>
          </w:p>
        </w:tc>
        <w:tc>
          <w:tcPr>
            <w:tcW w:w="712" w:type="dxa"/>
            <w:tcMar>
              <w:left w:w="108" w:type="dxa"/>
              <w:bottom w:w="0" w:type="dxa"/>
              <w:right w:w="108" w:type="dxa"/>
            </w:tcMar>
          </w:tcPr>
          <w:p w:rsidR="00000000" w:rsidRDefault="00000000">
            <w:pPr>
              <w:spacing w:after="0"/>
              <w:ind w:right="57"/>
              <w:jc w:val="right"/>
              <w:rPr>
                <w:sz w:val="19"/>
                <w:lang w:val="de-DE"/>
              </w:rPr>
            </w:pPr>
          </w:p>
        </w:tc>
        <w:tc>
          <w:tcPr>
            <w:tcW w:w="992" w:type="dxa"/>
            <w:tcMar>
              <w:left w:w="108" w:type="dxa"/>
              <w:bottom w:w="0" w:type="dxa"/>
              <w:right w:w="108" w:type="dxa"/>
            </w:tcMar>
          </w:tcPr>
          <w:p w:rsidR="00000000" w:rsidRDefault="00000000">
            <w:pPr>
              <w:spacing w:after="0"/>
              <w:ind w:right="284"/>
              <w:jc w:val="right"/>
              <w:rPr>
                <w:sz w:val="19"/>
                <w:lang w:val="de-DE"/>
              </w:rPr>
            </w:pPr>
          </w:p>
        </w:tc>
        <w:tc>
          <w:tcPr>
            <w:tcW w:w="1418" w:type="dxa"/>
            <w:tcMar>
              <w:left w:w="108" w:type="dxa"/>
              <w:bottom w:w="0" w:type="dxa"/>
              <w:right w:w="108" w:type="dxa"/>
            </w:tcMar>
          </w:tcPr>
          <w:p w:rsidR="00000000" w:rsidRDefault="00000000">
            <w:pPr>
              <w:spacing w:after="0"/>
              <w:ind w:right="454"/>
              <w:jc w:val="right"/>
              <w:rPr>
                <w:sz w:val="19"/>
                <w:lang w:val="de-DE"/>
              </w:rPr>
            </w:pPr>
          </w:p>
        </w:tc>
      </w:tr>
      <w:tr w:rsidR="00000000">
        <w:tc>
          <w:tcPr>
            <w:tcW w:w="848" w:type="dxa"/>
            <w:tcMar>
              <w:left w:w="108" w:type="dxa"/>
              <w:bottom w:w="0" w:type="dxa"/>
              <w:right w:w="108" w:type="dxa"/>
            </w:tcMar>
          </w:tcPr>
          <w:p w:rsidR="00000000" w:rsidRDefault="00000000">
            <w:pPr>
              <w:spacing w:after="0"/>
              <w:ind w:left="113"/>
              <w:rPr>
                <w:sz w:val="19"/>
                <w:lang w:val="de-DE"/>
              </w:rPr>
            </w:pPr>
            <w:r>
              <w:rPr>
                <w:sz w:val="19"/>
                <w:lang w:val="de-DE"/>
              </w:rPr>
              <w:t>18.</w:t>
            </w:r>
          </w:p>
        </w:tc>
        <w:tc>
          <w:tcPr>
            <w:tcW w:w="1784" w:type="dxa"/>
            <w:tcMar>
              <w:left w:w="108" w:type="dxa"/>
              <w:bottom w:w="0" w:type="dxa"/>
              <w:right w:w="108" w:type="dxa"/>
            </w:tcMar>
          </w:tcPr>
          <w:p w:rsidR="00000000" w:rsidRDefault="00000000">
            <w:pPr>
              <w:spacing w:after="0"/>
              <w:rPr>
                <w:sz w:val="19"/>
                <w:lang w:val="de-DE"/>
              </w:rPr>
            </w:pPr>
            <w:r>
              <w:rPr>
                <w:sz w:val="19"/>
                <w:lang w:val="de-DE"/>
              </w:rPr>
              <w:t>C. Kthelle</w:t>
            </w:r>
          </w:p>
        </w:tc>
        <w:tc>
          <w:tcPr>
            <w:tcW w:w="954" w:type="dxa"/>
            <w:tcMar>
              <w:left w:w="108" w:type="dxa"/>
              <w:bottom w:w="0" w:type="dxa"/>
              <w:right w:w="108" w:type="dxa"/>
            </w:tcMar>
          </w:tcPr>
          <w:p w:rsidR="00000000" w:rsidRDefault="00000000">
            <w:pPr>
              <w:spacing w:after="0"/>
              <w:ind w:right="113"/>
              <w:jc w:val="right"/>
              <w:rPr>
                <w:sz w:val="19"/>
                <w:lang w:val="de-DE"/>
              </w:rPr>
            </w:pPr>
          </w:p>
        </w:tc>
        <w:tc>
          <w:tcPr>
            <w:tcW w:w="850" w:type="dxa"/>
            <w:tcMar>
              <w:left w:w="108" w:type="dxa"/>
              <w:bottom w:w="0" w:type="dxa"/>
              <w:right w:w="108" w:type="dxa"/>
            </w:tcMar>
          </w:tcPr>
          <w:p w:rsidR="00000000" w:rsidRDefault="00000000">
            <w:pPr>
              <w:spacing w:after="0"/>
              <w:ind w:right="57"/>
              <w:jc w:val="right"/>
              <w:rPr>
                <w:sz w:val="19"/>
                <w:lang w:val="de-DE"/>
              </w:rPr>
            </w:pPr>
          </w:p>
        </w:tc>
        <w:tc>
          <w:tcPr>
            <w:tcW w:w="951" w:type="dxa"/>
            <w:tcMar>
              <w:left w:w="108" w:type="dxa"/>
              <w:bottom w:w="0" w:type="dxa"/>
              <w:right w:w="108" w:type="dxa"/>
            </w:tcMar>
          </w:tcPr>
          <w:p w:rsidR="00000000" w:rsidRDefault="00000000">
            <w:pPr>
              <w:spacing w:after="0"/>
              <w:ind w:right="57"/>
              <w:jc w:val="right"/>
              <w:rPr>
                <w:sz w:val="19"/>
              </w:rPr>
            </w:pPr>
            <w:r>
              <w:rPr>
                <w:sz w:val="19"/>
              </w:rPr>
              <w:t>32</w:t>
            </w:r>
          </w:p>
        </w:tc>
        <w:tc>
          <w:tcPr>
            <w:tcW w:w="847" w:type="dxa"/>
            <w:tcMar>
              <w:left w:w="108" w:type="dxa"/>
              <w:bottom w:w="0" w:type="dxa"/>
              <w:right w:w="108" w:type="dxa"/>
            </w:tcMar>
          </w:tcPr>
          <w:p w:rsidR="00000000" w:rsidRDefault="00000000">
            <w:pPr>
              <w:spacing w:after="0"/>
              <w:ind w:right="57"/>
              <w:jc w:val="right"/>
              <w:rPr>
                <w:sz w:val="19"/>
              </w:rPr>
            </w:pPr>
            <w:r>
              <w:rPr>
                <w:sz w:val="19"/>
              </w:rPr>
              <w:t>215</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19.</w:t>
            </w:r>
          </w:p>
        </w:tc>
        <w:tc>
          <w:tcPr>
            <w:tcW w:w="1784" w:type="dxa"/>
            <w:tcMar>
              <w:left w:w="108" w:type="dxa"/>
              <w:bottom w:w="0" w:type="dxa"/>
              <w:right w:w="108" w:type="dxa"/>
            </w:tcMar>
          </w:tcPr>
          <w:p w:rsidR="00000000" w:rsidRDefault="00000000">
            <w:pPr>
              <w:spacing w:after="0"/>
              <w:rPr>
                <w:sz w:val="19"/>
              </w:rPr>
            </w:pPr>
            <w:r>
              <w:rPr>
                <w:sz w:val="19"/>
              </w:rPr>
              <w:t xml:space="preserve">C. </w:t>
            </w:r>
            <w:proofErr w:type="spellStart"/>
            <w:r>
              <w:rPr>
                <w:sz w:val="19"/>
              </w:rPr>
              <w:t>Selite</w:t>
            </w:r>
            <w:proofErr w:type="spellEnd"/>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31</w:t>
            </w:r>
          </w:p>
        </w:tc>
        <w:tc>
          <w:tcPr>
            <w:tcW w:w="847" w:type="dxa"/>
            <w:tcMar>
              <w:left w:w="108" w:type="dxa"/>
              <w:bottom w:w="0" w:type="dxa"/>
              <w:right w:w="108" w:type="dxa"/>
            </w:tcMar>
          </w:tcPr>
          <w:p w:rsidR="00000000" w:rsidRDefault="00000000">
            <w:pPr>
              <w:spacing w:after="0"/>
              <w:ind w:right="57"/>
              <w:jc w:val="right"/>
              <w:rPr>
                <w:sz w:val="19"/>
              </w:rPr>
            </w:pPr>
            <w:r>
              <w:rPr>
                <w:sz w:val="19"/>
              </w:rPr>
              <w:t>212</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Mar>
              <w:left w:w="108" w:type="dxa"/>
              <w:bottom w:w="0" w:type="dxa"/>
              <w:right w:w="108" w:type="dxa"/>
            </w:tcMar>
          </w:tcPr>
          <w:p w:rsidR="00000000" w:rsidRDefault="00000000">
            <w:pPr>
              <w:spacing w:after="0"/>
              <w:ind w:left="113"/>
              <w:rPr>
                <w:sz w:val="19"/>
              </w:rPr>
            </w:pPr>
            <w:r>
              <w:rPr>
                <w:sz w:val="19"/>
              </w:rPr>
              <w:t>20.</w:t>
            </w:r>
          </w:p>
        </w:tc>
        <w:tc>
          <w:tcPr>
            <w:tcW w:w="1784" w:type="dxa"/>
            <w:tcMar>
              <w:left w:w="108" w:type="dxa"/>
              <w:bottom w:w="0" w:type="dxa"/>
              <w:right w:w="108" w:type="dxa"/>
            </w:tcMar>
          </w:tcPr>
          <w:p w:rsidR="00000000" w:rsidRDefault="00000000">
            <w:pPr>
              <w:spacing w:after="0"/>
              <w:rPr>
                <w:sz w:val="19"/>
              </w:rPr>
            </w:pPr>
            <w:r>
              <w:rPr>
                <w:sz w:val="19"/>
              </w:rPr>
              <w:t>C. Fan</w:t>
            </w:r>
          </w:p>
        </w:tc>
        <w:tc>
          <w:tcPr>
            <w:tcW w:w="954" w:type="dxa"/>
            <w:tcMar>
              <w:left w:w="108" w:type="dxa"/>
              <w:bottom w:w="0" w:type="dxa"/>
              <w:right w:w="108" w:type="dxa"/>
            </w:tcMar>
          </w:tcPr>
          <w:p w:rsidR="00000000" w:rsidRDefault="00000000">
            <w:pPr>
              <w:spacing w:after="0"/>
              <w:ind w:right="113"/>
              <w:jc w:val="right"/>
              <w:rPr>
                <w:sz w:val="19"/>
              </w:rPr>
            </w:pPr>
          </w:p>
        </w:tc>
        <w:tc>
          <w:tcPr>
            <w:tcW w:w="850" w:type="dxa"/>
            <w:tcMar>
              <w:left w:w="108" w:type="dxa"/>
              <w:bottom w:w="0" w:type="dxa"/>
              <w:right w:w="108" w:type="dxa"/>
            </w:tcMar>
          </w:tcPr>
          <w:p w:rsidR="00000000" w:rsidRDefault="00000000">
            <w:pPr>
              <w:spacing w:after="0"/>
              <w:ind w:right="57"/>
              <w:jc w:val="right"/>
              <w:rPr>
                <w:sz w:val="19"/>
              </w:rPr>
            </w:pPr>
          </w:p>
        </w:tc>
        <w:tc>
          <w:tcPr>
            <w:tcW w:w="951" w:type="dxa"/>
            <w:tcMar>
              <w:left w:w="108" w:type="dxa"/>
              <w:bottom w:w="0" w:type="dxa"/>
              <w:right w:w="108" w:type="dxa"/>
            </w:tcMar>
          </w:tcPr>
          <w:p w:rsidR="00000000" w:rsidRDefault="00000000">
            <w:pPr>
              <w:spacing w:after="0"/>
              <w:ind w:right="57"/>
              <w:jc w:val="right"/>
              <w:rPr>
                <w:sz w:val="19"/>
              </w:rPr>
            </w:pPr>
            <w:r>
              <w:rPr>
                <w:sz w:val="19"/>
              </w:rPr>
              <w:t>60</w:t>
            </w:r>
          </w:p>
        </w:tc>
        <w:tc>
          <w:tcPr>
            <w:tcW w:w="847" w:type="dxa"/>
            <w:tcMar>
              <w:left w:w="108" w:type="dxa"/>
              <w:bottom w:w="0" w:type="dxa"/>
              <w:right w:w="108" w:type="dxa"/>
            </w:tcMar>
          </w:tcPr>
          <w:p w:rsidR="00000000" w:rsidRDefault="00000000">
            <w:pPr>
              <w:spacing w:after="0"/>
              <w:ind w:right="57"/>
              <w:jc w:val="right"/>
              <w:rPr>
                <w:sz w:val="19"/>
              </w:rPr>
            </w:pPr>
            <w:r>
              <w:rPr>
                <w:sz w:val="19"/>
              </w:rPr>
              <w:t>402</w:t>
            </w:r>
          </w:p>
        </w:tc>
        <w:tc>
          <w:tcPr>
            <w:tcW w:w="712" w:type="dxa"/>
            <w:tcMar>
              <w:left w:w="108" w:type="dxa"/>
              <w:bottom w:w="0" w:type="dxa"/>
              <w:right w:w="108" w:type="dxa"/>
            </w:tcMar>
          </w:tcPr>
          <w:p w:rsidR="00000000" w:rsidRDefault="00000000">
            <w:pPr>
              <w:spacing w:after="0"/>
              <w:ind w:right="57"/>
              <w:jc w:val="right"/>
              <w:rPr>
                <w:sz w:val="19"/>
              </w:rPr>
            </w:pPr>
          </w:p>
        </w:tc>
        <w:tc>
          <w:tcPr>
            <w:tcW w:w="992" w:type="dxa"/>
            <w:tcMar>
              <w:left w:w="108" w:type="dxa"/>
              <w:bottom w:w="0" w:type="dxa"/>
              <w:right w:w="108" w:type="dxa"/>
            </w:tcMar>
          </w:tcPr>
          <w:p w:rsidR="00000000" w:rsidRDefault="00000000">
            <w:pPr>
              <w:spacing w:after="0"/>
              <w:ind w:right="284"/>
              <w:jc w:val="right"/>
              <w:rPr>
                <w:sz w:val="19"/>
              </w:rPr>
            </w:pPr>
          </w:p>
        </w:tc>
        <w:tc>
          <w:tcPr>
            <w:tcW w:w="1418" w:type="dxa"/>
            <w:tcMar>
              <w:left w:w="108" w:type="dxa"/>
              <w:bottom w:w="0" w:type="dxa"/>
              <w:right w:w="108" w:type="dxa"/>
            </w:tcMar>
          </w:tcPr>
          <w:p w:rsidR="00000000" w:rsidRDefault="00000000">
            <w:pPr>
              <w:spacing w:after="0"/>
              <w:ind w:right="454"/>
              <w:jc w:val="right"/>
              <w:rPr>
                <w:sz w:val="19"/>
              </w:rPr>
            </w:pPr>
          </w:p>
        </w:tc>
      </w:tr>
      <w:tr w:rsidR="00000000">
        <w:tc>
          <w:tcPr>
            <w:tcW w:w="848" w:type="dxa"/>
            <w:tcBorders>
              <w:bottom w:val="single" w:sz="4" w:space="0" w:color="auto"/>
            </w:tcBorders>
            <w:tcMar>
              <w:left w:w="108" w:type="dxa"/>
              <w:bottom w:w="0" w:type="dxa"/>
              <w:right w:w="108" w:type="dxa"/>
            </w:tcMar>
          </w:tcPr>
          <w:p w:rsidR="00000000" w:rsidRDefault="00000000">
            <w:pPr>
              <w:spacing w:after="0"/>
              <w:ind w:left="113"/>
              <w:rPr>
                <w:sz w:val="19"/>
              </w:rPr>
            </w:pPr>
            <w:r>
              <w:rPr>
                <w:sz w:val="19"/>
              </w:rPr>
              <w:t>21.</w:t>
            </w:r>
          </w:p>
        </w:tc>
        <w:tc>
          <w:tcPr>
            <w:tcW w:w="1784" w:type="dxa"/>
            <w:tcBorders>
              <w:bottom w:val="single" w:sz="4" w:space="0" w:color="auto"/>
            </w:tcBorders>
            <w:tcMar>
              <w:left w:w="108" w:type="dxa"/>
              <w:bottom w:w="0" w:type="dxa"/>
              <w:right w:w="108" w:type="dxa"/>
            </w:tcMar>
          </w:tcPr>
          <w:p w:rsidR="00000000" w:rsidRDefault="00000000">
            <w:pPr>
              <w:spacing w:after="0"/>
              <w:rPr>
                <w:sz w:val="19"/>
              </w:rPr>
            </w:pPr>
            <w:r>
              <w:rPr>
                <w:sz w:val="19"/>
              </w:rPr>
              <w:t xml:space="preserve">C. </w:t>
            </w:r>
            <w:proofErr w:type="spellStart"/>
            <w:r>
              <w:rPr>
                <w:sz w:val="19"/>
              </w:rPr>
              <w:t>Orosh</w:t>
            </w:r>
            <w:proofErr w:type="spellEnd"/>
          </w:p>
        </w:tc>
        <w:tc>
          <w:tcPr>
            <w:tcW w:w="954" w:type="dxa"/>
            <w:tcBorders>
              <w:bottom w:val="single" w:sz="4" w:space="0" w:color="auto"/>
            </w:tcBorders>
            <w:tcMar>
              <w:left w:w="108" w:type="dxa"/>
              <w:bottom w:w="0" w:type="dxa"/>
              <w:right w:w="108" w:type="dxa"/>
            </w:tcMar>
          </w:tcPr>
          <w:p w:rsidR="00000000" w:rsidRDefault="00000000">
            <w:pPr>
              <w:spacing w:after="0"/>
              <w:ind w:right="113"/>
              <w:jc w:val="right"/>
              <w:rPr>
                <w:sz w:val="19"/>
              </w:rPr>
            </w:pPr>
          </w:p>
        </w:tc>
        <w:tc>
          <w:tcPr>
            <w:tcW w:w="850"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951" w:type="dxa"/>
            <w:tcBorders>
              <w:bottom w:val="single" w:sz="4" w:space="0" w:color="auto"/>
            </w:tcBorders>
            <w:tcMar>
              <w:left w:w="108" w:type="dxa"/>
              <w:bottom w:w="0" w:type="dxa"/>
              <w:right w:w="108" w:type="dxa"/>
            </w:tcMar>
          </w:tcPr>
          <w:p w:rsidR="00000000" w:rsidRDefault="00000000">
            <w:pPr>
              <w:spacing w:after="0"/>
              <w:ind w:right="57"/>
              <w:jc w:val="right"/>
              <w:rPr>
                <w:sz w:val="19"/>
              </w:rPr>
            </w:pPr>
            <w:r>
              <w:rPr>
                <w:sz w:val="19"/>
              </w:rPr>
              <w:t>50</w:t>
            </w:r>
          </w:p>
        </w:tc>
        <w:tc>
          <w:tcPr>
            <w:tcW w:w="847" w:type="dxa"/>
            <w:tcBorders>
              <w:bottom w:val="single" w:sz="4" w:space="0" w:color="auto"/>
            </w:tcBorders>
            <w:tcMar>
              <w:left w:w="108" w:type="dxa"/>
              <w:bottom w:w="0" w:type="dxa"/>
              <w:right w:w="108" w:type="dxa"/>
            </w:tcMar>
          </w:tcPr>
          <w:p w:rsidR="00000000" w:rsidRDefault="00000000">
            <w:pPr>
              <w:spacing w:after="0"/>
              <w:ind w:right="57"/>
              <w:jc w:val="right"/>
              <w:rPr>
                <w:sz w:val="19"/>
              </w:rPr>
            </w:pPr>
            <w:r>
              <w:rPr>
                <w:sz w:val="19"/>
              </w:rPr>
              <w:t>315</w:t>
            </w:r>
          </w:p>
        </w:tc>
        <w:tc>
          <w:tcPr>
            <w:tcW w:w="712" w:type="dxa"/>
            <w:tcBorders>
              <w:bottom w:val="single" w:sz="4" w:space="0" w:color="auto"/>
            </w:tcBorders>
            <w:tcMar>
              <w:left w:w="108" w:type="dxa"/>
              <w:bottom w:w="0" w:type="dxa"/>
              <w:right w:w="108" w:type="dxa"/>
            </w:tcMar>
          </w:tcPr>
          <w:p w:rsidR="00000000" w:rsidRDefault="00000000">
            <w:pPr>
              <w:spacing w:after="0"/>
              <w:ind w:right="57"/>
              <w:jc w:val="right"/>
              <w:rPr>
                <w:sz w:val="19"/>
              </w:rPr>
            </w:pPr>
          </w:p>
        </w:tc>
        <w:tc>
          <w:tcPr>
            <w:tcW w:w="992" w:type="dxa"/>
            <w:tcBorders>
              <w:bottom w:val="single" w:sz="4" w:space="0" w:color="auto"/>
            </w:tcBorders>
            <w:tcMar>
              <w:left w:w="108" w:type="dxa"/>
              <w:bottom w:w="0" w:type="dxa"/>
              <w:right w:w="108" w:type="dxa"/>
            </w:tcMar>
          </w:tcPr>
          <w:p w:rsidR="00000000" w:rsidRDefault="00000000">
            <w:pPr>
              <w:spacing w:after="0"/>
              <w:ind w:right="284"/>
              <w:jc w:val="right"/>
              <w:rPr>
                <w:sz w:val="19"/>
              </w:rPr>
            </w:pPr>
          </w:p>
        </w:tc>
        <w:tc>
          <w:tcPr>
            <w:tcW w:w="1418" w:type="dxa"/>
            <w:tcBorders>
              <w:bottom w:val="single" w:sz="4" w:space="0" w:color="auto"/>
            </w:tcBorders>
            <w:tcMar>
              <w:left w:w="108" w:type="dxa"/>
              <w:bottom w:w="0" w:type="dxa"/>
              <w:right w:w="108" w:type="dxa"/>
            </w:tcMar>
          </w:tcPr>
          <w:p w:rsidR="00000000" w:rsidRDefault="00000000">
            <w:pPr>
              <w:spacing w:after="0"/>
              <w:ind w:right="454"/>
              <w:jc w:val="right"/>
              <w:rPr>
                <w:sz w:val="19"/>
              </w:rPr>
            </w:pPr>
          </w:p>
        </w:tc>
      </w:tr>
      <w:tr w:rsidR="00000000">
        <w:tc>
          <w:tcPr>
            <w:tcW w:w="2632" w:type="dxa"/>
            <w:gridSpan w:val="2"/>
            <w:tcBorders>
              <w:top w:val="single" w:sz="4" w:space="0" w:color="auto"/>
              <w:bottom w:val="single" w:sz="4" w:space="0" w:color="auto"/>
            </w:tcBorders>
            <w:tcMar>
              <w:left w:w="108" w:type="dxa"/>
              <w:bottom w:w="0" w:type="dxa"/>
              <w:right w:w="108" w:type="dxa"/>
            </w:tcMar>
          </w:tcPr>
          <w:p w:rsidR="00000000" w:rsidRDefault="00000000">
            <w:pPr>
              <w:tabs>
                <w:tab w:val="left" w:pos="284"/>
              </w:tabs>
              <w:spacing w:before="60" w:after="60"/>
              <w:rPr>
                <w:sz w:val="19"/>
              </w:rPr>
            </w:pPr>
            <w:r>
              <w:rPr>
                <w:sz w:val="19"/>
              </w:rPr>
              <w:t xml:space="preserve">     Total</w:t>
            </w:r>
          </w:p>
        </w:tc>
        <w:tc>
          <w:tcPr>
            <w:tcW w:w="954"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113"/>
              <w:jc w:val="right"/>
              <w:rPr>
                <w:sz w:val="19"/>
              </w:rPr>
            </w:pPr>
            <w:r>
              <w:rPr>
                <w:sz w:val="19"/>
              </w:rPr>
              <w:t>1E+05</w:t>
            </w:r>
          </w:p>
        </w:tc>
        <w:tc>
          <w:tcPr>
            <w:tcW w:w="850"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57"/>
              <w:jc w:val="right"/>
              <w:rPr>
                <w:sz w:val="19"/>
              </w:rPr>
            </w:pPr>
            <w:r>
              <w:rPr>
                <w:sz w:val="19"/>
              </w:rPr>
              <w:t>11 815</w:t>
            </w:r>
          </w:p>
        </w:tc>
        <w:tc>
          <w:tcPr>
            <w:tcW w:w="951"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57"/>
              <w:jc w:val="right"/>
              <w:rPr>
                <w:sz w:val="19"/>
              </w:rPr>
            </w:pPr>
            <w:r>
              <w:rPr>
                <w:sz w:val="19"/>
              </w:rPr>
              <w:t>24 921</w:t>
            </w:r>
          </w:p>
        </w:tc>
        <w:tc>
          <w:tcPr>
            <w:tcW w:w="847"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57"/>
              <w:jc w:val="right"/>
              <w:rPr>
                <w:sz w:val="19"/>
              </w:rPr>
            </w:pPr>
            <w:r>
              <w:rPr>
                <w:sz w:val="19"/>
              </w:rPr>
              <w:t>32 456</w:t>
            </w:r>
          </w:p>
        </w:tc>
        <w:tc>
          <w:tcPr>
            <w:tcW w:w="712"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57"/>
              <w:jc w:val="right"/>
              <w:rPr>
                <w:sz w:val="19"/>
              </w:rPr>
            </w:pPr>
            <w:r>
              <w:rPr>
                <w:sz w:val="19"/>
              </w:rPr>
              <w:t>1 044</w:t>
            </w:r>
          </w:p>
        </w:tc>
        <w:tc>
          <w:tcPr>
            <w:tcW w:w="992"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284"/>
              <w:jc w:val="right"/>
              <w:rPr>
                <w:sz w:val="19"/>
              </w:rPr>
            </w:pPr>
            <w:r>
              <w:rPr>
                <w:sz w:val="19"/>
              </w:rPr>
              <w:t>378</w:t>
            </w:r>
          </w:p>
        </w:tc>
        <w:tc>
          <w:tcPr>
            <w:tcW w:w="1418" w:type="dxa"/>
            <w:tcBorders>
              <w:top w:val="single" w:sz="4" w:space="0" w:color="auto"/>
              <w:bottom w:val="single" w:sz="4" w:space="0" w:color="auto"/>
            </w:tcBorders>
            <w:tcMar>
              <w:left w:w="108" w:type="dxa"/>
              <w:bottom w:w="0" w:type="dxa"/>
              <w:right w:w="108" w:type="dxa"/>
            </w:tcMar>
          </w:tcPr>
          <w:p w:rsidR="00000000" w:rsidRDefault="00000000">
            <w:pPr>
              <w:spacing w:before="60" w:after="60"/>
              <w:ind w:right="454"/>
              <w:jc w:val="right"/>
              <w:rPr>
                <w:sz w:val="19"/>
              </w:rPr>
            </w:pPr>
            <w:r>
              <w:rPr>
                <w:sz w:val="19"/>
              </w:rPr>
              <w:t>50</w:t>
            </w:r>
          </w:p>
        </w:tc>
      </w:tr>
    </w:tbl>
    <w:p w:rsidR="00000000" w:rsidRDefault="00000000">
      <w:pPr>
        <w:pStyle w:val="Heading3"/>
        <w:spacing w:before="360"/>
      </w:pPr>
      <w:r>
        <w:t>Housing situation</w:t>
      </w:r>
    </w:p>
    <w:p w:rsidR="00000000" w:rsidRDefault="00000000">
      <w:pPr>
        <w:pStyle w:val="ParaNo"/>
      </w:pPr>
      <w:proofErr w:type="spellStart"/>
      <w:r>
        <w:t>The</w:t>
      </w:r>
      <w:proofErr w:type="spellEnd"/>
      <w:r>
        <w:t xml:space="preserve"> total </w:t>
      </w:r>
      <w:proofErr w:type="spellStart"/>
      <w:r>
        <w:t>number</w:t>
      </w:r>
      <w:proofErr w:type="spellEnd"/>
      <w:r>
        <w:t xml:space="preserve"> of </w:t>
      </w:r>
      <w:proofErr w:type="spellStart"/>
      <w:r>
        <w:t>houseless</w:t>
      </w:r>
      <w:proofErr w:type="spellEnd"/>
      <w:r>
        <w:t xml:space="preserve"> </w:t>
      </w:r>
      <w:proofErr w:type="spellStart"/>
      <w:r>
        <w:t>families</w:t>
      </w:r>
      <w:proofErr w:type="spellEnd"/>
      <w:r>
        <w:t xml:space="preserve"> </w:t>
      </w:r>
      <w:proofErr w:type="spellStart"/>
      <w:r>
        <w:t>registered</w:t>
      </w:r>
      <w:proofErr w:type="spellEnd"/>
      <w:r>
        <w:t xml:space="preserve"> </w:t>
      </w:r>
      <w:proofErr w:type="spellStart"/>
      <w:r>
        <w:t>according</w:t>
      </w:r>
      <w:proofErr w:type="spellEnd"/>
      <w:r>
        <w:t xml:space="preserve"> to </w:t>
      </w:r>
      <w:proofErr w:type="spellStart"/>
      <w:r>
        <w:t>the</w:t>
      </w:r>
      <w:proofErr w:type="spellEnd"/>
      <w:r>
        <w:t xml:space="preserve"> normative </w:t>
      </w:r>
      <w:proofErr w:type="spellStart"/>
      <w:r>
        <w:t>acts</w:t>
      </w:r>
      <w:proofErr w:type="spellEnd"/>
      <w:r>
        <w:t xml:space="preserve"> in force </w:t>
      </w:r>
      <w:proofErr w:type="spellStart"/>
      <w:r>
        <w:t>is</w:t>
      </w:r>
      <w:proofErr w:type="spellEnd"/>
      <w:r>
        <w:t xml:space="preserve"> </w:t>
      </w:r>
      <w:proofErr w:type="spellStart"/>
      <w:r>
        <w:t>approximately</w:t>
      </w:r>
      <w:proofErr w:type="spellEnd"/>
      <w:r>
        <w:t xml:space="preserve"> 46,000.  This </w:t>
      </w:r>
      <w:proofErr w:type="spellStart"/>
      <w:r>
        <w:t>is</w:t>
      </w:r>
      <w:proofErr w:type="spellEnd"/>
      <w:r>
        <w:t xml:space="preserve"> a </w:t>
      </w:r>
      <w:proofErr w:type="spellStart"/>
      <w:r>
        <w:t>fixed</w:t>
      </w:r>
      <w:proofErr w:type="spellEnd"/>
      <w:r>
        <w:t xml:space="preserve"> </w:t>
      </w:r>
      <w:proofErr w:type="spellStart"/>
      <w:r>
        <w:t>and</w:t>
      </w:r>
      <w:proofErr w:type="spellEnd"/>
      <w:r>
        <w:t xml:space="preserve"> invariable </w:t>
      </w:r>
      <w:proofErr w:type="spellStart"/>
      <w:r>
        <w:t>number</w:t>
      </w:r>
      <w:proofErr w:type="spellEnd"/>
      <w:r>
        <w:t xml:space="preserve"> </w:t>
      </w:r>
      <w:proofErr w:type="spellStart"/>
      <w:r>
        <w:t>related</w:t>
      </w:r>
      <w:proofErr w:type="spellEnd"/>
      <w:r>
        <w:t xml:space="preserve"> to </w:t>
      </w:r>
      <w:proofErr w:type="spellStart"/>
      <w:r>
        <w:t>the</w:t>
      </w:r>
      <w:proofErr w:type="spellEnd"/>
      <w:r>
        <w:t xml:space="preserve"> </w:t>
      </w:r>
      <w:proofErr w:type="spellStart"/>
      <w:r>
        <w:t>consequences</w:t>
      </w:r>
      <w:proofErr w:type="spellEnd"/>
      <w:r>
        <w:t xml:space="preserve"> of </w:t>
      </w:r>
      <w:proofErr w:type="spellStart"/>
      <w:r>
        <w:t>the</w:t>
      </w:r>
      <w:proofErr w:type="spellEnd"/>
      <w:r>
        <w:t xml:space="preserve"> </w:t>
      </w:r>
      <w:proofErr w:type="spellStart"/>
      <w:r>
        <w:t>privatization</w:t>
      </w:r>
      <w:proofErr w:type="spellEnd"/>
      <w:r>
        <w:t xml:space="preserve"> of buildings.  Of </w:t>
      </w:r>
      <w:proofErr w:type="spellStart"/>
      <w:r>
        <w:t>the</w:t>
      </w:r>
      <w:proofErr w:type="spellEnd"/>
      <w:r>
        <w:t xml:space="preserve"> </w:t>
      </w:r>
      <w:proofErr w:type="spellStart"/>
      <w:r>
        <w:t>above</w:t>
      </w:r>
      <w:proofErr w:type="spellEnd"/>
      <w:r>
        <w:t xml:space="preserve"> total </w:t>
      </w:r>
      <w:proofErr w:type="spellStart"/>
      <w:r>
        <w:t>nearly</w:t>
      </w:r>
      <w:proofErr w:type="spellEnd"/>
      <w:r>
        <w:t xml:space="preserve"> 10,000 </w:t>
      </w:r>
      <w:proofErr w:type="spellStart"/>
      <w:r>
        <w:t>families</w:t>
      </w:r>
      <w:proofErr w:type="spellEnd"/>
      <w:r>
        <w:t xml:space="preserve"> have </w:t>
      </w:r>
      <w:proofErr w:type="spellStart"/>
      <w:r>
        <w:t>found</w:t>
      </w:r>
      <w:proofErr w:type="spellEnd"/>
      <w:r>
        <w:t xml:space="preserve"> a house.  </w:t>
      </w:r>
      <w:proofErr w:type="spellStart"/>
      <w:r>
        <w:t>The</w:t>
      </w:r>
      <w:proofErr w:type="spellEnd"/>
      <w:r>
        <w:t xml:space="preserve"> groups </w:t>
      </w:r>
      <w:proofErr w:type="spellStart"/>
      <w:r>
        <w:t>and</w:t>
      </w:r>
      <w:proofErr w:type="spellEnd"/>
      <w:r>
        <w:t xml:space="preserve"> </w:t>
      </w:r>
      <w:proofErr w:type="spellStart"/>
      <w:r>
        <w:t>number</w:t>
      </w:r>
      <w:proofErr w:type="spellEnd"/>
      <w:r>
        <w:t xml:space="preserve"> of </w:t>
      </w:r>
      <w:proofErr w:type="spellStart"/>
      <w:r>
        <w:t>these</w:t>
      </w:r>
      <w:proofErr w:type="spellEnd"/>
      <w:r>
        <w:t xml:space="preserve"> </w:t>
      </w:r>
      <w:proofErr w:type="spellStart"/>
      <w:r>
        <w:t>families</w:t>
      </w:r>
      <w:proofErr w:type="spellEnd"/>
      <w:r>
        <w:t xml:space="preserve"> are as </w:t>
      </w:r>
      <w:proofErr w:type="spellStart"/>
      <w:r>
        <w:t>follows</w:t>
      </w:r>
      <w:proofErr w:type="spellEnd"/>
      <w:r>
        <w:t>:</w:t>
      </w:r>
    </w:p>
    <w:p w:rsidR="00000000" w:rsidRDefault="00000000">
      <w:pPr>
        <w:numPr>
          <w:ilvl w:val="0"/>
          <w:numId w:val="198"/>
        </w:numPr>
      </w:pPr>
      <w:r>
        <w:t>Lessee families in ex-private buildings - a total of 5,527, of which 1,253 have been served;</w:t>
      </w:r>
    </w:p>
    <w:p w:rsidR="00000000" w:rsidRDefault="00000000">
      <w:pPr>
        <w:numPr>
          <w:ilvl w:val="0"/>
          <w:numId w:val="198"/>
        </w:numPr>
      </w:pPr>
      <w:r>
        <w:t>A total of 9,227 families are provided with housing.</w:t>
      </w:r>
    </w:p>
    <w:p w:rsidR="00000000" w:rsidRDefault="00000000">
      <w:pPr>
        <w:pStyle w:val="Heading2"/>
      </w:pPr>
    </w:p>
    <w:p w:rsidR="00000000" w:rsidRDefault="00000000">
      <w:pPr>
        <w:pStyle w:val="Heading2"/>
      </w:pPr>
      <w:r>
        <w:br w:type="page"/>
        <w:t>Table 39</w:t>
      </w:r>
    </w:p>
    <w:p w:rsidR="00000000" w:rsidRDefault="00000000">
      <w:pPr>
        <w:pStyle w:val="Heading2"/>
        <w:tabs>
          <w:tab w:val="left" w:pos="2438"/>
        </w:tabs>
        <w:ind w:left="737"/>
        <w:jc w:val="left"/>
      </w:pPr>
      <w:r>
        <w:t>Number of families and individuals without proper housing and without</w:t>
      </w:r>
      <w:r>
        <w:br/>
        <w:t>access to the main utilities such as water supply, heat and sanitation facilities</w:t>
      </w:r>
      <w:r>
        <w:br/>
        <w:t>(included here also individuals who live in overcrowded houses, of unstable</w:t>
      </w:r>
      <w:r>
        <w:br/>
        <w:t xml:space="preserve">                          structure, or under other hazardous conditions)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34"/>
        <w:gridCol w:w="3749"/>
      </w:tblGrid>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before="60" w:after="60"/>
              <w:rPr>
                <w:b/>
                <w:bCs/>
              </w:rPr>
            </w:pPr>
            <w:r>
              <w:rPr>
                <w:u w:val="single"/>
              </w:rPr>
              <w:t>Albania</w:t>
            </w:r>
            <w:r>
              <w:t>:</w:t>
            </w:r>
          </w:p>
        </w:tc>
        <w:tc>
          <w:tcPr>
            <w:tcW w:w="3749" w:type="dxa"/>
            <w:tcBorders>
              <w:top w:val="single" w:sz="4" w:space="0" w:color="auto"/>
              <w:left w:val="nil"/>
              <w:bottom w:val="nil"/>
            </w:tcBorders>
          </w:tcPr>
          <w:p w:rsidR="00000000" w:rsidRDefault="00000000">
            <w:pPr>
              <w:spacing w:before="120" w:after="0"/>
              <w:ind w:left="170"/>
              <w:jc w:val="center"/>
            </w:pPr>
          </w:p>
        </w:tc>
      </w:tr>
      <w:tr w:rsidR="00000000">
        <w:tblPrEx>
          <w:tblCellMar>
            <w:top w:w="0" w:type="dxa"/>
            <w:bottom w:w="0" w:type="dxa"/>
          </w:tblCellMar>
        </w:tblPrEx>
        <w:trPr>
          <w:jc w:val="center"/>
        </w:trPr>
        <w:tc>
          <w:tcPr>
            <w:tcW w:w="4734" w:type="dxa"/>
            <w:tcBorders>
              <w:right w:val="nil"/>
            </w:tcBorders>
          </w:tcPr>
          <w:p w:rsidR="00000000" w:rsidRDefault="00000000">
            <w:pPr>
              <w:pStyle w:val="FootnoteText"/>
              <w:tabs>
                <w:tab w:val="left" w:pos="142"/>
              </w:tabs>
              <w:spacing w:after="0"/>
            </w:pPr>
            <w:r>
              <w:t>Population:</w:t>
            </w:r>
          </w:p>
        </w:tc>
        <w:tc>
          <w:tcPr>
            <w:tcW w:w="3749" w:type="dxa"/>
            <w:tcBorders>
              <w:top w:val="nil"/>
              <w:left w:val="nil"/>
              <w:bottom w:val="nil"/>
            </w:tcBorders>
          </w:tcPr>
          <w:p w:rsidR="00000000" w:rsidRDefault="00000000">
            <w:pPr>
              <w:pStyle w:val="Header"/>
              <w:tabs>
                <w:tab w:val="clear" w:pos="4320"/>
                <w:tab w:val="clear" w:pos="8640"/>
              </w:tabs>
              <w:spacing w:after="0"/>
            </w:pPr>
            <w:r>
              <w:t>Total, 3 069 275</w:t>
            </w:r>
          </w:p>
        </w:tc>
      </w:tr>
      <w:tr w:rsidR="00000000">
        <w:tblPrEx>
          <w:tblCellMar>
            <w:top w:w="0" w:type="dxa"/>
            <w:bottom w:w="0" w:type="dxa"/>
          </w:tblCellMar>
        </w:tblPrEx>
        <w:trPr>
          <w:jc w:val="center"/>
        </w:trPr>
        <w:tc>
          <w:tcPr>
            <w:tcW w:w="4734" w:type="dxa"/>
            <w:tcBorders>
              <w:right w:val="nil"/>
            </w:tcBorders>
          </w:tcPr>
          <w:p w:rsidR="00000000" w:rsidRDefault="00000000">
            <w:pPr>
              <w:pStyle w:val="Header"/>
              <w:tabs>
                <w:tab w:val="clear" w:pos="4320"/>
                <w:tab w:val="clear" w:pos="8640"/>
                <w:tab w:val="left" w:pos="142"/>
              </w:tabs>
              <w:spacing w:after="0"/>
            </w:pPr>
            <w:r>
              <w:t>Buildings:</w:t>
            </w:r>
          </w:p>
        </w:tc>
        <w:tc>
          <w:tcPr>
            <w:tcW w:w="3749" w:type="dxa"/>
            <w:tcBorders>
              <w:top w:val="nil"/>
              <w:left w:val="nil"/>
              <w:bottom w:val="nil"/>
            </w:tcBorders>
          </w:tcPr>
          <w:p w:rsidR="00000000" w:rsidRDefault="00000000">
            <w:pPr>
              <w:spacing w:after="0"/>
            </w:pPr>
            <w:r>
              <w:t>Total, 512 387</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ind w:left="142" w:hanging="142"/>
            </w:pPr>
            <w:r>
              <w:t>Average number of houses for building:</w:t>
            </w:r>
          </w:p>
        </w:tc>
        <w:tc>
          <w:tcPr>
            <w:tcW w:w="3749" w:type="dxa"/>
            <w:tcBorders>
              <w:top w:val="nil"/>
              <w:left w:val="nil"/>
              <w:bottom w:val="nil"/>
            </w:tcBorders>
          </w:tcPr>
          <w:p w:rsidR="00000000" w:rsidRDefault="00000000">
            <w:pPr>
              <w:spacing w:after="0"/>
            </w:pPr>
            <w:r>
              <w:t>1.53</w:t>
            </w:r>
          </w:p>
        </w:tc>
      </w:tr>
      <w:tr w:rsidR="00000000">
        <w:tblPrEx>
          <w:tblCellMar>
            <w:top w:w="0" w:type="dxa"/>
            <w:bottom w:w="0" w:type="dxa"/>
          </w:tblCellMar>
        </w:tblPrEx>
        <w:trPr>
          <w:jc w:val="center"/>
        </w:trPr>
        <w:tc>
          <w:tcPr>
            <w:tcW w:w="4734" w:type="dxa"/>
            <w:tcBorders>
              <w:bottom w:val="nil"/>
              <w:right w:val="nil"/>
            </w:tcBorders>
          </w:tcPr>
          <w:p w:rsidR="00000000" w:rsidRDefault="00000000">
            <w:pPr>
              <w:pStyle w:val="Header"/>
              <w:tabs>
                <w:tab w:val="clear" w:pos="4320"/>
                <w:tab w:val="clear" w:pos="8640"/>
                <w:tab w:val="left" w:pos="142"/>
              </w:tabs>
              <w:spacing w:after="0"/>
            </w:pPr>
            <w:r>
              <w:t>Houses with 2 to 3 rooms:</w:t>
            </w:r>
          </w:p>
        </w:tc>
        <w:tc>
          <w:tcPr>
            <w:tcW w:w="3749" w:type="dxa"/>
            <w:tcBorders>
              <w:top w:val="nil"/>
              <w:left w:val="nil"/>
              <w:bottom w:val="nil"/>
            </w:tcBorders>
          </w:tcPr>
          <w:p w:rsidR="00000000" w:rsidRDefault="00000000">
            <w:pPr>
              <w:spacing w:after="0"/>
            </w:pPr>
            <w:r>
              <w:t>76%</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000000">
            <w:pPr>
              <w:tabs>
                <w:tab w:val="left" w:pos="142"/>
              </w:tabs>
              <w:spacing w:after="0"/>
            </w:pPr>
            <w:r>
              <w:t>Houses with 1 room:</w:t>
            </w:r>
          </w:p>
        </w:tc>
        <w:tc>
          <w:tcPr>
            <w:tcW w:w="3749" w:type="dxa"/>
            <w:tcBorders>
              <w:top w:val="nil"/>
              <w:left w:val="nil"/>
              <w:bottom w:val="nil"/>
            </w:tcBorders>
          </w:tcPr>
          <w:p w:rsidR="00000000" w:rsidRDefault="00000000">
            <w:pPr>
              <w:spacing w:after="0"/>
            </w:pPr>
            <w:r>
              <w:t>12%</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000000">
            <w:pPr>
              <w:tabs>
                <w:tab w:val="left" w:pos="142"/>
              </w:tabs>
              <w:spacing w:after="0"/>
            </w:pPr>
            <w:r>
              <w:t>Houses with 4 or more rooms:</w:t>
            </w:r>
          </w:p>
        </w:tc>
        <w:tc>
          <w:tcPr>
            <w:tcW w:w="3749" w:type="dxa"/>
            <w:tcBorders>
              <w:top w:val="nil"/>
              <w:left w:val="nil"/>
              <w:bottom w:val="nil"/>
            </w:tcBorders>
          </w:tcPr>
          <w:p w:rsidR="00000000" w:rsidRDefault="00000000">
            <w:pPr>
              <w:spacing w:after="0"/>
            </w:pPr>
            <w:r>
              <w:t>12%</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000000">
            <w:pPr>
              <w:tabs>
                <w:tab w:val="left" w:pos="142"/>
              </w:tabs>
              <w:spacing w:after="0"/>
            </w:pPr>
            <w:r>
              <w:t>Overcrowded houses:</w:t>
            </w:r>
          </w:p>
        </w:tc>
        <w:tc>
          <w:tcPr>
            <w:tcW w:w="3749" w:type="dxa"/>
            <w:tcBorders>
              <w:top w:val="nil"/>
              <w:left w:val="nil"/>
              <w:bottom w:val="nil"/>
            </w:tcBorders>
          </w:tcPr>
          <w:p w:rsidR="00000000" w:rsidRDefault="00000000">
            <w:pPr>
              <w:spacing w:after="0"/>
            </w:pPr>
            <w:r>
              <w:t xml:space="preserve">50.3% </w:t>
            </w:r>
            <w:r>
              <w:br/>
              <w:t>(more than 3 persons per room)</w:t>
            </w:r>
          </w:p>
        </w:tc>
      </w:tr>
      <w:tr w:rsidR="00000000">
        <w:tblPrEx>
          <w:tblCellMar>
            <w:top w:w="0" w:type="dxa"/>
            <w:bottom w:w="0" w:type="dxa"/>
          </w:tblCellMar>
        </w:tblPrEx>
        <w:trPr>
          <w:jc w:val="center"/>
        </w:trPr>
        <w:tc>
          <w:tcPr>
            <w:tcW w:w="4734" w:type="dxa"/>
            <w:tcBorders>
              <w:top w:val="nil"/>
              <w:right w:val="nil"/>
            </w:tcBorders>
          </w:tcPr>
          <w:p w:rsidR="00000000" w:rsidRDefault="00000000">
            <w:pPr>
              <w:tabs>
                <w:tab w:val="left" w:pos="142"/>
              </w:tabs>
              <w:spacing w:after="0"/>
            </w:pPr>
            <w:r>
              <w:t>With kitchen:</w:t>
            </w:r>
          </w:p>
        </w:tc>
        <w:tc>
          <w:tcPr>
            <w:tcW w:w="3749" w:type="dxa"/>
            <w:tcBorders>
              <w:top w:val="nil"/>
              <w:left w:val="nil"/>
              <w:bottom w:val="nil"/>
            </w:tcBorders>
          </w:tcPr>
          <w:p w:rsidR="00000000" w:rsidRDefault="00000000">
            <w:pPr>
              <w:spacing w:after="0"/>
            </w:pPr>
            <w:r>
              <w:t>58%</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before="60" w:after="60"/>
              <w:rPr>
                <w:bCs/>
                <w:u w:val="single"/>
              </w:rPr>
            </w:pPr>
            <w:r>
              <w:rPr>
                <w:bCs/>
                <w:u w:val="single"/>
              </w:rPr>
              <w:t>Water supply</w:t>
            </w:r>
          </w:p>
        </w:tc>
        <w:tc>
          <w:tcPr>
            <w:tcW w:w="3749" w:type="dxa"/>
            <w:tcBorders>
              <w:top w:val="nil"/>
              <w:left w:val="nil"/>
              <w:bottom w:val="nil"/>
            </w:tcBorders>
          </w:tcPr>
          <w:p w:rsidR="00000000" w:rsidRDefault="00000000">
            <w:pPr>
              <w:spacing w:after="0"/>
              <w:rPr>
                <w:b/>
                <w:u w:val="single"/>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Within the building:</w:t>
            </w:r>
          </w:p>
        </w:tc>
        <w:tc>
          <w:tcPr>
            <w:tcW w:w="3749" w:type="dxa"/>
            <w:tcBorders>
              <w:top w:val="nil"/>
              <w:left w:val="nil"/>
              <w:bottom w:val="nil"/>
            </w:tcBorders>
          </w:tcPr>
          <w:p w:rsidR="00000000" w:rsidRDefault="00000000">
            <w:pPr>
              <w:spacing w:after="0"/>
            </w:pPr>
            <w:r>
              <w:t>46.9%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Out of the building:</w:t>
            </w:r>
          </w:p>
        </w:tc>
        <w:tc>
          <w:tcPr>
            <w:tcW w:w="3749" w:type="dxa"/>
            <w:tcBorders>
              <w:top w:val="nil"/>
              <w:left w:val="nil"/>
              <w:bottom w:val="nil"/>
            </w:tcBorders>
          </w:tcPr>
          <w:p w:rsidR="00000000" w:rsidRDefault="00000000">
            <w:pPr>
              <w:spacing w:after="0"/>
            </w:pPr>
            <w:r>
              <w:t>28.6%</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Well or tank:</w:t>
            </w:r>
          </w:p>
        </w:tc>
        <w:tc>
          <w:tcPr>
            <w:tcW w:w="3749" w:type="dxa"/>
            <w:tcBorders>
              <w:top w:val="nil"/>
              <w:left w:val="nil"/>
              <w:bottom w:val="nil"/>
            </w:tcBorders>
          </w:tcPr>
          <w:p w:rsidR="00000000" w:rsidRDefault="00000000">
            <w:pPr>
              <w:spacing w:after="0"/>
            </w:pPr>
            <w:r>
              <w:t>12.9%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Without water supply:</w:t>
            </w:r>
          </w:p>
        </w:tc>
        <w:tc>
          <w:tcPr>
            <w:tcW w:w="3749" w:type="dxa"/>
            <w:tcBorders>
              <w:top w:val="nil"/>
              <w:left w:val="nil"/>
              <w:bottom w:val="nil"/>
            </w:tcBorders>
          </w:tcPr>
          <w:p w:rsidR="00000000" w:rsidRDefault="00000000">
            <w:pPr>
              <w:spacing w:after="0"/>
            </w:pPr>
            <w:r>
              <w:t>11.7%</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before="60" w:after="60"/>
              <w:rPr>
                <w:u w:val="single"/>
              </w:rPr>
            </w:pPr>
            <w:r>
              <w:rPr>
                <w:u w:val="single"/>
              </w:rPr>
              <w:t>Bathroom and WC</w:t>
            </w:r>
          </w:p>
        </w:tc>
        <w:tc>
          <w:tcPr>
            <w:tcW w:w="3749" w:type="dxa"/>
            <w:tcBorders>
              <w:top w:val="nil"/>
              <w:left w:val="nil"/>
              <w:bottom w:val="nil"/>
            </w:tcBorders>
          </w:tcPr>
          <w:p w:rsidR="00000000" w:rsidRDefault="00000000">
            <w:pPr>
              <w:spacing w:after="0"/>
              <w:rPr>
                <w:b/>
                <w:bCs/>
                <w:u w:val="single"/>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Bathroom and WC inside the house:</w:t>
            </w:r>
          </w:p>
        </w:tc>
        <w:tc>
          <w:tcPr>
            <w:tcW w:w="3749" w:type="dxa"/>
            <w:tcBorders>
              <w:top w:val="nil"/>
              <w:left w:val="nil"/>
              <w:bottom w:val="nil"/>
            </w:tcBorders>
          </w:tcPr>
          <w:p w:rsidR="00000000" w:rsidRDefault="00000000">
            <w:pPr>
              <w:spacing w:after="0"/>
            </w:pPr>
            <w:r>
              <w:t>55.1%</w:t>
            </w:r>
          </w:p>
        </w:tc>
      </w:tr>
      <w:tr w:rsidR="00000000">
        <w:tblPrEx>
          <w:tblCellMar>
            <w:top w:w="0" w:type="dxa"/>
            <w:bottom w:w="0" w:type="dxa"/>
          </w:tblCellMar>
        </w:tblPrEx>
        <w:trPr>
          <w:jc w:val="center"/>
        </w:trPr>
        <w:tc>
          <w:tcPr>
            <w:tcW w:w="4734" w:type="dxa"/>
            <w:tcBorders>
              <w:right w:val="nil"/>
            </w:tcBorders>
          </w:tcPr>
          <w:p w:rsidR="00000000" w:rsidRDefault="00000000">
            <w:pPr>
              <w:pStyle w:val="Header"/>
              <w:tabs>
                <w:tab w:val="clear" w:pos="4320"/>
                <w:tab w:val="clear" w:pos="8640"/>
                <w:tab w:val="left" w:pos="142"/>
              </w:tabs>
              <w:spacing w:after="0"/>
            </w:pPr>
            <w:r>
              <w:t xml:space="preserve">Without bathroom (without WC and </w:t>
            </w:r>
            <w:r>
              <w:br/>
              <w:t xml:space="preserve">  WC outside):</w:t>
            </w:r>
          </w:p>
        </w:tc>
        <w:tc>
          <w:tcPr>
            <w:tcW w:w="3749" w:type="dxa"/>
            <w:tcBorders>
              <w:top w:val="nil"/>
              <w:left w:val="nil"/>
              <w:bottom w:val="nil"/>
            </w:tcBorders>
          </w:tcPr>
          <w:p w:rsidR="00000000" w:rsidRDefault="00000000">
            <w:pPr>
              <w:spacing w:after="0"/>
            </w:pPr>
            <w:r>
              <w:t>44.9%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Without WC:</w:t>
            </w:r>
          </w:p>
        </w:tc>
        <w:tc>
          <w:tcPr>
            <w:tcW w:w="3749" w:type="dxa"/>
            <w:tcBorders>
              <w:top w:val="nil"/>
              <w:left w:val="nil"/>
              <w:bottom w:val="nil"/>
            </w:tcBorders>
          </w:tcPr>
          <w:p w:rsidR="00000000" w:rsidRDefault="00000000">
            <w:pPr>
              <w:spacing w:after="0"/>
            </w:pPr>
            <w:r>
              <w:t>0.9%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before="60" w:after="60"/>
              <w:rPr>
                <w:u w:val="single"/>
              </w:rPr>
            </w:pPr>
            <w:r>
              <w:rPr>
                <w:u w:val="single"/>
              </w:rPr>
              <w:t>Heating</w:t>
            </w:r>
          </w:p>
        </w:tc>
        <w:tc>
          <w:tcPr>
            <w:tcW w:w="3749" w:type="dxa"/>
            <w:tcBorders>
              <w:top w:val="nil"/>
              <w:left w:val="nil"/>
              <w:bottom w:val="nil"/>
            </w:tcBorders>
          </w:tcPr>
          <w:p w:rsidR="00000000" w:rsidRDefault="00000000">
            <w:pPr>
              <w:spacing w:after="0"/>
              <w:rPr>
                <w:b/>
                <w:bCs/>
                <w:u w:val="single"/>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Central heating:</w:t>
            </w:r>
          </w:p>
        </w:tc>
        <w:tc>
          <w:tcPr>
            <w:tcW w:w="3749" w:type="dxa"/>
            <w:tcBorders>
              <w:top w:val="nil"/>
              <w:left w:val="nil"/>
              <w:bottom w:val="nil"/>
            </w:tcBorders>
          </w:tcPr>
          <w:p w:rsidR="00000000" w:rsidRDefault="00000000">
            <w:pPr>
              <w:spacing w:after="0"/>
            </w:pPr>
            <w:r>
              <w:t>1%</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Individual heating:</w:t>
            </w:r>
          </w:p>
        </w:tc>
        <w:tc>
          <w:tcPr>
            <w:tcW w:w="3749" w:type="dxa"/>
            <w:tcBorders>
              <w:top w:val="nil"/>
              <w:left w:val="nil"/>
              <w:bottom w:val="nil"/>
            </w:tcBorders>
          </w:tcPr>
          <w:p w:rsidR="00000000" w:rsidRDefault="00000000">
            <w:pPr>
              <w:spacing w:after="0"/>
            </w:pPr>
            <w:r>
              <w:t>95.1%</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142"/>
              </w:tabs>
              <w:spacing w:after="0"/>
            </w:pPr>
            <w:r>
              <w:t>Without heating:</w:t>
            </w:r>
          </w:p>
        </w:tc>
        <w:tc>
          <w:tcPr>
            <w:tcW w:w="3749" w:type="dxa"/>
            <w:tcBorders>
              <w:top w:val="nil"/>
              <w:left w:val="nil"/>
              <w:bottom w:val="nil"/>
            </w:tcBorders>
          </w:tcPr>
          <w:p w:rsidR="00000000" w:rsidRDefault="00000000">
            <w:pPr>
              <w:spacing w:after="0"/>
            </w:pPr>
            <w:r>
              <w:t>3.9%</w:t>
            </w:r>
          </w:p>
        </w:tc>
      </w:tr>
      <w:tr w:rsidR="00000000">
        <w:tblPrEx>
          <w:tblCellMar>
            <w:top w:w="0" w:type="dxa"/>
            <w:bottom w:w="0" w:type="dxa"/>
          </w:tblCellMar>
        </w:tblPrEx>
        <w:trPr>
          <w:jc w:val="center"/>
        </w:trPr>
        <w:tc>
          <w:tcPr>
            <w:tcW w:w="4734" w:type="dxa"/>
            <w:tcBorders>
              <w:right w:val="nil"/>
            </w:tcBorders>
          </w:tcPr>
          <w:p w:rsidR="00000000" w:rsidRDefault="00000000">
            <w:pPr>
              <w:pStyle w:val="Header"/>
              <w:tabs>
                <w:tab w:val="clear" w:pos="4320"/>
                <w:tab w:val="clear" w:pos="8640"/>
                <w:tab w:val="left" w:pos="142"/>
              </w:tabs>
              <w:spacing w:after="0"/>
            </w:pPr>
            <w:r>
              <w:t>Water supply:</w:t>
            </w:r>
          </w:p>
        </w:tc>
        <w:tc>
          <w:tcPr>
            <w:tcW w:w="3749" w:type="dxa"/>
            <w:tcBorders>
              <w:top w:val="nil"/>
              <w:left w:val="nil"/>
              <w:bottom w:val="nil"/>
            </w:tcBorders>
          </w:tcPr>
          <w:p w:rsidR="00000000" w:rsidRDefault="00000000">
            <w:pPr>
              <w:spacing w:after="0"/>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pos="284"/>
              </w:tabs>
              <w:spacing w:after="0"/>
            </w:pPr>
            <w:r>
              <w:t xml:space="preserve">  Inside water supply:</w:t>
            </w:r>
          </w:p>
        </w:tc>
        <w:tc>
          <w:tcPr>
            <w:tcW w:w="3749" w:type="dxa"/>
            <w:tcBorders>
              <w:top w:val="nil"/>
              <w:left w:val="nil"/>
              <w:bottom w:val="nil"/>
            </w:tcBorders>
          </w:tcPr>
          <w:p w:rsidR="00000000" w:rsidRDefault="00000000">
            <w:pPr>
              <w:spacing w:after="0"/>
            </w:pPr>
            <w:r>
              <w:t>86%</w:t>
            </w:r>
          </w:p>
        </w:tc>
      </w:tr>
      <w:tr w:rsidR="00000000">
        <w:tblPrEx>
          <w:tblCellMar>
            <w:top w:w="0" w:type="dxa"/>
            <w:bottom w:w="0" w:type="dxa"/>
          </w:tblCellMar>
        </w:tblPrEx>
        <w:trPr>
          <w:jc w:val="center"/>
        </w:trPr>
        <w:tc>
          <w:tcPr>
            <w:tcW w:w="4734" w:type="dxa"/>
            <w:tcBorders>
              <w:right w:val="nil"/>
            </w:tcBorders>
          </w:tcPr>
          <w:p w:rsidR="00000000" w:rsidRDefault="00000000">
            <w:pPr>
              <w:pStyle w:val="Header"/>
              <w:tabs>
                <w:tab w:val="clear" w:pos="4320"/>
                <w:tab w:val="clear" w:pos="8640"/>
              </w:tabs>
              <w:spacing w:before="60" w:after="60"/>
            </w:pPr>
            <w:r>
              <w:t>No data available for postal service and electricity.</w:t>
            </w:r>
          </w:p>
        </w:tc>
        <w:tc>
          <w:tcPr>
            <w:tcW w:w="3749" w:type="dxa"/>
            <w:tcBorders>
              <w:top w:val="nil"/>
              <w:left w:val="nil"/>
              <w:bottom w:val="single" w:sz="4" w:space="0" w:color="auto"/>
            </w:tcBorders>
          </w:tcPr>
          <w:p w:rsidR="00000000" w:rsidRDefault="00000000">
            <w:pPr>
              <w:spacing w:before="60" w:after="60"/>
            </w:pPr>
          </w:p>
        </w:tc>
      </w:tr>
    </w:tbl>
    <w:p w:rsidR="00000000" w:rsidRDefault="00000000">
      <w:pPr>
        <w:spacing w:before="240"/>
        <w:ind w:left="1304"/>
        <w:rPr>
          <w:iCs/>
        </w:rPr>
      </w:pPr>
      <w:r>
        <w:rPr>
          <w:i/>
        </w:rPr>
        <w:t>Source</w:t>
      </w:r>
      <w:r>
        <w:rPr>
          <w:iCs/>
        </w:rPr>
        <w:t>:  Data from INSTAT (registration 2001).</w:t>
      </w:r>
    </w:p>
    <w:p w:rsidR="00000000" w:rsidRDefault="00000000">
      <w:pPr>
        <w:pStyle w:val="Heading3"/>
      </w:pPr>
      <w:r>
        <w:t>Number of individuals who live in unregistered buildings</w:t>
      </w:r>
    </w:p>
    <w:p w:rsidR="00000000" w:rsidRDefault="00000000">
      <w:pPr>
        <w:pStyle w:val="ParaNo"/>
        <w:tabs>
          <w:tab w:val="clear" w:pos="360"/>
          <w:tab w:val="clear" w:pos="737"/>
        </w:tabs>
        <w:ind w:left="0" w:firstLine="0"/>
        <w:rPr>
          <w:lang w:val="en-GB"/>
        </w:rPr>
      </w:pPr>
      <w:r>
        <w:rPr>
          <w:lang w:val="en-GB"/>
        </w:rPr>
        <w:t>With regard to the number of individuals who live in new habitations and have not done the transfer of the civil status data, we may provide approximate figures, from the data of the civil status offices.  From data gathered from 22 districts (out of a total of 36), 6,745 families (approximately 33,725 individuals) are not registered in the civil status offices of the new habitations.</w:t>
      </w:r>
    </w:p>
    <w:p w:rsidR="00000000" w:rsidRDefault="00000000">
      <w:pPr>
        <w:pStyle w:val="ParaNo"/>
        <w:tabs>
          <w:tab w:val="clear" w:pos="360"/>
        </w:tabs>
        <w:ind w:left="0" w:firstLine="0"/>
        <w:rPr>
          <w:lang w:val="en-GB"/>
        </w:rPr>
      </w:pPr>
      <w:r>
        <w:rPr>
          <w:lang w:val="en-GB"/>
        </w:rPr>
        <w:t>With the privatization of the State-owned buildings in 1993, the sector of publicly owned buildings for rent was closed.  The prevailing form is now ownership of the building, in 98 per cent of the cases.  The rental market is established, especially in the main cities of the country where there is migration of population, but there are no precise data on the percentage or number of buildings for rent.  This is due to lack of declaration of such cases in order to avoid taxes.  Rent in the private sector is not controlled or regulated by the State.</w:t>
      </w:r>
    </w:p>
    <w:p w:rsidR="00000000" w:rsidRDefault="00000000">
      <w:pPr>
        <w:pStyle w:val="Heading3"/>
      </w:pPr>
      <w:r>
        <w:t>Legal framework</w:t>
      </w:r>
    </w:p>
    <w:p w:rsidR="00000000" w:rsidRDefault="00000000">
      <w:pPr>
        <w:pStyle w:val="ParaNo"/>
        <w:tabs>
          <w:tab w:val="clear" w:pos="360"/>
        </w:tabs>
        <w:ind w:left="0" w:firstLine="0"/>
        <w:rPr>
          <w:lang w:val="en-GB"/>
        </w:rPr>
      </w:pPr>
      <w:r>
        <w:rPr>
          <w:lang w:val="en-GB"/>
        </w:rPr>
        <w:t>There is no legal act providing the right to housing.  The Constitution of the Republic of Albania provides for the housing of the population as one of the social objectives of the State, which should be realized with regard to the current State means and private initiative.</w:t>
      </w:r>
    </w:p>
    <w:p w:rsidR="00000000" w:rsidRDefault="00000000">
      <w:pPr>
        <w:pStyle w:val="ParaNo"/>
        <w:tabs>
          <w:tab w:val="clear" w:pos="360"/>
        </w:tabs>
        <w:ind w:left="0" w:firstLine="0"/>
        <w:rPr>
          <w:lang w:val="en-GB"/>
        </w:rPr>
      </w:pPr>
      <w:r>
        <w:rPr>
          <w:lang w:val="en-GB"/>
        </w:rPr>
        <w:t>Law No. 8030, dated 15 November 1995, “On the State contribution for houseless families” and its amendments and sub-legislative acts, are the main documents providing for the financial obligation of the State for the houseless and the form of the devolution of such contribution to the houseless families resulting from the application of Law No. 7652, dated 23 December 1992, “On the privatization of State-owned buildings” and sub-legislative acts issued for its implementation.</w:t>
      </w:r>
    </w:p>
    <w:p w:rsidR="00000000" w:rsidRDefault="00000000">
      <w:pPr>
        <w:pStyle w:val="ParaNo"/>
        <w:tabs>
          <w:tab w:val="clear" w:pos="360"/>
        </w:tabs>
        <w:ind w:left="0" w:firstLine="0"/>
        <w:rPr>
          <w:lang w:val="en-GB"/>
        </w:rPr>
      </w:pPr>
      <w:r>
        <w:rPr>
          <w:lang w:val="en-GB"/>
        </w:rPr>
        <w:t>This law also provides the form of State aid to houseless families, based on the total age of the family and number of its members, as well as the form of financing for the houseless families, by also creating possibilities to benefit from the free market for land and buildings.  Legislation in force with regard to housing, houseless individuals, municipal companies also includes:</w:t>
      </w:r>
    </w:p>
    <w:p w:rsidR="00000000" w:rsidRDefault="00000000">
      <w:pPr>
        <w:numPr>
          <w:ilvl w:val="0"/>
          <w:numId w:val="199"/>
        </w:numPr>
      </w:pPr>
      <w:r>
        <w:t>Law No. 7652, dated 23 December 1992, “On the privatization of State-owned buildings”;</w:t>
      </w:r>
    </w:p>
    <w:p w:rsidR="00000000" w:rsidRDefault="00000000">
      <w:pPr>
        <w:numPr>
          <w:ilvl w:val="0"/>
          <w:numId w:val="199"/>
        </w:numPr>
      </w:pPr>
      <w:r>
        <w:t>Law No. 8030, dated 15 November 1995, “On the State contribution for the houseless families”;</w:t>
      </w:r>
    </w:p>
    <w:p w:rsidR="00000000" w:rsidRDefault="00000000">
      <w:pPr>
        <w:numPr>
          <w:ilvl w:val="0"/>
          <w:numId w:val="199"/>
        </w:numPr>
      </w:pPr>
      <w:r>
        <w:t>Law No. 8647, dated 24 July 2000, “On some amendments to Law No. 8030, dated 15 November 1995”;</w:t>
      </w:r>
    </w:p>
    <w:p w:rsidR="00000000" w:rsidRDefault="00000000">
      <w:pPr>
        <w:numPr>
          <w:ilvl w:val="0"/>
          <w:numId w:val="199"/>
        </w:numPr>
      </w:pPr>
      <w:r>
        <w:t>Decision of the Council of Ministers (DCM) No. 49, dated 29 January 1993, “On the determination of the criteria for the houseless”;</w:t>
      </w:r>
    </w:p>
    <w:p w:rsidR="00000000" w:rsidRDefault="00000000">
      <w:pPr>
        <w:numPr>
          <w:ilvl w:val="0"/>
          <w:numId w:val="199"/>
        </w:numPr>
      </w:pPr>
      <w:r>
        <w:t>DCM No. 249, dated 16 April 1996, “On the procedures of the financial operations for the crediting and State subventions that shall be performed by the Savings Bank in accordance with the law on the State contribution for the houseless families”;</w:t>
      </w:r>
    </w:p>
    <w:p w:rsidR="00000000" w:rsidRDefault="00000000">
      <w:pPr>
        <w:numPr>
          <w:ilvl w:val="0"/>
          <w:numId w:val="199"/>
        </w:numPr>
      </w:pPr>
      <w:r>
        <w:t>DCM No. 250, dated 16 April 1996, “On the procedures and priorities in implementation of Law No. 8030, dated 15 November 1995, on the State contribution for houseless families”;</w:t>
      </w:r>
    </w:p>
    <w:p w:rsidR="00000000" w:rsidRDefault="00000000">
      <w:pPr>
        <w:numPr>
          <w:ilvl w:val="0"/>
          <w:numId w:val="199"/>
        </w:numPr>
      </w:pPr>
      <w:r>
        <w:t>DCM No. 153, dated 22 March 2001, “On the procedures of the financial operations for the implementation of Law No. 8030, dated 15 November 1996, amended with Law No. 8647, dated 24 July 2000”;</w:t>
      </w:r>
    </w:p>
    <w:p w:rsidR="00000000" w:rsidRDefault="00000000">
      <w:pPr>
        <w:numPr>
          <w:ilvl w:val="0"/>
          <w:numId w:val="199"/>
        </w:numPr>
      </w:pPr>
      <w:r>
        <w:t>DCM No. 321, dated 5 July 1999, “On the approval of fund distribution according to the districts, procedures of admission of families benefiting from the crediting conditions, in relation to the Greek credit for housing”;</w:t>
      </w:r>
    </w:p>
    <w:p w:rsidR="00000000" w:rsidRDefault="00000000">
      <w:pPr>
        <w:numPr>
          <w:ilvl w:val="0"/>
          <w:numId w:val="199"/>
        </w:numPr>
      </w:pPr>
      <w:r>
        <w:t>DCM No. 632, “On the form of payment of the house that the blind of the first category obtain by the National Housing Entity”;</w:t>
      </w:r>
    </w:p>
    <w:p w:rsidR="00000000" w:rsidRDefault="00000000">
      <w:pPr>
        <w:numPr>
          <w:ilvl w:val="0"/>
          <w:numId w:val="199"/>
        </w:numPr>
      </w:pPr>
      <w:r>
        <w:t>DCM No. 316, dated 4 July 2002, “On the form of housing treatment for orphans”;</w:t>
      </w:r>
    </w:p>
    <w:p w:rsidR="00000000" w:rsidRDefault="00000000">
      <w:pPr>
        <w:numPr>
          <w:ilvl w:val="0"/>
          <w:numId w:val="199"/>
        </w:numPr>
      </w:pPr>
      <w:r>
        <w:t>DCM No. 407, dated 29 August 2002, “On the form of housing treatment for invalids, paraplegics and tetraplegics”.</w:t>
      </w:r>
    </w:p>
    <w:p w:rsidR="00000000" w:rsidRDefault="00000000">
      <w:pPr>
        <w:pStyle w:val="ParaNo"/>
        <w:tabs>
          <w:tab w:val="clear" w:pos="360"/>
        </w:tabs>
        <w:ind w:left="0" w:firstLine="0"/>
        <w:rPr>
          <w:lang w:val="en-GB"/>
        </w:rPr>
      </w:pPr>
      <w:r>
        <w:rPr>
          <w:lang w:val="en-GB"/>
        </w:rPr>
        <w:t>Legislation with regard to the use of land, its distribution, expropriation, compensation, land planning and procedures on the involvement of the community includes:</w:t>
      </w:r>
    </w:p>
    <w:p w:rsidR="00000000" w:rsidRDefault="00000000">
      <w:pPr>
        <w:numPr>
          <w:ilvl w:val="0"/>
          <w:numId w:val="199"/>
        </w:numPr>
      </w:pPr>
      <w:r>
        <w:t>Law No. 8405, dated 17 September 1998, “On urbanistics”;</w:t>
      </w:r>
    </w:p>
    <w:p w:rsidR="00000000" w:rsidRDefault="00000000">
      <w:pPr>
        <w:numPr>
          <w:ilvl w:val="0"/>
          <w:numId w:val="199"/>
        </w:numPr>
      </w:pPr>
      <w:r>
        <w:t>Law No. 8561, “On expropriations and temporary use of private property for public interest”;</w:t>
      </w:r>
    </w:p>
    <w:p w:rsidR="00000000" w:rsidRDefault="00000000">
      <w:r>
        <w:t>Legislation with regard to the right of users for the guarantee of the property, protection from expulsion, on the financing of housing and control over the rent system, possibilities for housing includes:</w:t>
      </w:r>
    </w:p>
    <w:p w:rsidR="00000000" w:rsidRDefault="00000000">
      <w:pPr>
        <w:numPr>
          <w:ilvl w:val="0"/>
          <w:numId w:val="199"/>
        </w:numPr>
      </w:pPr>
      <w:r>
        <w:t>Article 411 of the Constitution of the Republic of Albania, guarantees property;</w:t>
      </w:r>
    </w:p>
    <w:p w:rsidR="00000000" w:rsidRDefault="00000000">
      <w:pPr>
        <w:numPr>
          <w:ilvl w:val="0"/>
          <w:numId w:val="199"/>
        </w:numPr>
      </w:pPr>
      <w:r>
        <w:t>Financing of housing:  Law No. 8379, dated 29 July 1998, “On the drafting and implementation of the State budget in the Republic of Albania”;</w:t>
      </w:r>
    </w:p>
    <w:p w:rsidR="00000000" w:rsidRDefault="00000000">
      <w:pPr>
        <w:numPr>
          <w:ilvl w:val="0"/>
          <w:numId w:val="199"/>
        </w:numPr>
      </w:pPr>
      <w:r>
        <w:t>There is no law for the control over the rent system;</w:t>
      </w:r>
    </w:p>
    <w:p w:rsidR="00000000" w:rsidRDefault="00000000">
      <w:r>
        <w:t>Legislation with regard to codes, construction norms, standards and dispositions on infrastructure includes:</w:t>
      </w:r>
    </w:p>
    <w:p w:rsidR="00000000" w:rsidRDefault="00000000">
      <w:pPr>
        <w:numPr>
          <w:ilvl w:val="0"/>
          <w:numId w:val="199"/>
        </w:numPr>
      </w:pPr>
      <w:r>
        <w:t>There is no law or decision on the codes; and</w:t>
      </w:r>
    </w:p>
    <w:p w:rsidR="00000000" w:rsidRDefault="00000000">
      <w:pPr>
        <w:numPr>
          <w:ilvl w:val="0"/>
          <w:numId w:val="199"/>
        </w:numPr>
      </w:pPr>
      <w:r>
        <w:t>For construction norms, there is Law No. 8402, dated 10 September 1998, “On the control and regulation of the construction works”, Instruction No. 3, dated 15 February 2001, “On the supervision and certification of the construction works”.</w:t>
      </w:r>
    </w:p>
    <w:p w:rsidR="00000000" w:rsidRDefault="00000000">
      <w:pPr>
        <w:pStyle w:val="ParaNo"/>
        <w:tabs>
          <w:tab w:val="clear" w:pos="360"/>
        </w:tabs>
        <w:ind w:left="0" w:firstLine="0"/>
        <w:rPr>
          <w:lang w:val="en-GB"/>
        </w:rPr>
      </w:pPr>
      <w:r>
        <w:rPr>
          <w:lang w:val="en-GB"/>
        </w:rPr>
        <w:br w:type="page"/>
        <w:t>A very problematic issue, not only for the Civil Status Service, is the lack of addresses in the cities.  According to Law No. 8652, dated 31 July 2000, “On the organization and functioning of local government bodies”, article 8, point 1/VII/b, the local government units determine the denominations of the territories.  Nevertheless, despite the frequent requests, such right has not been exercised.  In addition, it is uncertain if there is a legal obligation to post the numbers of the apartments in the new buildings.  The Civil Status Service finds very problematic the lack of street addresses.</w:t>
      </w:r>
    </w:p>
    <w:p w:rsidR="00000000" w:rsidRDefault="00000000">
      <w:pPr>
        <w:pStyle w:val="ParaNo"/>
        <w:tabs>
          <w:tab w:val="clear" w:pos="360"/>
        </w:tabs>
        <w:ind w:left="0" w:firstLine="0"/>
        <w:rPr>
          <w:szCs w:val="28"/>
          <w:lang w:val="en-GB"/>
        </w:rPr>
      </w:pPr>
      <w:r>
        <w:rPr>
          <w:lang w:val="en-GB"/>
        </w:rPr>
        <w:t>Current legislation does not exclude or discriminate against groups, who traditionally may have been unprotected.  But, on the other hand, there is no law that may facilitate their access to housing.  In particular, the legislation protects from discrimination groups with special status such as the blind, orphans and invalids.</w:t>
      </w:r>
    </w:p>
    <w:p w:rsidR="00000000" w:rsidRDefault="00000000">
      <w:pPr>
        <w:pStyle w:val="ParaNo"/>
        <w:tabs>
          <w:tab w:val="clear" w:pos="360"/>
        </w:tabs>
        <w:ind w:left="0" w:firstLine="0"/>
        <w:rPr>
          <w:szCs w:val="28"/>
          <w:lang w:val="en-GB"/>
        </w:rPr>
      </w:pPr>
      <w:r>
        <w:rPr>
          <w:lang w:val="en-GB"/>
        </w:rPr>
        <w:t>There is no law or decision forbidding the expulsion from a house.</w:t>
      </w:r>
    </w:p>
    <w:p w:rsidR="00000000" w:rsidRDefault="00000000">
      <w:pPr>
        <w:pStyle w:val="Heading3"/>
      </w:pPr>
      <w:r>
        <w:t>Existing legislative reform as a result of the implementation of the right to housing</w:t>
      </w:r>
    </w:p>
    <w:p w:rsidR="00000000" w:rsidRDefault="00000000">
      <w:pPr>
        <w:pStyle w:val="ParaNo"/>
        <w:tabs>
          <w:tab w:val="clear" w:pos="360"/>
        </w:tabs>
        <w:ind w:left="0" w:firstLine="0"/>
        <w:rPr>
          <w:lang w:val="en-GB"/>
        </w:rPr>
      </w:pPr>
      <w:r>
        <w:rPr>
          <w:lang w:val="en-GB"/>
        </w:rPr>
        <w:t>In this framework the law “On the housing of the urban population” was drafted, which reforms the existing laws and protects the right for housing of the citizens with low income and in difficult housing conditions.  Such a law is in the phase of revision.</w:t>
      </w:r>
    </w:p>
    <w:p w:rsidR="00000000" w:rsidRDefault="00000000">
      <w:pPr>
        <w:pStyle w:val="ParaNo"/>
        <w:tabs>
          <w:tab w:val="clear" w:pos="360"/>
        </w:tabs>
        <w:ind w:left="0" w:firstLine="0"/>
        <w:rPr>
          <w:lang w:val="en-GB"/>
        </w:rPr>
      </w:pPr>
      <w:r>
        <w:rPr>
          <w:lang w:val="en-GB"/>
        </w:rPr>
        <w:t>There is no legislation limiting speculation on housing or property, especially when it has a negative influence on the fulfilment on the housing right in all sectors of the society.  One of the measures for the legalization of the unregulated buildings is the drafting of the law on the legalization of unregulated constructions.</w:t>
      </w:r>
    </w:p>
    <w:p w:rsidR="00000000" w:rsidRDefault="00000000">
      <w:pPr>
        <w:pStyle w:val="Heading3"/>
      </w:pPr>
      <w:r>
        <w:t>Programmes and the national strategy on housing</w:t>
      </w:r>
    </w:p>
    <w:p w:rsidR="00000000" w:rsidRDefault="00000000">
      <w:pPr>
        <w:pStyle w:val="ParaNo"/>
        <w:tabs>
          <w:tab w:val="clear" w:pos="360"/>
        </w:tabs>
        <w:ind w:left="0" w:firstLine="0"/>
        <w:rPr>
          <w:lang w:val="en-GB"/>
        </w:rPr>
      </w:pPr>
      <w:r>
        <w:rPr>
          <w:lang w:val="en-GB"/>
        </w:rPr>
        <w:t>Measures aim at the establishment of possibilities within the community and the informal sector for the erection of houses and similar services.  Several programmes of management of urban land that are being implemented by the Ministry of Territory Adjustment and Tourism, under the assistance of the World Bank, are included also in the work plan for the National Housing Strategy:</w:t>
      </w:r>
    </w:p>
    <w:p w:rsidR="00000000" w:rsidRDefault="00000000">
      <w:pPr>
        <w:numPr>
          <w:ilvl w:val="0"/>
          <w:numId w:val="203"/>
        </w:numPr>
      </w:pPr>
      <w:r>
        <w:t>Legal aspects of the programme:</w:t>
      </w:r>
    </w:p>
    <w:p w:rsidR="00000000" w:rsidRDefault="00000000">
      <w:pPr>
        <w:numPr>
          <w:ilvl w:val="0"/>
          <w:numId w:val="204"/>
        </w:numPr>
      </w:pPr>
      <w:r>
        <w:t>Determination and approval of the minimum standards (realistic) on the land surfaces and infrastructural services;</w:t>
      </w:r>
    </w:p>
    <w:p w:rsidR="00000000" w:rsidRDefault="00000000">
      <w:pPr>
        <w:numPr>
          <w:ilvl w:val="0"/>
          <w:numId w:val="204"/>
        </w:numPr>
      </w:pPr>
      <w:r>
        <w:t>The establishment of the legal ground for the “re-parcelling” of the land;</w:t>
      </w:r>
    </w:p>
    <w:p w:rsidR="00000000" w:rsidRDefault="00000000">
      <w:pPr>
        <w:numPr>
          <w:ilvl w:val="0"/>
          <w:numId w:val="204"/>
        </w:numPr>
      </w:pPr>
      <w:r>
        <w:t>The review and establishment of various forms of guarantee of the property in relation to the conditions and needs;</w:t>
      </w:r>
    </w:p>
    <w:p w:rsidR="00000000" w:rsidRDefault="00000000">
      <w:pPr>
        <w:numPr>
          <w:ilvl w:val="0"/>
          <w:numId w:val="203"/>
        </w:numPr>
      </w:pPr>
      <w:r>
        <w:br w:type="page"/>
        <w:t>Financial aspects of the programme:</w:t>
      </w:r>
    </w:p>
    <w:p w:rsidR="00000000" w:rsidRDefault="00000000">
      <w:pPr>
        <w:numPr>
          <w:ilvl w:val="0"/>
          <w:numId w:val="204"/>
        </w:numPr>
      </w:pPr>
      <w:r>
        <w:t>Establishment of a separate fund for the repair of buildings with the contributions of the inhabitants and central and local authorities.  Combination of the amelioration projects with the possibility of purchase and various public financial resources;</w:t>
      </w:r>
    </w:p>
    <w:p w:rsidR="00000000" w:rsidRDefault="00000000">
      <w:pPr>
        <w:numPr>
          <w:ilvl w:val="0"/>
          <w:numId w:val="204"/>
        </w:numPr>
      </w:pPr>
      <w:r>
        <w:t>Providing various credit facilities for families and communities depending on the conditions and needs.</w:t>
      </w:r>
    </w:p>
    <w:p w:rsidR="00000000" w:rsidRDefault="00000000">
      <w:pPr>
        <w:pStyle w:val="ParaNo"/>
        <w:tabs>
          <w:tab w:val="clear" w:pos="360"/>
        </w:tabs>
        <w:ind w:left="0" w:firstLine="0"/>
        <w:rPr>
          <w:lang w:val="en-GB"/>
        </w:rPr>
      </w:pPr>
      <w:r>
        <w:rPr>
          <w:lang w:val="en-GB"/>
        </w:rPr>
        <w:t>Organizations aiming at the establishment of housing possibilities are free to act.  The State (in such a case through the Ministry of Territory Adjustment and Tourism) assists by financing the projects that shall be implemented by the organizations, but not for the organization itself.</w:t>
      </w:r>
    </w:p>
    <w:p w:rsidR="00000000" w:rsidRDefault="00000000">
      <w:pPr>
        <w:pStyle w:val="ParaNo"/>
        <w:tabs>
          <w:tab w:val="clear" w:pos="360"/>
        </w:tabs>
        <w:ind w:left="0" w:firstLine="0"/>
        <w:rPr>
          <w:lang w:val="en-GB"/>
        </w:rPr>
      </w:pPr>
      <w:r>
        <w:rPr>
          <w:lang w:val="en-GB"/>
        </w:rPr>
        <w:t>Every year from the State budget funds are granted for the construction of buildings for the houseless categories, which are bought by these families and are repaid in long-term instalments within 25 years.</w:t>
      </w:r>
    </w:p>
    <w:p w:rsidR="00000000" w:rsidRDefault="00000000">
      <w:pPr>
        <w:pStyle w:val="ParaNo"/>
        <w:tabs>
          <w:tab w:val="clear" w:pos="360"/>
        </w:tabs>
        <w:ind w:left="0" w:firstLine="0"/>
        <w:rPr>
          <w:lang w:val="en-GB"/>
        </w:rPr>
      </w:pPr>
      <w:r>
        <w:rPr>
          <w:lang w:val="en-GB"/>
        </w:rPr>
        <w:t>Among the measures adopted for the transfer of unused land, either insufficiently used or misused, the law “On the legalization of abusive constructions” has been drafted.  Financial measures adopted by the State for housing include the following:</w:t>
      </w:r>
    </w:p>
    <w:p w:rsidR="00000000" w:rsidRDefault="00000000">
      <w:pPr>
        <w:numPr>
          <w:ilvl w:val="0"/>
          <w:numId w:val="199"/>
        </w:numPr>
        <w:tabs>
          <w:tab w:val="left" w:pos="5670"/>
        </w:tabs>
      </w:pPr>
      <w:r>
        <w:t>Total investments (in thousands of leks):</w:t>
      </w:r>
      <w:r>
        <w:tab/>
        <w:t>350,000;</w:t>
      </w:r>
    </w:p>
    <w:p w:rsidR="00000000" w:rsidRDefault="00000000">
      <w:pPr>
        <w:numPr>
          <w:ilvl w:val="0"/>
          <w:numId w:val="199"/>
        </w:numPr>
        <w:tabs>
          <w:tab w:val="left" w:pos="5670"/>
        </w:tabs>
      </w:pPr>
      <w:r>
        <w:t>Investments in building construction:</w:t>
      </w:r>
      <w:r>
        <w:tab/>
        <w:t>183,201;</w:t>
      </w:r>
    </w:p>
    <w:p w:rsidR="00000000" w:rsidRDefault="00000000">
      <w:pPr>
        <w:numPr>
          <w:ilvl w:val="0"/>
          <w:numId w:val="199"/>
        </w:numPr>
        <w:tabs>
          <w:tab w:val="left" w:pos="5670"/>
        </w:tabs>
      </w:pPr>
      <w:r>
        <w:t>Acquisition of houses:</w:t>
      </w:r>
      <w:r>
        <w:tab/>
        <w:t>166,799.</w:t>
      </w:r>
    </w:p>
    <w:p w:rsidR="00000000" w:rsidRDefault="00000000">
      <w:pPr>
        <w:pStyle w:val="ParaNo"/>
        <w:tabs>
          <w:tab w:val="clear" w:pos="360"/>
        </w:tabs>
        <w:ind w:left="0" w:firstLine="0"/>
        <w:rPr>
          <w:lang w:val="en-GB"/>
        </w:rPr>
      </w:pPr>
      <w:r>
        <w:rPr>
          <w:lang w:val="en-GB"/>
        </w:rPr>
        <w:t>Every year funds are granted by the State budget, municipalities and communes, for the drafting of urban studies that include studies for the rehabilitation of the centres of the cities, etc.  For 2003 such funds amounted to 114,510,000 leks.  The local authorities intervene for urban ameliorations.  There is no legal ground for the prevention of arbitrary expulsion.</w:t>
      </w:r>
    </w:p>
    <w:p w:rsidR="00000000" w:rsidRDefault="00000000">
      <w:pPr>
        <w:pStyle w:val="ParaNo"/>
        <w:tabs>
          <w:tab w:val="clear" w:pos="360"/>
        </w:tabs>
        <w:rPr>
          <w:lang w:val="en-GB"/>
        </w:rPr>
      </w:pPr>
      <w:r>
        <w:rPr>
          <w:lang w:val="en-GB"/>
        </w:rPr>
        <w:t>In the National Strategy for Urban Development, which has been drafted, measures are foreseen for the development of small and medium-sized urban and rural areas, with special attention to rural areas.</w:t>
      </w:r>
    </w:p>
    <w:p w:rsidR="00000000" w:rsidRDefault="00000000">
      <w:pPr>
        <w:pStyle w:val="Heading3"/>
      </w:pPr>
      <w:r>
        <w:t>Difficulties encountered in the fulfilment of the right to housing and measures adopted for improvement of the situation</w:t>
      </w:r>
    </w:p>
    <w:p w:rsidR="00000000" w:rsidRDefault="00000000">
      <w:pPr>
        <w:pStyle w:val="ParaNo"/>
        <w:tabs>
          <w:tab w:val="clear" w:pos="360"/>
        </w:tabs>
        <w:ind w:left="0" w:firstLine="0"/>
        <w:rPr>
          <w:lang w:val="en-GB"/>
        </w:rPr>
      </w:pPr>
      <w:r>
        <w:rPr>
          <w:lang w:val="en-GB"/>
        </w:rPr>
        <w:t>The housing policy implemented over the last 10 years has been a reaction against the consequences of transition.  Such a policy has replied to this process and emerging problems, such as the privatization of State-owned buildings, financial support for families who could not privatize their houses for different reasons, families of ex-political prisoners, families who lost their homes in pyramid schemes, etc.</w:t>
      </w:r>
    </w:p>
    <w:p w:rsidR="00000000" w:rsidRDefault="00000000">
      <w:pPr>
        <w:pStyle w:val="ParaNo"/>
        <w:tabs>
          <w:tab w:val="clear" w:pos="360"/>
        </w:tabs>
        <w:ind w:left="0" w:firstLine="0"/>
        <w:rPr>
          <w:lang w:val="en-GB"/>
        </w:rPr>
      </w:pPr>
      <w:r>
        <w:rPr>
          <w:lang w:val="en-GB"/>
        </w:rPr>
        <w:br w:type="page"/>
        <w:t>The policies drafted aimed at an immediate solution and were not designed for long</w:t>
      </w:r>
      <w:r>
        <w:rPr>
          <w:lang w:val="en-GB"/>
        </w:rPr>
        <w:noBreakHyphen/>
        <w:t>term and stable solutions.  For such a reason, many families registered on the houseless lists, as a result of the rise of interest rates for housing, cannot afford the repayment of loans, and many other families on these lists have no access to affordable houses, either by ownership or for rent.</w:t>
      </w:r>
    </w:p>
    <w:p w:rsidR="00000000" w:rsidRDefault="00000000">
      <w:pPr>
        <w:pStyle w:val="ParaNo"/>
        <w:tabs>
          <w:tab w:val="clear" w:pos="360"/>
        </w:tabs>
        <w:ind w:left="0" w:firstLine="0"/>
        <w:rPr>
          <w:lang w:val="en-GB"/>
        </w:rPr>
      </w:pPr>
      <w:r>
        <w:rPr>
          <w:lang w:val="en-GB"/>
        </w:rPr>
        <w:t xml:space="preserve">The objectives of housing policies in coming years will aim to create legislative space, financial and institutional, so different classes of society have access to affordable housing, by adapting the universal human right to proper housing to the economic, social and environmental conditions of the country. </w:t>
      </w:r>
    </w:p>
    <w:p w:rsidR="00000000" w:rsidRDefault="00000000">
      <w:pPr>
        <w:pStyle w:val="ParaNo"/>
        <w:tabs>
          <w:tab w:val="clear" w:pos="360"/>
        </w:tabs>
        <w:ind w:left="0" w:firstLine="0"/>
        <w:rPr>
          <w:lang w:val="en-GB"/>
        </w:rPr>
      </w:pPr>
      <w:r>
        <w:rPr>
          <w:lang w:val="en-GB"/>
        </w:rPr>
        <w:t>This will be reached through the integration of housing policies with policies of other sectors such as the economy, labour market development, the increase of employment through the encouragement of the private housing construction, decreasing poverty through the enhancement of competition in the private sector and through the coordination of the social assistance policies with the assistance for housing for the marginalized classes.</w:t>
      </w:r>
    </w:p>
    <w:p w:rsidR="00000000" w:rsidRDefault="00000000">
      <w:pPr>
        <w:pStyle w:val="Heading3"/>
      </w:pPr>
      <w:r>
        <w:t>International cooperation</w:t>
      </w:r>
    </w:p>
    <w:p w:rsidR="00000000" w:rsidRDefault="00000000">
      <w:pPr>
        <w:pStyle w:val="ParaNo"/>
        <w:tabs>
          <w:tab w:val="clear" w:pos="360"/>
        </w:tabs>
        <w:ind w:left="0" w:firstLine="0"/>
        <w:rPr>
          <w:color w:val="000000"/>
          <w:szCs w:val="26"/>
          <w:lang w:val="en-GB"/>
        </w:rPr>
      </w:pPr>
      <w:r>
        <w:rPr>
          <w:color w:val="000000"/>
          <w:szCs w:val="26"/>
          <w:lang w:val="en-GB"/>
        </w:rPr>
        <w:t>In 1993 the World Bank granted a credit of US$ 20 million for financing the construction of semi-abandoned dwellings.  There is no final assessment as to how this project has achieved its goals, although this project has also been challenged as to the efficiency of using this credit.</w:t>
      </w:r>
    </w:p>
    <w:p w:rsidR="00000000" w:rsidRDefault="00000000">
      <w:pPr>
        <w:pStyle w:val="ParaNo"/>
        <w:tabs>
          <w:tab w:val="clear" w:pos="360"/>
        </w:tabs>
        <w:ind w:left="0" w:firstLine="0"/>
        <w:rPr>
          <w:color w:val="000000"/>
          <w:szCs w:val="26"/>
          <w:lang w:val="en-GB"/>
        </w:rPr>
      </w:pPr>
      <w:r>
        <w:rPr>
          <w:color w:val="000000"/>
          <w:szCs w:val="26"/>
          <w:lang w:val="en-GB"/>
        </w:rPr>
        <w:t>An agreement between the Governments of Albania and Greece on financing a credit of 5 billion drachma (equal to US$ 16 million) for homeless families who had lost their houses owing to pyramid schemes.  This programme is being implemented rigorously, based on the monitoring indicators designated by the Ministry of Labour and Social Affairs.</w:t>
      </w:r>
    </w:p>
    <w:p w:rsidR="00000000" w:rsidRDefault="00000000">
      <w:pPr>
        <w:pStyle w:val="Heading2"/>
      </w:pPr>
      <w:r>
        <w:t>Article 12</w:t>
      </w:r>
    </w:p>
    <w:p w:rsidR="00000000" w:rsidRDefault="00000000">
      <w:pPr>
        <w:pStyle w:val="Heading2"/>
      </w:pPr>
      <w:r>
        <w:t>Right to public health care</w:t>
      </w:r>
    </w:p>
    <w:p w:rsidR="00000000" w:rsidRDefault="00000000">
      <w:pPr>
        <w:pStyle w:val="ParaNo"/>
        <w:tabs>
          <w:tab w:val="clear" w:pos="360"/>
        </w:tabs>
        <w:ind w:left="0" w:firstLine="0"/>
        <w:rPr>
          <w:lang w:val="en-GB"/>
        </w:rPr>
      </w:pPr>
      <w:r>
        <w:rPr>
          <w:color w:val="000000"/>
          <w:szCs w:val="26"/>
          <w:lang w:val="en-GB"/>
        </w:rPr>
        <w:t>Studies</w:t>
      </w:r>
      <w:r>
        <w:rPr>
          <w:lang w:val="en-GB"/>
        </w:rPr>
        <w:t xml:space="preserve"> and the evaluation of the health situation through statistical indicators is part of the overall assessment of the health-care system in Albania, with the final goal of further consolidation and improvement of its services</w:t>
      </w:r>
      <w:r>
        <w:rPr>
          <w:color w:val="000000"/>
          <w:szCs w:val="26"/>
          <w:lang w:val="en-GB"/>
        </w:rPr>
        <w:t xml:space="preserve">.  </w:t>
      </w:r>
      <w:r>
        <w:rPr>
          <w:lang w:val="en-GB"/>
        </w:rPr>
        <w:t>The transition period caused difficulties and problems with the health-care system in general</w:t>
      </w:r>
      <w:r>
        <w:rPr>
          <w:color w:val="000000"/>
          <w:szCs w:val="26"/>
          <w:lang w:val="en-GB"/>
        </w:rPr>
        <w:t xml:space="preserve">.  </w:t>
      </w:r>
      <w:r>
        <w:rPr>
          <w:lang w:val="en-GB"/>
        </w:rPr>
        <w:t>Nevertheless, the main indicators show a consistent trend of improvement both in primary health care and hospital services</w:t>
      </w:r>
      <w:r>
        <w:rPr>
          <w:color w:val="000000"/>
          <w:szCs w:val="26"/>
          <w:lang w:val="en-GB"/>
        </w:rPr>
        <w:t xml:space="preserve">.  </w:t>
      </w:r>
      <w:r>
        <w:rPr>
          <w:lang w:val="en-GB"/>
        </w:rPr>
        <w:t>A positive characteristic of the Albanian population is that it is a young one, with an average age of 29 years, and life expectancy of 74 years for women and 68 years for men, which are almost the same as the average indicators of the neighbouring countries.</w:t>
      </w:r>
    </w:p>
    <w:p w:rsidR="00000000" w:rsidRDefault="00000000">
      <w:pPr>
        <w:pStyle w:val="ParaNo"/>
        <w:tabs>
          <w:tab w:val="clear" w:pos="360"/>
        </w:tabs>
        <w:ind w:left="0" w:firstLine="0"/>
      </w:pPr>
      <w:r>
        <w:t>The total number of public institutions of primary health care such as health-care centres, polyclinics, woman and child consultancy centres, family planning centres, etc., and the intensity of their main activities, has dropped during the last decade</w:t>
      </w:r>
      <w:r>
        <w:rPr>
          <w:color w:val="000000"/>
          <w:szCs w:val="26"/>
        </w:rPr>
        <w:t xml:space="preserve">.  </w:t>
      </w:r>
      <w:r>
        <w:t xml:space="preserve">This is due to reorganization of these services, creation of new and more appropriate facilities, improvement of the quality of services, </w:t>
      </w:r>
    </w:p>
    <w:p w:rsidR="00000000" w:rsidRDefault="00000000">
      <w:r>
        <w:br w:type="page"/>
        <w:t>as well as the creation and consolidation of the private sector</w:t>
      </w:r>
      <w:r>
        <w:rPr>
          <w:color w:val="000000"/>
          <w:szCs w:val="26"/>
        </w:rPr>
        <w:t xml:space="preserve">.  </w:t>
      </w:r>
      <w:r>
        <w:t>Recently the private sector has been massively expanding</w:t>
      </w:r>
      <w:r>
        <w:rPr>
          <w:color w:val="000000"/>
          <w:szCs w:val="26"/>
        </w:rPr>
        <w:t>.  D</w:t>
      </w:r>
      <w:r>
        <w:t>rugstores and dental clinics are almost all private, but private clinics are increasingly present in medical analysis and diagnostic services.</w:t>
      </w:r>
    </w:p>
    <w:p w:rsidR="00000000" w:rsidRDefault="00000000">
      <w:pPr>
        <w:pStyle w:val="ParaNo"/>
        <w:tabs>
          <w:tab w:val="clear" w:pos="360"/>
        </w:tabs>
        <w:ind w:left="0" w:firstLine="0"/>
        <w:rPr>
          <w:lang w:val="en-GB"/>
        </w:rPr>
      </w:pPr>
      <w:r>
        <w:rPr>
          <w:lang w:val="en-GB"/>
        </w:rPr>
        <w:t>The public hospitals and the data collected through these services provide important information serving as the starting point for assessing health indicators - epidemiological, death statistics, human resources, etc</w:t>
      </w:r>
      <w:r>
        <w:rPr>
          <w:color w:val="000000"/>
          <w:szCs w:val="26"/>
          <w:lang w:val="en-GB"/>
        </w:rPr>
        <w:t xml:space="preserve">.  </w:t>
      </w:r>
      <w:r>
        <w:rPr>
          <w:lang w:val="en-GB"/>
        </w:rPr>
        <w:t>The ongoing reform in the sector of hospital services is improving the quality and diversity of the services through concentrating these services in the main regional hospitals where modern facilities and equipments are available</w:t>
      </w:r>
      <w:r>
        <w:rPr>
          <w:color w:val="000000"/>
          <w:szCs w:val="26"/>
          <w:lang w:val="en-GB"/>
        </w:rPr>
        <w:t xml:space="preserve">.  </w:t>
      </w:r>
      <w:r>
        <w:rPr>
          <w:lang w:val="en-GB"/>
        </w:rPr>
        <w:t>Nevertheless, the situation is not satisfactory as far as certain groups of diseases (respiratory, gastrointestinal, infectious, urogenital, blood circulation problems, heart and cerebral attacks) are concerned.</w:t>
      </w:r>
    </w:p>
    <w:p w:rsidR="00000000" w:rsidRDefault="00000000">
      <w:pPr>
        <w:pStyle w:val="ParaNo"/>
        <w:tabs>
          <w:tab w:val="clear" w:pos="360"/>
        </w:tabs>
        <w:ind w:left="0" w:firstLine="0"/>
        <w:rPr>
          <w:lang w:val="en-GB"/>
        </w:rPr>
      </w:pPr>
      <w:r>
        <w:rPr>
          <w:lang w:val="en-GB"/>
        </w:rPr>
        <w:t>The public health-care system is still not able to satisfy the needs for qualitative services because it lacks proper facilities and equipment</w:t>
      </w:r>
      <w:r>
        <w:rPr>
          <w:color w:val="000000"/>
          <w:szCs w:val="26"/>
          <w:lang w:val="en-GB"/>
        </w:rPr>
        <w:t xml:space="preserve">.  </w:t>
      </w:r>
      <w:r>
        <w:rPr>
          <w:lang w:val="en-GB"/>
        </w:rPr>
        <w:t>In addition, in rural areas and particularly in remote areas the situation is more critical, not only as regards facilities but even for qualified personnel</w:t>
      </w:r>
      <w:r>
        <w:rPr>
          <w:color w:val="000000"/>
          <w:szCs w:val="26"/>
          <w:lang w:val="en-GB"/>
        </w:rPr>
        <w:t xml:space="preserve">.  </w:t>
      </w:r>
      <w:r>
        <w:rPr>
          <w:lang w:val="en-GB"/>
        </w:rPr>
        <w:t>Most of the properly qualified personnel have moved to Tirana and to other important urban centres</w:t>
      </w:r>
      <w:r>
        <w:rPr>
          <w:color w:val="000000"/>
          <w:szCs w:val="26"/>
          <w:lang w:val="en-GB"/>
        </w:rPr>
        <w:t xml:space="preserve">.  </w:t>
      </w:r>
      <w:r>
        <w:rPr>
          <w:lang w:val="en-GB"/>
        </w:rPr>
        <w:t>The relevant data show that the budget of the health-care system is increasing year by year, within the overall budget of public expenditures.</w:t>
      </w:r>
    </w:p>
    <w:p w:rsidR="00000000" w:rsidRDefault="00000000">
      <w:pPr>
        <w:pStyle w:val="ParaNo"/>
        <w:tabs>
          <w:tab w:val="clear" w:pos="360"/>
        </w:tabs>
        <w:ind w:left="0" w:firstLine="0"/>
        <w:rPr>
          <w:color w:val="000000"/>
          <w:szCs w:val="26"/>
          <w:lang w:val="en-GB"/>
        </w:rPr>
      </w:pPr>
      <w:r>
        <w:rPr>
          <w:lang w:val="en-GB"/>
        </w:rPr>
        <w:t>The</w:t>
      </w:r>
      <w:r>
        <w:rPr>
          <w:color w:val="000000"/>
          <w:szCs w:val="26"/>
          <w:lang w:val="en-GB"/>
        </w:rPr>
        <w:t xml:space="preserve"> </w:t>
      </w:r>
      <w:r>
        <w:rPr>
          <w:lang w:val="en-GB"/>
        </w:rPr>
        <w:t>health</w:t>
      </w:r>
      <w:r>
        <w:rPr>
          <w:color w:val="000000"/>
          <w:szCs w:val="26"/>
          <w:lang w:val="en-GB"/>
        </w:rPr>
        <w:t xml:space="preserve"> situation of the population appears to be more difficult, mainly in rural districts.  This is caused by various factors such as:  the limited number of doctors and medical personnel in those districts, the distance from health centres, the lack of infrastructure (notably in mountainous districts), low educational levels, as well as hygienic-sanitary and socio-economic conditions in those districts.</w:t>
      </w:r>
    </w:p>
    <w:p w:rsidR="00000000" w:rsidRDefault="00000000">
      <w:pPr>
        <w:pStyle w:val="ParaNo"/>
        <w:tabs>
          <w:tab w:val="clear" w:pos="360"/>
        </w:tabs>
        <w:ind w:left="0" w:firstLine="0"/>
        <w:rPr>
          <w:color w:val="000000"/>
          <w:szCs w:val="26"/>
          <w:lang w:val="en-GB"/>
        </w:rPr>
      </w:pPr>
      <w:r>
        <w:rPr>
          <w:color w:val="000000"/>
          <w:szCs w:val="26"/>
          <w:lang w:val="en-GB"/>
        </w:rPr>
        <w:t>The Public Health Service still has problems in providing the necessary facilities and equipment to meet current needs.  In villages and, particularly, in remote districts, the need to provide both health centres and doctors, most of which are placed in Tirana and in other main cities, is evident.</w:t>
      </w:r>
    </w:p>
    <w:p w:rsidR="00000000" w:rsidRDefault="00000000">
      <w:pPr>
        <w:pStyle w:val="ParaNo"/>
        <w:tabs>
          <w:tab w:val="clear" w:pos="360"/>
        </w:tabs>
        <w:ind w:left="0" w:firstLine="0"/>
        <w:rPr>
          <w:color w:val="000000"/>
          <w:szCs w:val="26"/>
          <w:lang w:val="en-GB"/>
        </w:rPr>
      </w:pPr>
      <w:r>
        <w:rPr>
          <w:color w:val="000000"/>
          <w:szCs w:val="26"/>
          <w:lang w:val="en-GB"/>
        </w:rPr>
        <w:t xml:space="preserve">In general, a considerable number of deaths are caused by smoking or alcohol abuse, carelessness in walking on roads (traffic accidents), using illegal drugs, and bad nutrition.  In general, infectious diseases over the last 10 years have been reduced. </w:t>
      </w:r>
    </w:p>
    <w:p w:rsidR="00000000" w:rsidRDefault="00000000">
      <w:pPr>
        <w:pStyle w:val="ParaNo"/>
        <w:tabs>
          <w:tab w:val="clear" w:pos="360"/>
        </w:tabs>
        <w:ind w:left="0" w:firstLine="0"/>
        <w:rPr>
          <w:color w:val="000000"/>
          <w:szCs w:val="26"/>
          <w:lang w:val="en-GB"/>
        </w:rPr>
      </w:pPr>
      <w:r>
        <w:rPr>
          <w:color w:val="000000"/>
          <w:szCs w:val="26"/>
          <w:lang w:val="en-GB"/>
        </w:rPr>
        <w:t>The birth rate has been reduced in rural and urban districts.  This is because of the methods applied relating to family planning, the movements of people not only inside but also outside the country, awareness of young couples about the control of number of their children, etc.</w:t>
      </w:r>
    </w:p>
    <w:p w:rsidR="00000000" w:rsidRDefault="00000000">
      <w:pPr>
        <w:pStyle w:val="ParaNo"/>
        <w:tabs>
          <w:tab w:val="clear" w:pos="360"/>
        </w:tabs>
        <w:ind w:left="0" w:firstLine="0"/>
        <w:rPr>
          <w:color w:val="000000"/>
          <w:szCs w:val="26"/>
          <w:lang w:val="en-GB"/>
        </w:rPr>
      </w:pPr>
      <w:r>
        <w:rPr>
          <w:color w:val="000000"/>
          <w:szCs w:val="26"/>
          <w:lang w:val="en-GB"/>
        </w:rPr>
        <w:t>As for mortality, high values are indicated in districts such as Delvina, Saranda, Korcha, Kolonja and Gjirokastra.  This is a consequence of morbidity and the high rate of emigration (particularly at young ages).  This has led to the population’s growing old.  Main groups of diseases that cause the highest rate of mortality in Albania are chronic lung and blood diseases.  Approximately 32 per cent of deaths are caused by cerebral problems and ischemia, 20 per cent by heart attacks and other ischemic diseases and 37 per cent by cardiac insufficiency and other cardiac diseases.</w:t>
      </w:r>
    </w:p>
    <w:p w:rsidR="00000000" w:rsidRDefault="00000000">
      <w:pPr>
        <w:pStyle w:val="ParaNo"/>
        <w:tabs>
          <w:tab w:val="clear" w:pos="360"/>
        </w:tabs>
        <w:ind w:left="0" w:firstLine="0"/>
        <w:rPr>
          <w:color w:val="000000"/>
          <w:szCs w:val="26"/>
          <w:lang w:val="en-GB"/>
        </w:rPr>
      </w:pPr>
      <w:r>
        <w:rPr>
          <w:color w:val="000000"/>
          <w:szCs w:val="26"/>
          <w:lang w:val="en-GB"/>
        </w:rPr>
        <w:t>Maternal mortality is highest in northern districts, particularly in Tropoja, Hasi and Kukesi.  Post-partum haemorrhages, eclampsia, infections, hypertension oscillations during pregnancy and abortions are the main causes of deaths.</w:t>
      </w:r>
    </w:p>
    <w:p w:rsidR="00000000" w:rsidRDefault="00000000">
      <w:pPr>
        <w:pStyle w:val="ParaNo"/>
        <w:tabs>
          <w:tab w:val="clear" w:pos="360"/>
        </w:tabs>
        <w:ind w:left="0" w:firstLine="0"/>
        <w:rPr>
          <w:color w:val="000000"/>
          <w:szCs w:val="26"/>
          <w:lang w:val="en-GB"/>
        </w:rPr>
      </w:pPr>
      <w:r>
        <w:rPr>
          <w:color w:val="000000"/>
          <w:szCs w:val="26"/>
          <w:lang w:val="en-GB"/>
        </w:rPr>
        <w:t>High figures of pregnant women’s mortality in northern parts of the country are obvious evidence of the low access of the population of this part to obstetrical services (mainly in urgent cases), the distances from health centres and the bad road conditions (mainly in northern districts) as well as the bad hygienic-sanitary conditions in the northern zone.</w:t>
      </w:r>
    </w:p>
    <w:p w:rsidR="00000000" w:rsidRDefault="00000000">
      <w:pPr>
        <w:pStyle w:val="ParaNo"/>
        <w:tabs>
          <w:tab w:val="clear" w:pos="360"/>
        </w:tabs>
        <w:ind w:left="0" w:firstLine="0"/>
        <w:rPr>
          <w:color w:val="000000"/>
          <w:szCs w:val="26"/>
          <w:lang w:val="en-GB"/>
        </w:rPr>
      </w:pPr>
      <w:r>
        <w:rPr>
          <w:color w:val="000000"/>
          <w:szCs w:val="26"/>
          <w:lang w:val="en-GB"/>
        </w:rPr>
        <w:t xml:space="preserve">Neonatal mortality </w:t>
      </w:r>
      <w:r>
        <w:rPr>
          <w:noProof/>
          <w:color w:val="000000"/>
          <w:szCs w:val="26"/>
          <w:lang w:val="en-GB"/>
        </w:rPr>
        <w:t>(</w:t>
      </w:r>
      <w:r>
        <w:rPr>
          <w:color w:val="000000"/>
          <w:szCs w:val="26"/>
          <w:lang w:val="en-GB"/>
        </w:rPr>
        <w:t>under one year) shows higher values in the districts of:  Gramshi, Peqini, Bulqiza, Librazhdi, Elbasani and Mallakastra.  Statistics during recent years indicate that neonatal mortality in rural zones is twice as high as in urban zones.  This is mostly related to socio-economic conditions and their geographical extension.  Pneumonic diseases, newborns’ illnesses and congenital abnormality are the causes of such mortality.</w:t>
      </w:r>
    </w:p>
    <w:p w:rsidR="00000000" w:rsidRDefault="00000000">
      <w:pPr>
        <w:pStyle w:val="ParaNo"/>
        <w:tabs>
          <w:tab w:val="clear" w:pos="360"/>
        </w:tabs>
        <w:ind w:left="0" w:firstLine="0"/>
        <w:rPr>
          <w:color w:val="000000"/>
          <w:szCs w:val="26"/>
          <w:lang w:val="en-GB"/>
        </w:rPr>
      </w:pPr>
      <w:r>
        <w:rPr>
          <w:color w:val="000000"/>
          <w:szCs w:val="26"/>
          <w:lang w:val="en-GB"/>
        </w:rPr>
        <w:t xml:space="preserve">The number of abortions still remains considerable.  By geographical breakdown, the number of abortions is great throughout Albania, mostly in Tirana, Mati, Devolli, Durresi, Berati, Permeti and Kolonja (generally where the density of population is high). </w:t>
      </w:r>
    </w:p>
    <w:p w:rsidR="00000000" w:rsidRDefault="00000000">
      <w:pPr>
        <w:pStyle w:val="ParaNo"/>
        <w:tabs>
          <w:tab w:val="clear" w:pos="360"/>
        </w:tabs>
        <w:ind w:left="0" w:firstLine="0"/>
        <w:rPr>
          <w:color w:val="000000"/>
          <w:szCs w:val="26"/>
          <w:lang w:val="en-GB"/>
        </w:rPr>
      </w:pPr>
      <w:r>
        <w:rPr>
          <w:color w:val="000000"/>
          <w:szCs w:val="26"/>
          <w:lang w:val="en-GB"/>
        </w:rPr>
        <w:t xml:space="preserve">Accidents have increased significantly. </w:t>
      </w:r>
    </w:p>
    <w:p w:rsidR="00000000" w:rsidRDefault="00000000">
      <w:pPr>
        <w:pStyle w:val="ParaNo"/>
        <w:tabs>
          <w:tab w:val="clear" w:pos="360"/>
        </w:tabs>
        <w:ind w:left="0" w:firstLine="0"/>
        <w:rPr>
          <w:color w:val="000000"/>
          <w:szCs w:val="26"/>
          <w:lang w:val="en-GB"/>
        </w:rPr>
      </w:pPr>
      <w:r>
        <w:rPr>
          <w:szCs w:val="26"/>
          <w:lang w:val="en-GB"/>
        </w:rPr>
        <w:t>Diseases transmitted from animals, f</w:t>
      </w:r>
      <w:r>
        <w:rPr>
          <w:color w:val="000000"/>
          <w:szCs w:val="26"/>
          <w:lang w:val="en-GB"/>
        </w:rPr>
        <w:t>arm animals and/or pets, are the major source of infections in humans.  The most affected areas are southern and south-eastern districts such as:  Gjirokastra, Tepelena, Saranda, Delvina, Permeti, Vlora, Fieri, Mallakastra, Berati, Kuçova, Korça (recently affected), whilst less affected are the districts of the central and northern part of Albania such as:  Malesi e Madhe, Shkodra, Elbasani, Peqini and Laci.  The presence of these forms of diseases in the population is absolute evidence of qualitative handicaps and quantitative deficiencies in the activity of public veterinarian service.</w:t>
      </w:r>
    </w:p>
    <w:p w:rsidR="00000000" w:rsidRDefault="00000000">
      <w:pPr>
        <w:pStyle w:val="ParaNo"/>
        <w:tabs>
          <w:tab w:val="clear" w:pos="360"/>
        </w:tabs>
        <w:ind w:left="0" w:firstLine="0"/>
        <w:rPr>
          <w:color w:val="000000"/>
          <w:szCs w:val="26"/>
          <w:lang w:val="en-GB"/>
        </w:rPr>
      </w:pPr>
      <w:r>
        <w:rPr>
          <w:color w:val="000000"/>
          <w:szCs w:val="26"/>
          <w:lang w:val="en-GB"/>
        </w:rPr>
        <w:t>The geographical spread of diarrhoeal deceases shows evidence of the existence of the so-called “hot zone”, which means an area with high incidence, such as Tirana, Durresi, Berati, Kavaja, Peqini, Elbasani, Librazhdi, Kuçova, Pogradeci, Devolli, Kolonja, Shkodra, Lezha, Laçi, Mati, etc.  The preventive intervention consists first and foremost of the ceaseless monitoring of potable water quality, the improvement of water infrastructure, as well as the maximization of controlling and preventive sanitary inspection activity concerning foodstuffs.  Meanwhile, raising the level of sanitary culture among people is another important preventive factor.</w:t>
      </w:r>
    </w:p>
    <w:p w:rsidR="00000000" w:rsidRDefault="00000000">
      <w:pPr>
        <w:pStyle w:val="ParaNo"/>
        <w:tabs>
          <w:tab w:val="clear" w:pos="360"/>
        </w:tabs>
        <w:ind w:left="0" w:firstLine="0"/>
        <w:rPr>
          <w:color w:val="000000"/>
          <w:szCs w:val="26"/>
          <w:lang w:val="en-GB"/>
        </w:rPr>
      </w:pPr>
      <w:r>
        <w:rPr>
          <w:color w:val="000000"/>
          <w:szCs w:val="26"/>
          <w:lang w:val="en-GB"/>
        </w:rPr>
        <w:t>Urban areas have a persistently higher incidence of viral hepatitis compared to rural areas.  Just a few of the 36 districts (referring to the last two years) display low incidence (Delvina, Malesia e Madhe, Peqini, Shkodra, Mati).  All other districts display high fluctuation of the viral hepatitis incidence.  Only sustained improvements of the potable water supply systems and sewage sanitation, as well as the improvement of individual hygiene would influence the reduction of viral hepatitis incidence.</w:t>
      </w:r>
    </w:p>
    <w:p w:rsidR="00000000" w:rsidRDefault="00000000">
      <w:pPr>
        <w:pStyle w:val="Heading2"/>
      </w:pPr>
      <w:r>
        <w:br w:type="page"/>
        <w:t>Table 40</w:t>
      </w:r>
    </w:p>
    <w:p w:rsidR="00000000" w:rsidRDefault="00000000">
      <w:pPr>
        <w:pStyle w:val="Heading2"/>
      </w:pPr>
      <w:r>
        <w:t>Diarrhoeal diseases by districts, 1995-1996 and 2000-2001</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6"/>
        <w:gridCol w:w="1950"/>
        <w:gridCol w:w="1252"/>
        <w:gridCol w:w="1253"/>
        <w:gridCol w:w="1252"/>
        <w:gridCol w:w="1253"/>
      </w:tblGrid>
      <w:tr w:rsidR="00000000">
        <w:tblPrEx>
          <w:tblCellMar>
            <w:top w:w="0" w:type="dxa"/>
            <w:bottom w:w="0" w:type="dxa"/>
          </w:tblCellMar>
        </w:tblPrEx>
        <w:trPr>
          <w:cantSplit/>
          <w:tblHeader/>
          <w:jc w:val="center"/>
        </w:trPr>
        <w:tc>
          <w:tcPr>
            <w:tcW w:w="776" w:type="dxa"/>
            <w:tcBorders>
              <w:top w:val="single" w:sz="4" w:space="0" w:color="auto"/>
              <w:bottom w:val="nil"/>
              <w:right w:val="single" w:sz="4" w:space="0" w:color="auto"/>
            </w:tcBorders>
          </w:tcPr>
          <w:p w:rsidR="00000000" w:rsidRDefault="00000000">
            <w:pPr>
              <w:spacing w:after="0"/>
              <w:ind w:right="113"/>
              <w:jc w:val="right"/>
            </w:pPr>
            <w:r>
              <w:t>No.</w:t>
            </w:r>
          </w:p>
        </w:tc>
        <w:tc>
          <w:tcPr>
            <w:tcW w:w="1950" w:type="dxa"/>
            <w:tcBorders>
              <w:top w:val="single" w:sz="4" w:space="0" w:color="auto"/>
              <w:left w:val="single" w:sz="4" w:space="0" w:color="auto"/>
              <w:bottom w:val="nil"/>
              <w:right w:val="single" w:sz="4" w:space="0" w:color="auto"/>
            </w:tcBorders>
          </w:tcPr>
          <w:p w:rsidR="00000000" w:rsidRDefault="00000000">
            <w:pPr>
              <w:spacing w:after="0"/>
              <w:jc w:val="center"/>
            </w:pPr>
            <w:r>
              <w:t>District</w:t>
            </w:r>
          </w:p>
        </w:tc>
        <w:tc>
          <w:tcPr>
            <w:tcW w:w="5010" w:type="dxa"/>
            <w:gridSpan w:val="4"/>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jc w:val="center"/>
            </w:pPr>
            <w:r>
              <w:t>Incidence:  cases per 100 000 inhabitants</w:t>
            </w:r>
          </w:p>
        </w:tc>
      </w:tr>
      <w:tr w:rsidR="00000000">
        <w:tblPrEx>
          <w:tblCellMar>
            <w:top w:w="0" w:type="dxa"/>
            <w:bottom w:w="0" w:type="dxa"/>
          </w:tblCellMar>
        </w:tblPrEx>
        <w:trPr>
          <w:cantSplit/>
          <w:tblHeader/>
          <w:jc w:val="center"/>
        </w:trPr>
        <w:tc>
          <w:tcPr>
            <w:tcW w:w="776" w:type="dxa"/>
            <w:tcBorders>
              <w:top w:val="nil"/>
              <w:bottom w:val="single" w:sz="4" w:space="0" w:color="auto"/>
              <w:right w:val="single" w:sz="4" w:space="0" w:color="auto"/>
            </w:tcBorders>
          </w:tcPr>
          <w:p w:rsidR="00000000" w:rsidRDefault="00000000">
            <w:pPr>
              <w:spacing w:after="0"/>
              <w:ind w:right="113"/>
              <w:jc w:val="right"/>
            </w:pPr>
          </w:p>
        </w:tc>
        <w:tc>
          <w:tcPr>
            <w:tcW w:w="1950"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1253" w:type="dxa"/>
            <w:tcBorders>
              <w:top w:val="single" w:sz="4" w:space="0" w:color="auto"/>
              <w:left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jc w:val="center"/>
        </w:trPr>
        <w:tc>
          <w:tcPr>
            <w:tcW w:w="776" w:type="dxa"/>
            <w:tcBorders>
              <w:top w:val="single" w:sz="4" w:space="0" w:color="auto"/>
              <w:right w:val="single" w:sz="4" w:space="0" w:color="auto"/>
            </w:tcBorders>
          </w:tcPr>
          <w:p w:rsidR="00000000" w:rsidRDefault="00000000">
            <w:pPr>
              <w:spacing w:after="0"/>
              <w:ind w:right="113"/>
              <w:jc w:val="right"/>
            </w:pPr>
            <w:r>
              <w:t>1.</w:t>
            </w:r>
          </w:p>
        </w:tc>
        <w:tc>
          <w:tcPr>
            <w:tcW w:w="1950" w:type="dxa"/>
            <w:tcBorders>
              <w:top w:val="single" w:sz="4" w:space="0" w:color="auto"/>
              <w:left w:val="single" w:sz="4" w:space="0" w:color="auto"/>
              <w:right w:val="single" w:sz="4" w:space="0" w:color="auto"/>
            </w:tcBorders>
          </w:tcPr>
          <w:p w:rsidR="00000000" w:rsidRDefault="00000000">
            <w:pPr>
              <w:spacing w:after="0"/>
            </w:pPr>
            <w:r>
              <w:t>Berat</w:t>
            </w:r>
          </w:p>
        </w:tc>
        <w:tc>
          <w:tcPr>
            <w:tcW w:w="1252" w:type="dxa"/>
            <w:tcBorders>
              <w:top w:val="single" w:sz="4" w:space="0" w:color="auto"/>
              <w:left w:val="single" w:sz="4" w:space="0" w:color="auto"/>
              <w:right w:val="single" w:sz="4" w:space="0" w:color="auto"/>
            </w:tcBorders>
          </w:tcPr>
          <w:p w:rsidR="00000000" w:rsidRDefault="00000000">
            <w:pPr>
              <w:spacing w:after="0"/>
              <w:ind w:right="216"/>
              <w:jc w:val="right"/>
            </w:pPr>
            <w:r>
              <w:t>2 419.7</w:t>
            </w:r>
          </w:p>
        </w:tc>
        <w:tc>
          <w:tcPr>
            <w:tcW w:w="1253" w:type="dxa"/>
            <w:tcBorders>
              <w:top w:val="single" w:sz="4" w:space="0" w:color="auto"/>
              <w:left w:val="single" w:sz="4" w:space="0" w:color="auto"/>
              <w:right w:val="single" w:sz="4" w:space="0" w:color="auto"/>
            </w:tcBorders>
          </w:tcPr>
          <w:p w:rsidR="00000000" w:rsidRDefault="00000000">
            <w:pPr>
              <w:spacing w:after="0"/>
              <w:ind w:right="216"/>
              <w:jc w:val="right"/>
            </w:pPr>
            <w:r>
              <w:t>2 719.5</w:t>
            </w:r>
          </w:p>
        </w:tc>
        <w:tc>
          <w:tcPr>
            <w:tcW w:w="1252" w:type="dxa"/>
            <w:tcBorders>
              <w:top w:val="single" w:sz="4" w:space="0" w:color="auto"/>
              <w:left w:val="single" w:sz="4" w:space="0" w:color="auto"/>
              <w:right w:val="single" w:sz="4" w:space="0" w:color="auto"/>
            </w:tcBorders>
          </w:tcPr>
          <w:p w:rsidR="00000000" w:rsidRDefault="00000000">
            <w:pPr>
              <w:spacing w:after="0"/>
              <w:ind w:right="216"/>
              <w:jc w:val="right"/>
            </w:pPr>
            <w:r>
              <w:t>2 238.2</w:t>
            </w:r>
          </w:p>
        </w:tc>
        <w:tc>
          <w:tcPr>
            <w:tcW w:w="1253" w:type="dxa"/>
            <w:tcBorders>
              <w:top w:val="single" w:sz="4" w:space="0" w:color="auto"/>
              <w:left w:val="single" w:sz="4" w:space="0" w:color="auto"/>
            </w:tcBorders>
          </w:tcPr>
          <w:p w:rsidR="00000000" w:rsidRDefault="00000000">
            <w:pPr>
              <w:spacing w:after="0"/>
              <w:ind w:right="216"/>
              <w:jc w:val="right"/>
            </w:pPr>
            <w:r>
              <w:t>1 179.3</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w:t>
            </w:r>
          </w:p>
        </w:tc>
        <w:tc>
          <w:tcPr>
            <w:tcW w:w="1950" w:type="dxa"/>
            <w:tcBorders>
              <w:left w:val="single" w:sz="4" w:space="0" w:color="auto"/>
              <w:right w:val="single" w:sz="4" w:space="0" w:color="auto"/>
            </w:tcBorders>
          </w:tcPr>
          <w:p w:rsidR="00000000" w:rsidRDefault="00000000">
            <w:pPr>
              <w:spacing w:after="0"/>
            </w:pPr>
            <w:r>
              <w:t>Bulqize</w:t>
            </w:r>
          </w:p>
        </w:tc>
        <w:tc>
          <w:tcPr>
            <w:tcW w:w="1252" w:type="dxa"/>
            <w:tcBorders>
              <w:left w:val="single" w:sz="4" w:space="0" w:color="auto"/>
              <w:right w:val="single" w:sz="4" w:space="0" w:color="auto"/>
            </w:tcBorders>
          </w:tcPr>
          <w:p w:rsidR="00000000" w:rsidRDefault="00000000">
            <w:pPr>
              <w:spacing w:after="0"/>
              <w:ind w:right="216"/>
              <w:jc w:val="right"/>
            </w:pPr>
            <w:r>
              <w:t>1 139.9</w:t>
            </w:r>
          </w:p>
        </w:tc>
        <w:tc>
          <w:tcPr>
            <w:tcW w:w="1253" w:type="dxa"/>
            <w:tcBorders>
              <w:left w:val="single" w:sz="4" w:space="0" w:color="auto"/>
              <w:right w:val="single" w:sz="4" w:space="0" w:color="auto"/>
            </w:tcBorders>
          </w:tcPr>
          <w:p w:rsidR="00000000" w:rsidRDefault="00000000">
            <w:pPr>
              <w:spacing w:after="0"/>
              <w:ind w:right="216"/>
              <w:jc w:val="right"/>
            </w:pPr>
            <w:r>
              <w:t>1 681.2</w:t>
            </w:r>
          </w:p>
        </w:tc>
        <w:tc>
          <w:tcPr>
            <w:tcW w:w="1252" w:type="dxa"/>
            <w:tcBorders>
              <w:left w:val="single" w:sz="4" w:space="0" w:color="auto"/>
              <w:right w:val="single" w:sz="4" w:space="0" w:color="auto"/>
            </w:tcBorders>
          </w:tcPr>
          <w:p w:rsidR="00000000" w:rsidRDefault="00000000">
            <w:pPr>
              <w:spacing w:after="0"/>
              <w:ind w:right="216"/>
              <w:jc w:val="right"/>
            </w:pPr>
            <w:r>
              <w:t>1 897.6</w:t>
            </w:r>
          </w:p>
        </w:tc>
        <w:tc>
          <w:tcPr>
            <w:tcW w:w="1253" w:type="dxa"/>
            <w:tcBorders>
              <w:left w:val="single" w:sz="4" w:space="0" w:color="auto"/>
            </w:tcBorders>
          </w:tcPr>
          <w:p w:rsidR="00000000" w:rsidRDefault="00000000">
            <w:pPr>
              <w:spacing w:after="0"/>
              <w:ind w:right="216"/>
              <w:jc w:val="right"/>
            </w:pPr>
            <w:r>
              <w:t>1 915.4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w:t>
            </w:r>
          </w:p>
        </w:tc>
        <w:tc>
          <w:tcPr>
            <w:tcW w:w="1950" w:type="dxa"/>
            <w:tcBorders>
              <w:left w:val="single" w:sz="4" w:space="0" w:color="auto"/>
              <w:right w:val="single" w:sz="4" w:space="0" w:color="auto"/>
            </w:tcBorders>
          </w:tcPr>
          <w:p w:rsidR="00000000" w:rsidRDefault="00000000">
            <w:pPr>
              <w:spacing w:after="0"/>
            </w:pPr>
            <w:proofErr w:type="spellStart"/>
            <w:r>
              <w:t>Delvine</w:t>
            </w:r>
            <w:proofErr w:type="spellEnd"/>
          </w:p>
        </w:tc>
        <w:tc>
          <w:tcPr>
            <w:tcW w:w="1252" w:type="dxa"/>
            <w:tcBorders>
              <w:left w:val="single" w:sz="4" w:space="0" w:color="auto"/>
              <w:right w:val="single" w:sz="4" w:space="0" w:color="auto"/>
            </w:tcBorders>
          </w:tcPr>
          <w:p w:rsidR="00000000" w:rsidRDefault="00000000">
            <w:pPr>
              <w:spacing w:after="0"/>
              <w:ind w:right="216"/>
              <w:jc w:val="right"/>
            </w:pPr>
            <w:r>
              <w:t>170.1</w:t>
            </w:r>
          </w:p>
        </w:tc>
        <w:tc>
          <w:tcPr>
            <w:tcW w:w="1253" w:type="dxa"/>
            <w:tcBorders>
              <w:left w:val="single" w:sz="4" w:space="0" w:color="auto"/>
              <w:right w:val="single" w:sz="4" w:space="0" w:color="auto"/>
            </w:tcBorders>
          </w:tcPr>
          <w:p w:rsidR="00000000" w:rsidRDefault="00000000">
            <w:pPr>
              <w:spacing w:after="0"/>
              <w:ind w:right="216"/>
              <w:jc w:val="right"/>
            </w:pPr>
            <w:r>
              <w:t>121.7</w:t>
            </w:r>
          </w:p>
        </w:tc>
        <w:tc>
          <w:tcPr>
            <w:tcW w:w="1252" w:type="dxa"/>
            <w:tcBorders>
              <w:left w:val="single" w:sz="4" w:space="0" w:color="auto"/>
              <w:right w:val="single" w:sz="4" w:space="0" w:color="auto"/>
            </w:tcBorders>
          </w:tcPr>
          <w:p w:rsidR="00000000" w:rsidRDefault="00000000">
            <w:pPr>
              <w:spacing w:after="0"/>
              <w:ind w:right="216"/>
              <w:jc w:val="right"/>
            </w:pPr>
            <w:r>
              <w:t>138.8</w:t>
            </w:r>
          </w:p>
        </w:tc>
        <w:tc>
          <w:tcPr>
            <w:tcW w:w="1253" w:type="dxa"/>
            <w:tcBorders>
              <w:left w:val="single" w:sz="4" w:space="0" w:color="auto"/>
            </w:tcBorders>
          </w:tcPr>
          <w:p w:rsidR="00000000" w:rsidRDefault="00000000">
            <w:pPr>
              <w:spacing w:after="0"/>
              <w:ind w:right="216"/>
              <w:jc w:val="right"/>
            </w:pPr>
            <w:r>
              <w:t>162.4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4.</w:t>
            </w:r>
          </w:p>
        </w:tc>
        <w:tc>
          <w:tcPr>
            <w:tcW w:w="1950" w:type="dxa"/>
            <w:tcBorders>
              <w:left w:val="single" w:sz="4" w:space="0" w:color="auto"/>
              <w:right w:val="single" w:sz="4" w:space="0" w:color="auto"/>
            </w:tcBorders>
          </w:tcPr>
          <w:p w:rsidR="00000000" w:rsidRDefault="00000000">
            <w:pPr>
              <w:spacing w:after="0"/>
            </w:pPr>
            <w:r>
              <w:t>Devoll</w:t>
            </w:r>
          </w:p>
        </w:tc>
        <w:tc>
          <w:tcPr>
            <w:tcW w:w="1252" w:type="dxa"/>
            <w:tcBorders>
              <w:left w:val="single" w:sz="4" w:space="0" w:color="auto"/>
              <w:right w:val="single" w:sz="4" w:space="0" w:color="auto"/>
            </w:tcBorders>
          </w:tcPr>
          <w:p w:rsidR="00000000" w:rsidRDefault="00000000">
            <w:pPr>
              <w:spacing w:after="0"/>
              <w:ind w:right="216"/>
              <w:jc w:val="right"/>
            </w:pPr>
            <w:r>
              <w:t>3 048.8</w:t>
            </w:r>
          </w:p>
        </w:tc>
        <w:tc>
          <w:tcPr>
            <w:tcW w:w="1253" w:type="dxa"/>
            <w:tcBorders>
              <w:left w:val="single" w:sz="4" w:space="0" w:color="auto"/>
              <w:right w:val="single" w:sz="4" w:space="0" w:color="auto"/>
            </w:tcBorders>
          </w:tcPr>
          <w:p w:rsidR="00000000" w:rsidRDefault="00000000">
            <w:pPr>
              <w:spacing w:after="0"/>
              <w:ind w:right="216"/>
              <w:jc w:val="right"/>
            </w:pPr>
            <w:r>
              <w:t>2 809.4</w:t>
            </w:r>
          </w:p>
        </w:tc>
        <w:tc>
          <w:tcPr>
            <w:tcW w:w="1252" w:type="dxa"/>
            <w:tcBorders>
              <w:left w:val="single" w:sz="4" w:space="0" w:color="auto"/>
              <w:right w:val="single" w:sz="4" w:space="0" w:color="auto"/>
            </w:tcBorders>
          </w:tcPr>
          <w:p w:rsidR="00000000" w:rsidRDefault="00000000">
            <w:pPr>
              <w:spacing w:after="0"/>
              <w:ind w:right="216"/>
              <w:jc w:val="right"/>
            </w:pPr>
            <w:r>
              <w:t>1 051.0</w:t>
            </w:r>
          </w:p>
        </w:tc>
        <w:tc>
          <w:tcPr>
            <w:tcW w:w="1253" w:type="dxa"/>
            <w:tcBorders>
              <w:left w:val="single" w:sz="4" w:space="0" w:color="auto"/>
            </w:tcBorders>
          </w:tcPr>
          <w:p w:rsidR="00000000" w:rsidRDefault="00000000">
            <w:pPr>
              <w:spacing w:after="0"/>
              <w:ind w:right="216"/>
              <w:jc w:val="right"/>
            </w:pPr>
            <w:r>
              <w:t>1 449.4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5.</w:t>
            </w:r>
          </w:p>
        </w:tc>
        <w:tc>
          <w:tcPr>
            <w:tcW w:w="1950" w:type="dxa"/>
            <w:tcBorders>
              <w:left w:val="single" w:sz="4" w:space="0" w:color="auto"/>
              <w:right w:val="single" w:sz="4" w:space="0" w:color="auto"/>
            </w:tcBorders>
          </w:tcPr>
          <w:p w:rsidR="00000000" w:rsidRDefault="00000000">
            <w:pPr>
              <w:spacing w:after="0"/>
            </w:pPr>
            <w:r>
              <w:t>Diber</w:t>
            </w:r>
          </w:p>
        </w:tc>
        <w:tc>
          <w:tcPr>
            <w:tcW w:w="1252" w:type="dxa"/>
            <w:tcBorders>
              <w:left w:val="single" w:sz="4" w:space="0" w:color="auto"/>
              <w:right w:val="single" w:sz="4" w:space="0" w:color="auto"/>
            </w:tcBorders>
          </w:tcPr>
          <w:p w:rsidR="00000000" w:rsidRDefault="00000000">
            <w:pPr>
              <w:spacing w:after="0"/>
              <w:ind w:right="216"/>
              <w:jc w:val="right"/>
            </w:pPr>
            <w:r>
              <w:t>3 510.1</w:t>
            </w:r>
          </w:p>
        </w:tc>
        <w:tc>
          <w:tcPr>
            <w:tcW w:w="1253" w:type="dxa"/>
            <w:tcBorders>
              <w:left w:val="single" w:sz="4" w:space="0" w:color="auto"/>
              <w:right w:val="single" w:sz="4" w:space="0" w:color="auto"/>
            </w:tcBorders>
          </w:tcPr>
          <w:p w:rsidR="00000000" w:rsidRDefault="00000000">
            <w:pPr>
              <w:spacing w:after="0"/>
              <w:ind w:right="216"/>
              <w:jc w:val="right"/>
            </w:pPr>
            <w:r>
              <w:t>592.8</w:t>
            </w:r>
          </w:p>
        </w:tc>
        <w:tc>
          <w:tcPr>
            <w:tcW w:w="1252" w:type="dxa"/>
            <w:tcBorders>
              <w:left w:val="single" w:sz="4" w:space="0" w:color="auto"/>
              <w:right w:val="single" w:sz="4" w:space="0" w:color="auto"/>
            </w:tcBorders>
          </w:tcPr>
          <w:p w:rsidR="00000000" w:rsidRDefault="00000000">
            <w:pPr>
              <w:spacing w:after="0"/>
              <w:ind w:right="216"/>
              <w:jc w:val="right"/>
            </w:pPr>
            <w:r>
              <w:t>706.9</w:t>
            </w:r>
          </w:p>
        </w:tc>
        <w:tc>
          <w:tcPr>
            <w:tcW w:w="1253" w:type="dxa"/>
            <w:tcBorders>
              <w:left w:val="single" w:sz="4" w:space="0" w:color="auto"/>
            </w:tcBorders>
          </w:tcPr>
          <w:p w:rsidR="00000000" w:rsidRDefault="00000000">
            <w:pPr>
              <w:spacing w:after="0"/>
              <w:ind w:right="216"/>
              <w:jc w:val="right"/>
            </w:pPr>
            <w:r>
              <w:t>449.9</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6.</w:t>
            </w:r>
          </w:p>
        </w:tc>
        <w:tc>
          <w:tcPr>
            <w:tcW w:w="1950" w:type="dxa"/>
            <w:tcBorders>
              <w:left w:val="single" w:sz="4" w:space="0" w:color="auto"/>
              <w:right w:val="single" w:sz="4" w:space="0" w:color="auto"/>
            </w:tcBorders>
          </w:tcPr>
          <w:p w:rsidR="00000000" w:rsidRDefault="00000000">
            <w:pPr>
              <w:spacing w:after="0"/>
            </w:pPr>
            <w:r>
              <w:t>Durres</w:t>
            </w:r>
          </w:p>
        </w:tc>
        <w:tc>
          <w:tcPr>
            <w:tcW w:w="1252" w:type="dxa"/>
            <w:tcBorders>
              <w:left w:val="single" w:sz="4" w:space="0" w:color="auto"/>
              <w:right w:val="single" w:sz="4" w:space="0" w:color="auto"/>
            </w:tcBorders>
          </w:tcPr>
          <w:p w:rsidR="00000000" w:rsidRDefault="00000000">
            <w:pPr>
              <w:spacing w:after="0"/>
              <w:ind w:right="216"/>
              <w:jc w:val="right"/>
            </w:pPr>
            <w:r>
              <w:t>2 579.7</w:t>
            </w:r>
          </w:p>
        </w:tc>
        <w:tc>
          <w:tcPr>
            <w:tcW w:w="1253" w:type="dxa"/>
            <w:tcBorders>
              <w:left w:val="single" w:sz="4" w:space="0" w:color="auto"/>
              <w:right w:val="single" w:sz="4" w:space="0" w:color="auto"/>
            </w:tcBorders>
          </w:tcPr>
          <w:p w:rsidR="00000000" w:rsidRDefault="00000000">
            <w:pPr>
              <w:spacing w:after="0"/>
              <w:ind w:right="216"/>
              <w:jc w:val="right"/>
            </w:pPr>
            <w:r>
              <w:t>2 631.2</w:t>
            </w:r>
          </w:p>
        </w:tc>
        <w:tc>
          <w:tcPr>
            <w:tcW w:w="1252" w:type="dxa"/>
            <w:tcBorders>
              <w:left w:val="single" w:sz="4" w:space="0" w:color="auto"/>
              <w:right w:val="single" w:sz="4" w:space="0" w:color="auto"/>
            </w:tcBorders>
          </w:tcPr>
          <w:p w:rsidR="00000000" w:rsidRDefault="00000000">
            <w:pPr>
              <w:spacing w:after="0"/>
              <w:ind w:right="216"/>
              <w:jc w:val="right"/>
            </w:pPr>
            <w:r>
              <w:t>2 294.6</w:t>
            </w:r>
          </w:p>
        </w:tc>
        <w:tc>
          <w:tcPr>
            <w:tcW w:w="1253" w:type="dxa"/>
            <w:tcBorders>
              <w:left w:val="single" w:sz="4" w:space="0" w:color="auto"/>
            </w:tcBorders>
          </w:tcPr>
          <w:p w:rsidR="00000000" w:rsidRDefault="00000000">
            <w:pPr>
              <w:spacing w:after="0"/>
              <w:ind w:right="216"/>
              <w:jc w:val="right"/>
            </w:pPr>
            <w:r>
              <w:t>3 255.1</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7.</w:t>
            </w:r>
          </w:p>
        </w:tc>
        <w:tc>
          <w:tcPr>
            <w:tcW w:w="1950" w:type="dxa"/>
            <w:tcBorders>
              <w:left w:val="single" w:sz="4" w:space="0" w:color="auto"/>
              <w:right w:val="single" w:sz="4" w:space="0" w:color="auto"/>
            </w:tcBorders>
          </w:tcPr>
          <w:p w:rsidR="00000000" w:rsidRDefault="00000000">
            <w:pPr>
              <w:spacing w:after="0"/>
            </w:pPr>
            <w:proofErr w:type="spellStart"/>
            <w:r>
              <w:t>Elbasan</w:t>
            </w:r>
            <w:proofErr w:type="spellEnd"/>
          </w:p>
        </w:tc>
        <w:tc>
          <w:tcPr>
            <w:tcW w:w="1252" w:type="dxa"/>
            <w:tcBorders>
              <w:left w:val="single" w:sz="4" w:space="0" w:color="auto"/>
              <w:right w:val="single" w:sz="4" w:space="0" w:color="auto"/>
            </w:tcBorders>
          </w:tcPr>
          <w:p w:rsidR="00000000" w:rsidRDefault="00000000">
            <w:pPr>
              <w:spacing w:after="0"/>
              <w:ind w:right="216"/>
              <w:jc w:val="right"/>
            </w:pPr>
            <w:r>
              <w:t>2 501.2</w:t>
            </w:r>
          </w:p>
        </w:tc>
        <w:tc>
          <w:tcPr>
            <w:tcW w:w="1253" w:type="dxa"/>
            <w:tcBorders>
              <w:left w:val="single" w:sz="4" w:space="0" w:color="auto"/>
              <w:right w:val="single" w:sz="4" w:space="0" w:color="auto"/>
            </w:tcBorders>
          </w:tcPr>
          <w:p w:rsidR="00000000" w:rsidRDefault="00000000">
            <w:pPr>
              <w:spacing w:after="0"/>
              <w:ind w:right="216"/>
              <w:jc w:val="right"/>
            </w:pPr>
            <w:r>
              <w:t>3 459.8</w:t>
            </w:r>
          </w:p>
        </w:tc>
        <w:tc>
          <w:tcPr>
            <w:tcW w:w="1252" w:type="dxa"/>
            <w:tcBorders>
              <w:left w:val="single" w:sz="4" w:space="0" w:color="auto"/>
              <w:right w:val="single" w:sz="4" w:space="0" w:color="auto"/>
            </w:tcBorders>
          </w:tcPr>
          <w:p w:rsidR="00000000" w:rsidRDefault="00000000">
            <w:pPr>
              <w:spacing w:after="0"/>
              <w:ind w:right="216"/>
              <w:jc w:val="right"/>
            </w:pPr>
            <w:r>
              <w:t>1 472.3</w:t>
            </w:r>
          </w:p>
        </w:tc>
        <w:tc>
          <w:tcPr>
            <w:tcW w:w="1253" w:type="dxa"/>
            <w:tcBorders>
              <w:left w:val="single" w:sz="4" w:space="0" w:color="auto"/>
            </w:tcBorders>
          </w:tcPr>
          <w:p w:rsidR="00000000" w:rsidRDefault="00000000">
            <w:pPr>
              <w:spacing w:after="0"/>
              <w:ind w:right="216"/>
              <w:jc w:val="right"/>
            </w:pPr>
            <w:r>
              <w:t>1 044.9</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8.</w:t>
            </w:r>
          </w:p>
        </w:tc>
        <w:tc>
          <w:tcPr>
            <w:tcW w:w="1950" w:type="dxa"/>
            <w:tcBorders>
              <w:left w:val="single" w:sz="4" w:space="0" w:color="auto"/>
              <w:right w:val="single" w:sz="4" w:space="0" w:color="auto"/>
            </w:tcBorders>
          </w:tcPr>
          <w:p w:rsidR="00000000" w:rsidRDefault="00000000">
            <w:pPr>
              <w:spacing w:after="0"/>
            </w:pPr>
            <w:r>
              <w:t>Fier</w:t>
            </w:r>
          </w:p>
        </w:tc>
        <w:tc>
          <w:tcPr>
            <w:tcW w:w="1252" w:type="dxa"/>
            <w:tcBorders>
              <w:left w:val="single" w:sz="4" w:space="0" w:color="auto"/>
              <w:right w:val="single" w:sz="4" w:space="0" w:color="auto"/>
            </w:tcBorders>
          </w:tcPr>
          <w:p w:rsidR="00000000" w:rsidRDefault="00000000">
            <w:pPr>
              <w:spacing w:after="0"/>
              <w:ind w:right="216"/>
              <w:jc w:val="right"/>
            </w:pPr>
            <w:r>
              <w:t>943.6</w:t>
            </w:r>
          </w:p>
        </w:tc>
        <w:tc>
          <w:tcPr>
            <w:tcW w:w="1253" w:type="dxa"/>
            <w:tcBorders>
              <w:left w:val="single" w:sz="4" w:space="0" w:color="auto"/>
              <w:right w:val="single" w:sz="4" w:space="0" w:color="auto"/>
            </w:tcBorders>
          </w:tcPr>
          <w:p w:rsidR="00000000" w:rsidRDefault="00000000">
            <w:pPr>
              <w:spacing w:after="0"/>
              <w:ind w:right="216"/>
              <w:jc w:val="right"/>
            </w:pPr>
            <w:r>
              <w:t>713.7</w:t>
            </w:r>
          </w:p>
        </w:tc>
        <w:tc>
          <w:tcPr>
            <w:tcW w:w="1252" w:type="dxa"/>
            <w:tcBorders>
              <w:left w:val="single" w:sz="4" w:space="0" w:color="auto"/>
              <w:right w:val="single" w:sz="4" w:space="0" w:color="auto"/>
            </w:tcBorders>
          </w:tcPr>
          <w:p w:rsidR="00000000" w:rsidRDefault="00000000">
            <w:pPr>
              <w:spacing w:after="0"/>
              <w:ind w:right="216"/>
              <w:jc w:val="right"/>
            </w:pPr>
            <w:r>
              <w:t>801.5</w:t>
            </w:r>
          </w:p>
        </w:tc>
        <w:tc>
          <w:tcPr>
            <w:tcW w:w="1253" w:type="dxa"/>
            <w:tcBorders>
              <w:left w:val="single" w:sz="4" w:space="0" w:color="auto"/>
            </w:tcBorders>
          </w:tcPr>
          <w:p w:rsidR="00000000" w:rsidRDefault="00000000">
            <w:pPr>
              <w:spacing w:after="0"/>
              <w:ind w:right="216"/>
              <w:jc w:val="right"/>
            </w:pPr>
            <w:r>
              <w:t>1 365.0</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9.</w:t>
            </w:r>
          </w:p>
        </w:tc>
        <w:tc>
          <w:tcPr>
            <w:tcW w:w="1950" w:type="dxa"/>
            <w:tcBorders>
              <w:left w:val="single" w:sz="4" w:space="0" w:color="auto"/>
              <w:right w:val="single" w:sz="4" w:space="0" w:color="auto"/>
            </w:tcBorders>
          </w:tcPr>
          <w:p w:rsidR="00000000" w:rsidRDefault="00000000">
            <w:pPr>
              <w:spacing w:after="0"/>
            </w:pPr>
            <w:r>
              <w:t>Gramsh</w:t>
            </w:r>
          </w:p>
        </w:tc>
        <w:tc>
          <w:tcPr>
            <w:tcW w:w="1252" w:type="dxa"/>
            <w:tcBorders>
              <w:left w:val="single" w:sz="4" w:space="0" w:color="auto"/>
              <w:right w:val="single" w:sz="4" w:space="0" w:color="auto"/>
            </w:tcBorders>
          </w:tcPr>
          <w:p w:rsidR="00000000" w:rsidRDefault="00000000">
            <w:pPr>
              <w:spacing w:after="0"/>
              <w:ind w:right="216"/>
              <w:jc w:val="right"/>
            </w:pPr>
            <w:r>
              <w:t>537.5</w:t>
            </w:r>
          </w:p>
        </w:tc>
        <w:tc>
          <w:tcPr>
            <w:tcW w:w="1253" w:type="dxa"/>
            <w:tcBorders>
              <w:left w:val="single" w:sz="4" w:space="0" w:color="auto"/>
              <w:right w:val="single" w:sz="4" w:space="0" w:color="auto"/>
            </w:tcBorders>
          </w:tcPr>
          <w:p w:rsidR="00000000" w:rsidRDefault="00000000">
            <w:pPr>
              <w:spacing w:after="0"/>
              <w:ind w:right="216"/>
              <w:jc w:val="right"/>
            </w:pPr>
            <w:r>
              <w:t>952.4</w:t>
            </w:r>
          </w:p>
        </w:tc>
        <w:tc>
          <w:tcPr>
            <w:tcW w:w="1252" w:type="dxa"/>
            <w:tcBorders>
              <w:left w:val="single" w:sz="4" w:space="0" w:color="auto"/>
              <w:right w:val="single" w:sz="4" w:space="0" w:color="auto"/>
            </w:tcBorders>
          </w:tcPr>
          <w:p w:rsidR="00000000" w:rsidRDefault="00000000">
            <w:pPr>
              <w:spacing w:after="0"/>
              <w:ind w:right="216"/>
              <w:jc w:val="right"/>
            </w:pPr>
            <w:r>
              <w:t>3 039.5</w:t>
            </w:r>
          </w:p>
        </w:tc>
        <w:tc>
          <w:tcPr>
            <w:tcW w:w="1253" w:type="dxa"/>
            <w:tcBorders>
              <w:left w:val="single" w:sz="4" w:space="0" w:color="auto"/>
            </w:tcBorders>
          </w:tcPr>
          <w:p w:rsidR="00000000" w:rsidRDefault="00000000">
            <w:pPr>
              <w:spacing w:after="0"/>
              <w:ind w:right="216"/>
              <w:jc w:val="right"/>
            </w:pPr>
            <w:r>
              <w:t>2 386.0</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10.</w:t>
            </w:r>
          </w:p>
        </w:tc>
        <w:tc>
          <w:tcPr>
            <w:tcW w:w="1950" w:type="dxa"/>
            <w:tcBorders>
              <w:left w:val="single" w:sz="4" w:space="0" w:color="auto"/>
              <w:right w:val="single" w:sz="4" w:space="0" w:color="auto"/>
            </w:tcBorders>
          </w:tcPr>
          <w:p w:rsidR="00000000" w:rsidRDefault="00000000">
            <w:pPr>
              <w:spacing w:after="0"/>
            </w:pPr>
            <w:r>
              <w:t>Gjirokaster</w:t>
            </w:r>
          </w:p>
        </w:tc>
        <w:tc>
          <w:tcPr>
            <w:tcW w:w="1252" w:type="dxa"/>
            <w:tcBorders>
              <w:left w:val="single" w:sz="4" w:space="0" w:color="auto"/>
              <w:right w:val="single" w:sz="4" w:space="0" w:color="auto"/>
            </w:tcBorders>
          </w:tcPr>
          <w:p w:rsidR="00000000" w:rsidRDefault="00000000">
            <w:pPr>
              <w:spacing w:after="0"/>
              <w:ind w:right="216"/>
              <w:jc w:val="right"/>
            </w:pPr>
            <w:r>
              <w:t>893.4</w:t>
            </w:r>
          </w:p>
        </w:tc>
        <w:tc>
          <w:tcPr>
            <w:tcW w:w="1253" w:type="dxa"/>
            <w:tcBorders>
              <w:left w:val="single" w:sz="4" w:space="0" w:color="auto"/>
              <w:right w:val="single" w:sz="4" w:space="0" w:color="auto"/>
            </w:tcBorders>
          </w:tcPr>
          <w:p w:rsidR="00000000" w:rsidRDefault="00000000">
            <w:pPr>
              <w:spacing w:after="0"/>
              <w:ind w:right="216"/>
              <w:jc w:val="right"/>
            </w:pPr>
            <w:r>
              <w:t>953.6</w:t>
            </w:r>
          </w:p>
        </w:tc>
        <w:tc>
          <w:tcPr>
            <w:tcW w:w="1252" w:type="dxa"/>
            <w:tcBorders>
              <w:left w:val="single" w:sz="4" w:space="0" w:color="auto"/>
              <w:right w:val="single" w:sz="4" w:space="0" w:color="auto"/>
            </w:tcBorders>
          </w:tcPr>
          <w:p w:rsidR="00000000" w:rsidRDefault="00000000">
            <w:pPr>
              <w:spacing w:after="0"/>
              <w:ind w:right="216"/>
              <w:jc w:val="right"/>
            </w:pPr>
            <w:r>
              <w:t>122.7</w:t>
            </w:r>
          </w:p>
        </w:tc>
        <w:tc>
          <w:tcPr>
            <w:tcW w:w="1253" w:type="dxa"/>
            <w:tcBorders>
              <w:left w:val="single" w:sz="4" w:space="0" w:color="auto"/>
            </w:tcBorders>
          </w:tcPr>
          <w:p w:rsidR="00000000" w:rsidRDefault="00000000">
            <w:pPr>
              <w:spacing w:after="0"/>
              <w:ind w:right="216"/>
              <w:jc w:val="right"/>
            </w:pPr>
            <w:r>
              <w:t>162.1</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11.</w:t>
            </w:r>
          </w:p>
        </w:tc>
        <w:tc>
          <w:tcPr>
            <w:tcW w:w="1950" w:type="dxa"/>
            <w:tcBorders>
              <w:left w:val="single" w:sz="4" w:space="0" w:color="auto"/>
              <w:right w:val="single" w:sz="4" w:space="0" w:color="auto"/>
            </w:tcBorders>
          </w:tcPr>
          <w:p w:rsidR="00000000" w:rsidRDefault="00000000">
            <w:pPr>
              <w:spacing w:after="0"/>
            </w:pPr>
            <w:r>
              <w:t>Has</w:t>
            </w:r>
          </w:p>
        </w:tc>
        <w:tc>
          <w:tcPr>
            <w:tcW w:w="1252" w:type="dxa"/>
            <w:tcBorders>
              <w:left w:val="single" w:sz="4" w:space="0" w:color="auto"/>
              <w:right w:val="single" w:sz="4" w:space="0" w:color="auto"/>
            </w:tcBorders>
          </w:tcPr>
          <w:p w:rsidR="00000000" w:rsidRDefault="00000000">
            <w:pPr>
              <w:spacing w:after="0"/>
              <w:ind w:right="216"/>
              <w:jc w:val="right"/>
            </w:pPr>
            <w:r>
              <w:t>562.8</w:t>
            </w:r>
          </w:p>
        </w:tc>
        <w:tc>
          <w:tcPr>
            <w:tcW w:w="1253" w:type="dxa"/>
            <w:tcBorders>
              <w:left w:val="single" w:sz="4" w:space="0" w:color="auto"/>
              <w:right w:val="single" w:sz="4" w:space="0" w:color="auto"/>
            </w:tcBorders>
          </w:tcPr>
          <w:p w:rsidR="00000000" w:rsidRDefault="00000000">
            <w:pPr>
              <w:spacing w:after="0"/>
              <w:ind w:right="216"/>
              <w:jc w:val="right"/>
            </w:pPr>
            <w:r>
              <w:t>621.2</w:t>
            </w:r>
          </w:p>
        </w:tc>
        <w:tc>
          <w:tcPr>
            <w:tcW w:w="1252" w:type="dxa"/>
            <w:tcBorders>
              <w:left w:val="single" w:sz="4" w:space="0" w:color="auto"/>
              <w:right w:val="single" w:sz="4" w:space="0" w:color="auto"/>
            </w:tcBorders>
          </w:tcPr>
          <w:p w:rsidR="00000000" w:rsidRDefault="00000000">
            <w:pPr>
              <w:spacing w:after="0"/>
              <w:ind w:right="216"/>
              <w:jc w:val="right"/>
            </w:pPr>
            <w:r>
              <w:t>3 288.7</w:t>
            </w:r>
          </w:p>
        </w:tc>
        <w:tc>
          <w:tcPr>
            <w:tcW w:w="1253" w:type="dxa"/>
            <w:tcBorders>
              <w:left w:val="single" w:sz="4" w:space="0" w:color="auto"/>
            </w:tcBorders>
          </w:tcPr>
          <w:p w:rsidR="00000000" w:rsidRDefault="00000000">
            <w:pPr>
              <w:spacing w:after="0"/>
              <w:ind w:right="216"/>
              <w:jc w:val="right"/>
            </w:pPr>
            <w:r>
              <w:t>3 825.3</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12.</w:t>
            </w:r>
          </w:p>
        </w:tc>
        <w:tc>
          <w:tcPr>
            <w:tcW w:w="1950" w:type="dxa"/>
            <w:tcBorders>
              <w:left w:val="single" w:sz="4" w:space="0" w:color="auto"/>
              <w:right w:val="single" w:sz="4" w:space="0" w:color="auto"/>
            </w:tcBorders>
          </w:tcPr>
          <w:p w:rsidR="00000000" w:rsidRDefault="00000000">
            <w:pPr>
              <w:spacing w:after="0"/>
            </w:pPr>
            <w:r>
              <w:t>Kavaje</w:t>
            </w:r>
          </w:p>
        </w:tc>
        <w:tc>
          <w:tcPr>
            <w:tcW w:w="1252" w:type="dxa"/>
            <w:tcBorders>
              <w:left w:val="single" w:sz="4" w:space="0" w:color="auto"/>
              <w:right w:val="single" w:sz="4" w:space="0" w:color="auto"/>
            </w:tcBorders>
          </w:tcPr>
          <w:p w:rsidR="00000000" w:rsidRDefault="00000000">
            <w:pPr>
              <w:spacing w:after="0"/>
              <w:ind w:right="216"/>
              <w:jc w:val="right"/>
            </w:pPr>
            <w:r>
              <w:t>2 681.2</w:t>
            </w:r>
          </w:p>
        </w:tc>
        <w:tc>
          <w:tcPr>
            <w:tcW w:w="1253" w:type="dxa"/>
            <w:tcBorders>
              <w:left w:val="single" w:sz="4" w:space="0" w:color="auto"/>
              <w:right w:val="single" w:sz="4" w:space="0" w:color="auto"/>
            </w:tcBorders>
          </w:tcPr>
          <w:p w:rsidR="00000000" w:rsidRDefault="00000000">
            <w:pPr>
              <w:spacing w:after="0"/>
              <w:ind w:right="216"/>
              <w:jc w:val="right"/>
            </w:pPr>
            <w:r>
              <w:t>2 420.7</w:t>
            </w:r>
          </w:p>
        </w:tc>
        <w:tc>
          <w:tcPr>
            <w:tcW w:w="1252" w:type="dxa"/>
            <w:tcBorders>
              <w:left w:val="single" w:sz="4" w:space="0" w:color="auto"/>
              <w:right w:val="single" w:sz="4" w:space="0" w:color="auto"/>
            </w:tcBorders>
          </w:tcPr>
          <w:p w:rsidR="00000000" w:rsidRDefault="00000000">
            <w:pPr>
              <w:spacing w:after="0"/>
              <w:ind w:right="216"/>
              <w:jc w:val="right"/>
            </w:pPr>
            <w:r>
              <w:t>3 954.5</w:t>
            </w:r>
          </w:p>
        </w:tc>
        <w:tc>
          <w:tcPr>
            <w:tcW w:w="1253" w:type="dxa"/>
            <w:tcBorders>
              <w:left w:val="single" w:sz="4" w:space="0" w:color="auto"/>
            </w:tcBorders>
          </w:tcPr>
          <w:p w:rsidR="00000000" w:rsidRDefault="00000000">
            <w:pPr>
              <w:spacing w:after="0"/>
              <w:ind w:right="216"/>
              <w:jc w:val="right"/>
            </w:pPr>
            <w:r>
              <w:t>2 928.4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13.</w:t>
            </w:r>
          </w:p>
        </w:tc>
        <w:tc>
          <w:tcPr>
            <w:tcW w:w="1950" w:type="dxa"/>
            <w:tcBorders>
              <w:left w:val="single" w:sz="4" w:space="0" w:color="auto"/>
              <w:right w:val="single" w:sz="4" w:space="0" w:color="auto"/>
            </w:tcBorders>
          </w:tcPr>
          <w:p w:rsidR="00000000" w:rsidRDefault="00000000">
            <w:pPr>
              <w:spacing w:after="0"/>
            </w:pPr>
            <w:r>
              <w:t>Kolonje</w:t>
            </w:r>
          </w:p>
        </w:tc>
        <w:tc>
          <w:tcPr>
            <w:tcW w:w="1252" w:type="dxa"/>
            <w:tcBorders>
              <w:left w:val="single" w:sz="4" w:space="0" w:color="auto"/>
              <w:right w:val="single" w:sz="4" w:space="0" w:color="auto"/>
            </w:tcBorders>
          </w:tcPr>
          <w:p w:rsidR="00000000" w:rsidRDefault="00000000">
            <w:pPr>
              <w:spacing w:after="0"/>
              <w:ind w:right="216"/>
              <w:jc w:val="right"/>
            </w:pPr>
            <w:r>
              <w:t>1 839.9</w:t>
            </w:r>
          </w:p>
        </w:tc>
        <w:tc>
          <w:tcPr>
            <w:tcW w:w="1253" w:type="dxa"/>
            <w:tcBorders>
              <w:left w:val="single" w:sz="4" w:space="0" w:color="auto"/>
              <w:right w:val="single" w:sz="4" w:space="0" w:color="auto"/>
            </w:tcBorders>
          </w:tcPr>
          <w:p w:rsidR="00000000" w:rsidRDefault="00000000">
            <w:pPr>
              <w:spacing w:after="0"/>
              <w:ind w:right="216"/>
              <w:jc w:val="right"/>
            </w:pPr>
            <w:r>
              <w:t>2 478.8</w:t>
            </w:r>
          </w:p>
        </w:tc>
        <w:tc>
          <w:tcPr>
            <w:tcW w:w="1252" w:type="dxa"/>
            <w:tcBorders>
              <w:left w:val="single" w:sz="4" w:space="0" w:color="auto"/>
              <w:right w:val="single" w:sz="4" w:space="0" w:color="auto"/>
            </w:tcBorders>
          </w:tcPr>
          <w:p w:rsidR="00000000" w:rsidRDefault="00000000">
            <w:pPr>
              <w:spacing w:after="0"/>
              <w:ind w:right="216"/>
              <w:jc w:val="right"/>
            </w:pPr>
            <w:r>
              <w:t>1 337.4</w:t>
            </w:r>
          </w:p>
        </w:tc>
        <w:tc>
          <w:tcPr>
            <w:tcW w:w="1253" w:type="dxa"/>
            <w:tcBorders>
              <w:left w:val="single" w:sz="4" w:space="0" w:color="auto"/>
            </w:tcBorders>
          </w:tcPr>
          <w:p w:rsidR="00000000" w:rsidRDefault="00000000">
            <w:pPr>
              <w:spacing w:after="0"/>
              <w:ind w:right="216"/>
              <w:jc w:val="right"/>
            </w:pPr>
            <w:r>
              <w:t>1 316.7</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14.</w:t>
            </w:r>
          </w:p>
        </w:tc>
        <w:tc>
          <w:tcPr>
            <w:tcW w:w="1950" w:type="dxa"/>
            <w:tcBorders>
              <w:left w:val="single" w:sz="4" w:space="0" w:color="auto"/>
              <w:right w:val="single" w:sz="4" w:space="0" w:color="auto"/>
            </w:tcBorders>
          </w:tcPr>
          <w:p w:rsidR="00000000" w:rsidRDefault="00000000">
            <w:pPr>
              <w:spacing w:after="0"/>
            </w:pPr>
            <w:r>
              <w:t>Korçe</w:t>
            </w:r>
          </w:p>
        </w:tc>
        <w:tc>
          <w:tcPr>
            <w:tcW w:w="1252" w:type="dxa"/>
            <w:tcBorders>
              <w:left w:val="single" w:sz="4" w:space="0" w:color="auto"/>
              <w:right w:val="single" w:sz="4" w:space="0" w:color="auto"/>
            </w:tcBorders>
          </w:tcPr>
          <w:p w:rsidR="00000000" w:rsidRDefault="00000000">
            <w:pPr>
              <w:spacing w:after="0"/>
              <w:ind w:right="216"/>
              <w:jc w:val="right"/>
            </w:pPr>
            <w:r>
              <w:t>1 972.4</w:t>
            </w:r>
          </w:p>
        </w:tc>
        <w:tc>
          <w:tcPr>
            <w:tcW w:w="1253" w:type="dxa"/>
            <w:tcBorders>
              <w:left w:val="single" w:sz="4" w:space="0" w:color="auto"/>
              <w:right w:val="single" w:sz="4" w:space="0" w:color="auto"/>
            </w:tcBorders>
          </w:tcPr>
          <w:p w:rsidR="00000000" w:rsidRDefault="00000000">
            <w:pPr>
              <w:spacing w:after="0"/>
              <w:ind w:right="216"/>
              <w:jc w:val="right"/>
            </w:pPr>
            <w:r>
              <w:t>2 180.3</w:t>
            </w:r>
          </w:p>
        </w:tc>
        <w:tc>
          <w:tcPr>
            <w:tcW w:w="1252" w:type="dxa"/>
            <w:tcBorders>
              <w:left w:val="single" w:sz="4" w:space="0" w:color="auto"/>
              <w:right w:val="single" w:sz="4" w:space="0" w:color="auto"/>
            </w:tcBorders>
          </w:tcPr>
          <w:p w:rsidR="00000000" w:rsidRDefault="00000000">
            <w:pPr>
              <w:spacing w:after="0"/>
              <w:ind w:right="216"/>
              <w:jc w:val="right"/>
            </w:pPr>
            <w:r>
              <w:t>2 164.6</w:t>
            </w:r>
          </w:p>
        </w:tc>
        <w:tc>
          <w:tcPr>
            <w:tcW w:w="1253" w:type="dxa"/>
            <w:tcBorders>
              <w:left w:val="single" w:sz="4" w:space="0" w:color="auto"/>
            </w:tcBorders>
          </w:tcPr>
          <w:p w:rsidR="00000000" w:rsidRDefault="00000000">
            <w:pPr>
              <w:spacing w:after="0"/>
              <w:ind w:right="216"/>
              <w:jc w:val="right"/>
            </w:pPr>
            <w:r>
              <w:t>2 441.7</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15.</w:t>
            </w:r>
          </w:p>
        </w:tc>
        <w:tc>
          <w:tcPr>
            <w:tcW w:w="1950" w:type="dxa"/>
            <w:tcBorders>
              <w:left w:val="single" w:sz="4" w:space="0" w:color="auto"/>
              <w:right w:val="single" w:sz="4" w:space="0" w:color="auto"/>
            </w:tcBorders>
          </w:tcPr>
          <w:p w:rsidR="00000000" w:rsidRDefault="00000000">
            <w:pPr>
              <w:spacing w:after="0"/>
            </w:pPr>
            <w:r>
              <w:t>Kruje</w:t>
            </w:r>
          </w:p>
        </w:tc>
        <w:tc>
          <w:tcPr>
            <w:tcW w:w="1252" w:type="dxa"/>
            <w:tcBorders>
              <w:left w:val="single" w:sz="4" w:space="0" w:color="auto"/>
              <w:right w:val="single" w:sz="4" w:space="0" w:color="auto"/>
            </w:tcBorders>
          </w:tcPr>
          <w:p w:rsidR="00000000" w:rsidRDefault="00000000">
            <w:pPr>
              <w:spacing w:after="0"/>
              <w:ind w:right="216"/>
              <w:jc w:val="right"/>
            </w:pPr>
            <w:r>
              <w:t>2 931.7</w:t>
            </w:r>
          </w:p>
        </w:tc>
        <w:tc>
          <w:tcPr>
            <w:tcW w:w="1253" w:type="dxa"/>
            <w:tcBorders>
              <w:left w:val="single" w:sz="4" w:space="0" w:color="auto"/>
              <w:right w:val="single" w:sz="4" w:space="0" w:color="auto"/>
            </w:tcBorders>
          </w:tcPr>
          <w:p w:rsidR="00000000" w:rsidRDefault="00000000">
            <w:pPr>
              <w:spacing w:after="0"/>
              <w:ind w:right="216"/>
              <w:jc w:val="right"/>
            </w:pPr>
            <w:r>
              <w:t>1 409.6</w:t>
            </w:r>
          </w:p>
        </w:tc>
        <w:tc>
          <w:tcPr>
            <w:tcW w:w="1252" w:type="dxa"/>
            <w:tcBorders>
              <w:left w:val="single" w:sz="4" w:space="0" w:color="auto"/>
              <w:right w:val="single" w:sz="4" w:space="0" w:color="auto"/>
            </w:tcBorders>
          </w:tcPr>
          <w:p w:rsidR="00000000" w:rsidRDefault="00000000">
            <w:pPr>
              <w:spacing w:after="0"/>
              <w:ind w:right="216"/>
              <w:jc w:val="right"/>
            </w:pPr>
            <w:r>
              <w:t>424.5</w:t>
            </w:r>
          </w:p>
        </w:tc>
        <w:tc>
          <w:tcPr>
            <w:tcW w:w="1253" w:type="dxa"/>
            <w:tcBorders>
              <w:left w:val="single" w:sz="4" w:space="0" w:color="auto"/>
            </w:tcBorders>
          </w:tcPr>
          <w:p w:rsidR="00000000" w:rsidRDefault="00000000">
            <w:pPr>
              <w:spacing w:after="0"/>
              <w:ind w:right="216"/>
              <w:jc w:val="right"/>
            </w:pPr>
            <w:r>
              <w:t>1 014.1</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16.</w:t>
            </w:r>
          </w:p>
        </w:tc>
        <w:tc>
          <w:tcPr>
            <w:tcW w:w="1950" w:type="dxa"/>
            <w:tcBorders>
              <w:left w:val="single" w:sz="4" w:space="0" w:color="auto"/>
              <w:right w:val="single" w:sz="4" w:space="0" w:color="auto"/>
            </w:tcBorders>
          </w:tcPr>
          <w:p w:rsidR="00000000" w:rsidRDefault="00000000">
            <w:pPr>
              <w:spacing w:after="0"/>
            </w:pPr>
            <w:r>
              <w:t>Kuçove</w:t>
            </w:r>
          </w:p>
        </w:tc>
        <w:tc>
          <w:tcPr>
            <w:tcW w:w="1252" w:type="dxa"/>
            <w:tcBorders>
              <w:left w:val="single" w:sz="4" w:space="0" w:color="auto"/>
              <w:right w:val="single" w:sz="4" w:space="0" w:color="auto"/>
            </w:tcBorders>
          </w:tcPr>
          <w:p w:rsidR="00000000" w:rsidRDefault="00000000">
            <w:pPr>
              <w:spacing w:after="0"/>
              <w:ind w:right="216"/>
              <w:jc w:val="right"/>
            </w:pPr>
            <w:r>
              <w:t>2 368.8</w:t>
            </w:r>
          </w:p>
        </w:tc>
        <w:tc>
          <w:tcPr>
            <w:tcW w:w="1253" w:type="dxa"/>
            <w:tcBorders>
              <w:left w:val="single" w:sz="4" w:space="0" w:color="auto"/>
              <w:right w:val="single" w:sz="4" w:space="0" w:color="auto"/>
            </w:tcBorders>
          </w:tcPr>
          <w:p w:rsidR="00000000" w:rsidRDefault="00000000">
            <w:pPr>
              <w:spacing w:after="0"/>
              <w:ind w:right="216"/>
              <w:jc w:val="right"/>
            </w:pPr>
            <w:r>
              <w:t>2 241.3</w:t>
            </w:r>
          </w:p>
        </w:tc>
        <w:tc>
          <w:tcPr>
            <w:tcW w:w="1252" w:type="dxa"/>
            <w:tcBorders>
              <w:left w:val="single" w:sz="4" w:space="0" w:color="auto"/>
              <w:right w:val="single" w:sz="4" w:space="0" w:color="auto"/>
            </w:tcBorders>
          </w:tcPr>
          <w:p w:rsidR="00000000" w:rsidRDefault="00000000">
            <w:pPr>
              <w:spacing w:after="0"/>
              <w:ind w:right="216"/>
              <w:jc w:val="right"/>
            </w:pPr>
            <w:r>
              <w:t>3 004.8</w:t>
            </w:r>
          </w:p>
        </w:tc>
        <w:tc>
          <w:tcPr>
            <w:tcW w:w="1253" w:type="dxa"/>
            <w:tcBorders>
              <w:left w:val="single" w:sz="4" w:space="0" w:color="auto"/>
            </w:tcBorders>
          </w:tcPr>
          <w:p w:rsidR="00000000" w:rsidRDefault="00000000">
            <w:pPr>
              <w:spacing w:after="0"/>
              <w:ind w:right="216"/>
              <w:jc w:val="right"/>
            </w:pPr>
            <w:r>
              <w:t>2 510.4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17.</w:t>
            </w:r>
          </w:p>
        </w:tc>
        <w:tc>
          <w:tcPr>
            <w:tcW w:w="1950" w:type="dxa"/>
            <w:tcBorders>
              <w:left w:val="single" w:sz="4" w:space="0" w:color="auto"/>
              <w:right w:val="single" w:sz="4" w:space="0" w:color="auto"/>
            </w:tcBorders>
          </w:tcPr>
          <w:p w:rsidR="00000000" w:rsidRDefault="00000000">
            <w:pPr>
              <w:spacing w:after="0"/>
            </w:pPr>
            <w:r>
              <w:t>Kukes</w:t>
            </w:r>
          </w:p>
        </w:tc>
        <w:tc>
          <w:tcPr>
            <w:tcW w:w="1252" w:type="dxa"/>
            <w:tcBorders>
              <w:left w:val="single" w:sz="4" w:space="0" w:color="auto"/>
              <w:right w:val="single" w:sz="4" w:space="0" w:color="auto"/>
            </w:tcBorders>
          </w:tcPr>
          <w:p w:rsidR="00000000" w:rsidRDefault="00000000">
            <w:pPr>
              <w:spacing w:after="0"/>
              <w:ind w:right="216"/>
              <w:jc w:val="right"/>
            </w:pPr>
            <w:r>
              <w:t>2 750.3</w:t>
            </w:r>
          </w:p>
        </w:tc>
        <w:tc>
          <w:tcPr>
            <w:tcW w:w="1253" w:type="dxa"/>
            <w:tcBorders>
              <w:left w:val="single" w:sz="4" w:space="0" w:color="auto"/>
              <w:right w:val="single" w:sz="4" w:space="0" w:color="auto"/>
            </w:tcBorders>
          </w:tcPr>
          <w:p w:rsidR="00000000" w:rsidRDefault="00000000">
            <w:pPr>
              <w:spacing w:after="0"/>
              <w:ind w:right="216"/>
              <w:jc w:val="right"/>
            </w:pPr>
            <w:r>
              <w:t>3 538.7</w:t>
            </w:r>
          </w:p>
        </w:tc>
        <w:tc>
          <w:tcPr>
            <w:tcW w:w="1252" w:type="dxa"/>
            <w:tcBorders>
              <w:left w:val="single" w:sz="4" w:space="0" w:color="auto"/>
              <w:right w:val="single" w:sz="4" w:space="0" w:color="auto"/>
            </w:tcBorders>
          </w:tcPr>
          <w:p w:rsidR="00000000" w:rsidRDefault="00000000">
            <w:pPr>
              <w:spacing w:after="0"/>
              <w:ind w:right="216"/>
              <w:jc w:val="right"/>
            </w:pPr>
            <w:r>
              <w:t>2 973.9</w:t>
            </w:r>
          </w:p>
        </w:tc>
        <w:tc>
          <w:tcPr>
            <w:tcW w:w="1253" w:type="dxa"/>
            <w:tcBorders>
              <w:left w:val="single" w:sz="4" w:space="0" w:color="auto"/>
            </w:tcBorders>
          </w:tcPr>
          <w:p w:rsidR="00000000" w:rsidRDefault="00000000">
            <w:pPr>
              <w:spacing w:after="0"/>
              <w:ind w:right="216"/>
              <w:jc w:val="right"/>
            </w:pPr>
            <w:r>
              <w:t>2 366.8</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18.</w:t>
            </w:r>
          </w:p>
        </w:tc>
        <w:tc>
          <w:tcPr>
            <w:tcW w:w="1950" w:type="dxa"/>
            <w:tcBorders>
              <w:left w:val="single" w:sz="4" w:space="0" w:color="auto"/>
              <w:right w:val="single" w:sz="4" w:space="0" w:color="auto"/>
            </w:tcBorders>
          </w:tcPr>
          <w:p w:rsidR="00000000" w:rsidRDefault="00000000">
            <w:pPr>
              <w:spacing w:after="0"/>
            </w:pPr>
            <w:r>
              <w:t>Laç</w:t>
            </w:r>
          </w:p>
        </w:tc>
        <w:tc>
          <w:tcPr>
            <w:tcW w:w="1252" w:type="dxa"/>
            <w:tcBorders>
              <w:left w:val="single" w:sz="4" w:space="0" w:color="auto"/>
              <w:right w:val="single" w:sz="4" w:space="0" w:color="auto"/>
            </w:tcBorders>
          </w:tcPr>
          <w:p w:rsidR="00000000" w:rsidRDefault="00000000">
            <w:pPr>
              <w:spacing w:after="0"/>
              <w:ind w:right="216"/>
              <w:jc w:val="right"/>
            </w:pPr>
            <w:r>
              <w:t>1 918.6</w:t>
            </w:r>
          </w:p>
        </w:tc>
        <w:tc>
          <w:tcPr>
            <w:tcW w:w="1253" w:type="dxa"/>
            <w:tcBorders>
              <w:left w:val="single" w:sz="4" w:space="0" w:color="auto"/>
              <w:right w:val="single" w:sz="4" w:space="0" w:color="auto"/>
            </w:tcBorders>
          </w:tcPr>
          <w:p w:rsidR="00000000" w:rsidRDefault="00000000">
            <w:pPr>
              <w:spacing w:after="0"/>
              <w:ind w:right="216"/>
              <w:jc w:val="right"/>
            </w:pPr>
            <w:r>
              <w:t>2 521.4</w:t>
            </w:r>
          </w:p>
        </w:tc>
        <w:tc>
          <w:tcPr>
            <w:tcW w:w="1252" w:type="dxa"/>
            <w:tcBorders>
              <w:left w:val="single" w:sz="4" w:space="0" w:color="auto"/>
              <w:right w:val="single" w:sz="4" w:space="0" w:color="auto"/>
            </w:tcBorders>
          </w:tcPr>
          <w:p w:rsidR="00000000" w:rsidRDefault="00000000">
            <w:pPr>
              <w:spacing w:after="0"/>
              <w:ind w:right="216"/>
              <w:jc w:val="right"/>
            </w:pPr>
            <w:r>
              <w:t>1 297.2</w:t>
            </w:r>
          </w:p>
        </w:tc>
        <w:tc>
          <w:tcPr>
            <w:tcW w:w="1253" w:type="dxa"/>
            <w:tcBorders>
              <w:left w:val="single" w:sz="4" w:space="0" w:color="auto"/>
            </w:tcBorders>
          </w:tcPr>
          <w:p w:rsidR="00000000" w:rsidRDefault="00000000">
            <w:pPr>
              <w:spacing w:after="0"/>
              <w:ind w:right="216"/>
              <w:jc w:val="right"/>
            </w:pPr>
            <w:r>
              <w:t>1 729.0</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19.</w:t>
            </w:r>
          </w:p>
        </w:tc>
        <w:tc>
          <w:tcPr>
            <w:tcW w:w="1950" w:type="dxa"/>
            <w:tcBorders>
              <w:left w:val="single" w:sz="4" w:space="0" w:color="auto"/>
              <w:right w:val="single" w:sz="4" w:space="0" w:color="auto"/>
            </w:tcBorders>
          </w:tcPr>
          <w:p w:rsidR="00000000" w:rsidRDefault="00000000">
            <w:pPr>
              <w:spacing w:after="0"/>
            </w:pPr>
            <w:r>
              <w:t>Lezhe</w:t>
            </w:r>
          </w:p>
        </w:tc>
        <w:tc>
          <w:tcPr>
            <w:tcW w:w="1252" w:type="dxa"/>
            <w:tcBorders>
              <w:left w:val="single" w:sz="4" w:space="0" w:color="auto"/>
              <w:right w:val="single" w:sz="4" w:space="0" w:color="auto"/>
            </w:tcBorders>
          </w:tcPr>
          <w:p w:rsidR="00000000" w:rsidRDefault="00000000">
            <w:pPr>
              <w:spacing w:after="0"/>
              <w:ind w:right="216"/>
              <w:jc w:val="right"/>
            </w:pPr>
            <w:r>
              <w:t>2 381.2</w:t>
            </w:r>
          </w:p>
        </w:tc>
        <w:tc>
          <w:tcPr>
            <w:tcW w:w="1253" w:type="dxa"/>
            <w:tcBorders>
              <w:left w:val="single" w:sz="4" w:space="0" w:color="auto"/>
              <w:right w:val="single" w:sz="4" w:space="0" w:color="auto"/>
            </w:tcBorders>
          </w:tcPr>
          <w:p w:rsidR="00000000" w:rsidRDefault="00000000">
            <w:pPr>
              <w:spacing w:after="0"/>
              <w:ind w:right="216"/>
              <w:jc w:val="right"/>
            </w:pPr>
            <w:r>
              <w:t>2 169.8</w:t>
            </w:r>
          </w:p>
        </w:tc>
        <w:tc>
          <w:tcPr>
            <w:tcW w:w="1252" w:type="dxa"/>
            <w:tcBorders>
              <w:left w:val="single" w:sz="4" w:space="0" w:color="auto"/>
              <w:right w:val="single" w:sz="4" w:space="0" w:color="auto"/>
            </w:tcBorders>
          </w:tcPr>
          <w:p w:rsidR="00000000" w:rsidRDefault="00000000">
            <w:pPr>
              <w:spacing w:after="0"/>
              <w:ind w:right="216"/>
              <w:jc w:val="right"/>
            </w:pPr>
            <w:r>
              <w:t>1 595.3</w:t>
            </w:r>
          </w:p>
        </w:tc>
        <w:tc>
          <w:tcPr>
            <w:tcW w:w="1253" w:type="dxa"/>
            <w:tcBorders>
              <w:left w:val="single" w:sz="4" w:space="0" w:color="auto"/>
            </w:tcBorders>
          </w:tcPr>
          <w:p w:rsidR="00000000" w:rsidRDefault="00000000">
            <w:pPr>
              <w:spacing w:after="0"/>
              <w:ind w:right="216"/>
              <w:jc w:val="right"/>
            </w:pPr>
            <w:r>
              <w:t>1 410.2</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20.</w:t>
            </w:r>
          </w:p>
        </w:tc>
        <w:tc>
          <w:tcPr>
            <w:tcW w:w="1950" w:type="dxa"/>
            <w:tcBorders>
              <w:left w:val="single" w:sz="4" w:space="0" w:color="auto"/>
              <w:right w:val="single" w:sz="4" w:space="0" w:color="auto"/>
            </w:tcBorders>
          </w:tcPr>
          <w:p w:rsidR="00000000" w:rsidRDefault="00000000">
            <w:pPr>
              <w:spacing w:after="0"/>
            </w:pPr>
            <w:r>
              <w:t>Librazhd</w:t>
            </w:r>
          </w:p>
        </w:tc>
        <w:tc>
          <w:tcPr>
            <w:tcW w:w="1252" w:type="dxa"/>
            <w:tcBorders>
              <w:left w:val="single" w:sz="4" w:space="0" w:color="auto"/>
              <w:right w:val="single" w:sz="4" w:space="0" w:color="auto"/>
            </w:tcBorders>
          </w:tcPr>
          <w:p w:rsidR="00000000" w:rsidRDefault="00000000">
            <w:pPr>
              <w:spacing w:after="0"/>
              <w:ind w:right="216"/>
              <w:jc w:val="right"/>
            </w:pPr>
            <w:r>
              <w:t>1 119.6</w:t>
            </w:r>
          </w:p>
        </w:tc>
        <w:tc>
          <w:tcPr>
            <w:tcW w:w="1253" w:type="dxa"/>
            <w:tcBorders>
              <w:left w:val="single" w:sz="4" w:space="0" w:color="auto"/>
              <w:right w:val="single" w:sz="4" w:space="0" w:color="auto"/>
            </w:tcBorders>
          </w:tcPr>
          <w:p w:rsidR="00000000" w:rsidRDefault="00000000">
            <w:pPr>
              <w:spacing w:after="0"/>
              <w:ind w:right="216"/>
              <w:jc w:val="right"/>
            </w:pPr>
            <w:r>
              <w:t>2 131.3</w:t>
            </w:r>
          </w:p>
        </w:tc>
        <w:tc>
          <w:tcPr>
            <w:tcW w:w="1252" w:type="dxa"/>
            <w:tcBorders>
              <w:left w:val="single" w:sz="4" w:space="0" w:color="auto"/>
              <w:right w:val="single" w:sz="4" w:space="0" w:color="auto"/>
            </w:tcBorders>
          </w:tcPr>
          <w:p w:rsidR="00000000" w:rsidRDefault="00000000">
            <w:pPr>
              <w:spacing w:after="0"/>
              <w:ind w:right="216"/>
              <w:jc w:val="right"/>
            </w:pPr>
            <w:r>
              <w:t>3 332.2</w:t>
            </w:r>
          </w:p>
        </w:tc>
        <w:tc>
          <w:tcPr>
            <w:tcW w:w="1253" w:type="dxa"/>
            <w:tcBorders>
              <w:left w:val="single" w:sz="4" w:space="0" w:color="auto"/>
            </w:tcBorders>
          </w:tcPr>
          <w:p w:rsidR="00000000" w:rsidRDefault="00000000">
            <w:pPr>
              <w:spacing w:after="0"/>
              <w:ind w:right="216"/>
              <w:jc w:val="right"/>
            </w:pPr>
            <w:r>
              <w:t>3 769.3</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21.</w:t>
            </w:r>
          </w:p>
        </w:tc>
        <w:tc>
          <w:tcPr>
            <w:tcW w:w="1950" w:type="dxa"/>
            <w:tcBorders>
              <w:left w:val="single" w:sz="4" w:space="0" w:color="auto"/>
              <w:right w:val="single" w:sz="4" w:space="0" w:color="auto"/>
            </w:tcBorders>
          </w:tcPr>
          <w:p w:rsidR="00000000" w:rsidRDefault="00000000">
            <w:pPr>
              <w:spacing w:after="0"/>
            </w:pPr>
            <w:r>
              <w:t>Lushnje</w:t>
            </w:r>
          </w:p>
        </w:tc>
        <w:tc>
          <w:tcPr>
            <w:tcW w:w="1252" w:type="dxa"/>
            <w:tcBorders>
              <w:left w:val="single" w:sz="4" w:space="0" w:color="auto"/>
              <w:right w:val="single" w:sz="4" w:space="0" w:color="auto"/>
            </w:tcBorders>
          </w:tcPr>
          <w:p w:rsidR="00000000" w:rsidRDefault="00000000">
            <w:pPr>
              <w:spacing w:after="0"/>
              <w:ind w:right="216"/>
              <w:jc w:val="right"/>
            </w:pPr>
            <w:r>
              <w:t>1 581.3</w:t>
            </w:r>
          </w:p>
        </w:tc>
        <w:tc>
          <w:tcPr>
            <w:tcW w:w="1253" w:type="dxa"/>
            <w:tcBorders>
              <w:left w:val="single" w:sz="4" w:space="0" w:color="auto"/>
              <w:right w:val="single" w:sz="4" w:space="0" w:color="auto"/>
            </w:tcBorders>
          </w:tcPr>
          <w:p w:rsidR="00000000" w:rsidRDefault="00000000">
            <w:pPr>
              <w:spacing w:after="0"/>
              <w:ind w:right="216"/>
              <w:jc w:val="right"/>
            </w:pPr>
            <w:r>
              <w:t>1 791.1</w:t>
            </w:r>
          </w:p>
        </w:tc>
        <w:tc>
          <w:tcPr>
            <w:tcW w:w="1252" w:type="dxa"/>
            <w:tcBorders>
              <w:left w:val="single" w:sz="4" w:space="0" w:color="auto"/>
              <w:right w:val="single" w:sz="4" w:space="0" w:color="auto"/>
            </w:tcBorders>
          </w:tcPr>
          <w:p w:rsidR="00000000" w:rsidRDefault="00000000">
            <w:pPr>
              <w:spacing w:after="0"/>
              <w:ind w:right="216"/>
              <w:jc w:val="right"/>
            </w:pPr>
            <w:r>
              <w:t>1 711.3</w:t>
            </w:r>
          </w:p>
        </w:tc>
        <w:tc>
          <w:tcPr>
            <w:tcW w:w="1253" w:type="dxa"/>
            <w:tcBorders>
              <w:left w:val="single" w:sz="4" w:space="0" w:color="auto"/>
            </w:tcBorders>
          </w:tcPr>
          <w:p w:rsidR="00000000" w:rsidRDefault="00000000">
            <w:pPr>
              <w:spacing w:after="0"/>
              <w:ind w:right="216"/>
              <w:jc w:val="right"/>
            </w:pPr>
            <w:r>
              <w:t>1 275.9</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22.</w:t>
            </w:r>
          </w:p>
        </w:tc>
        <w:tc>
          <w:tcPr>
            <w:tcW w:w="1950" w:type="dxa"/>
            <w:tcBorders>
              <w:left w:val="single" w:sz="4" w:space="0" w:color="auto"/>
              <w:right w:val="single" w:sz="4" w:space="0" w:color="auto"/>
            </w:tcBorders>
          </w:tcPr>
          <w:p w:rsidR="00000000" w:rsidRDefault="00000000">
            <w:pPr>
              <w:spacing w:after="0"/>
            </w:pPr>
            <w:r>
              <w:t>Malesi e madhe</w:t>
            </w:r>
          </w:p>
        </w:tc>
        <w:tc>
          <w:tcPr>
            <w:tcW w:w="1252" w:type="dxa"/>
            <w:tcBorders>
              <w:left w:val="single" w:sz="4" w:space="0" w:color="auto"/>
              <w:right w:val="single" w:sz="4" w:space="0" w:color="auto"/>
            </w:tcBorders>
          </w:tcPr>
          <w:p w:rsidR="00000000" w:rsidRDefault="00000000">
            <w:pPr>
              <w:spacing w:after="0"/>
              <w:ind w:right="216"/>
              <w:jc w:val="right"/>
            </w:pPr>
            <w:r>
              <w:t>242.4</w:t>
            </w:r>
          </w:p>
        </w:tc>
        <w:tc>
          <w:tcPr>
            <w:tcW w:w="1253" w:type="dxa"/>
            <w:tcBorders>
              <w:left w:val="single" w:sz="4" w:space="0" w:color="auto"/>
              <w:right w:val="single" w:sz="4" w:space="0" w:color="auto"/>
            </w:tcBorders>
          </w:tcPr>
          <w:p w:rsidR="00000000" w:rsidRDefault="00000000">
            <w:pPr>
              <w:spacing w:after="0"/>
              <w:ind w:right="216"/>
              <w:jc w:val="right"/>
            </w:pPr>
            <w:r>
              <w:t>321.3</w:t>
            </w:r>
          </w:p>
        </w:tc>
        <w:tc>
          <w:tcPr>
            <w:tcW w:w="1252" w:type="dxa"/>
            <w:tcBorders>
              <w:left w:val="single" w:sz="4" w:space="0" w:color="auto"/>
              <w:right w:val="single" w:sz="4" w:space="0" w:color="auto"/>
            </w:tcBorders>
          </w:tcPr>
          <w:p w:rsidR="00000000" w:rsidRDefault="00000000">
            <w:pPr>
              <w:spacing w:after="0"/>
              <w:ind w:right="216"/>
              <w:jc w:val="right"/>
            </w:pPr>
            <w:r>
              <w:t>672.8</w:t>
            </w:r>
          </w:p>
        </w:tc>
        <w:tc>
          <w:tcPr>
            <w:tcW w:w="1253" w:type="dxa"/>
            <w:tcBorders>
              <w:left w:val="single" w:sz="4" w:space="0" w:color="auto"/>
            </w:tcBorders>
          </w:tcPr>
          <w:p w:rsidR="00000000" w:rsidRDefault="00000000">
            <w:pPr>
              <w:spacing w:after="0"/>
              <w:ind w:right="216"/>
              <w:jc w:val="right"/>
            </w:pPr>
            <w:r>
              <w:t>999.4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23.</w:t>
            </w:r>
          </w:p>
        </w:tc>
        <w:tc>
          <w:tcPr>
            <w:tcW w:w="1950" w:type="dxa"/>
            <w:tcBorders>
              <w:left w:val="single" w:sz="4" w:space="0" w:color="auto"/>
              <w:right w:val="single" w:sz="4" w:space="0" w:color="auto"/>
            </w:tcBorders>
          </w:tcPr>
          <w:p w:rsidR="00000000" w:rsidRDefault="00000000">
            <w:pPr>
              <w:spacing w:after="0"/>
            </w:pPr>
            <w:r>
              <w:t>Mallakaster</w:t>
            </w:r>
          </w:p>
        </w:tc>
        <w:tc>
          <w:tcPr>
            <w:tcW w:w="1252" w:type="dxa"/>
            <w:tcBorders>
              <w:left w:val="single" w:sz="4" w:space="0" w:color="auto"/>
              <w:right w:val="single" w:sz="4" w:space="0" w:color="auto"/>
            </w:tcBorders>
          </w:tcPr>
          <w:p w:rsidR="00000000" w:rsidRDefault="00000000">
            <w:pPr>
              <w:spacing w:after="0"/>
              <w:ind w:right="216"/>
              <w:jc w:val="right"/>
            </w:pPr>
            <w:r>
              <w:t>1 261.2</w:t>
            </w:r>
          </w:p>
        </w:tc>
        <w:tc>
          <w:tcPr>
            <w:tcW w:w="1253" w:type="dxa"/>
            <w:tcBorders>
              <w:left w:val="single" w:sz="4" w:space="0" w:color="auto"/>
              <w:right w:val="single" w:sz="4" w:space="0" w:color="auto"/>
            </w:tcBorders>
          </w:tcPr>
          <w:p w:rsidR="00000000" w:rsidRDefault="00000000">
            <w:pPr>
              <w:spacing w:after="0"/>
              <w:ind w:right="216"/>
              <w:jc w:val="right"/>
            </w:pPr>
            <w:r>
              <w:t>1 219.8</w:t>
            </w:r>
          </w:p>
        </w:tc>
        <w:tc>
          <w:tcPr>
            <w:tcW w:w="1252" w:type="dxa"/>
            <w:tcBorders>
              <w:left w:val="single" w:sz="4" w:space="0" w:color="auto"/>
              <w:right w:val="single" w:sz="4" w:space="0" w:color="auto"/>
            </w:tcBorders>
          </w:tcPr>
          <w:p w:rsidR="00000000" w:rsidRDefault="00000000">
            <w:pPr>
              <w:spacing w:after="0"/>
              <w:ind w:right="216"/>
              <w:jc w:val="right"/>
            </w:pPr>
            <w:r>
              <w:t>1 162.7</w:t>
            </w:r>
          </w:p>
        </w:tc>
        <w:tc>
          <w:tcPr>
            <w:tcW w:w="1253" w:type="dxa"/>
            <w:tcBorders>
              <w:left w:val="single" w:sz="4" w:space="0" w:color="auto"/>
            </w:tcBorders>
          </w:tcPr>
          <w:p w:rsidR="00000000" w:rsidRDefault="00000000">
            <w:pPr>
              <w:spacing w:after="0"/>
              <w:ind w:right="216"/>
              <w:jc w:val="right"/>
            </w:pPr>
            <w:r>
              <w:t>354.6</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24.</w:t>
            </w:r>
          </w:p>
        </w:tc>
        <w:tc>
          <w:tcPr>
            <w:tcW w:w="1950" w:type="dxa"/>
            <w:tcBorders>
              <w:left w:val="single" w:sz="4" w:space="0" w:color="auto"/>
              <w:right w:val="single" w:sz="4" w:space="0" w:color="auto"/>
            </w:tcBorders>
          </w:tcPr>
          <w:p w:rsidR="00000000" w:rsidRDefault="00000000">
            <w:pPr>
              <w:spacing w:after="0"/>
            </w:pPr>
            <w:r>
              <w:t>Mat</w:t>
            </w:r>
          </w:p>
        </w:tc>
        <w:tc>
          <w:tcPr>
            <w:tcW w:w="1252" w:type="dxa"/>
            <w:tcBorders>
              <w:left w:val="single" w:sz="4" w:space="0" w:color="auto"/>
              <w:right w:val="single" w:sz="4" w:space="0" w:color="auto"/>
            </w:tcBorders>
          </w:tcPr>
          <w:p w:rsidR="00000000" w:rsidRDefault="00000000">
            <w:pPr>
              <w:spacing w:after="0"/>
              <w:ind w:right="216"/>
              <w:jc w:val="right"/>
            </w:pPr>
            <w:r>
              <w:t>1 911.4</w:t>
            </w:r>
          </w:p>
        </w:tc>
        <w:tc>
          <w:tcPr>
            <w:tcW w:w="1253" w:type="dxa"/>
            <w:tcBorders>
              <w:left w:val="single" w:sz="4" w:space="0" w:color="auto"/>
              <w:right w:val="single" w:sz="4" w:space="0" w:color="auto"/>
            </w:tcBorders>
          </w:tcPr>
          <w:p w:rsidR="00000000" w:rsidRDefault="00000000">
            <w:pPr>
              <w:spacing w:after="0"/>
              <w:ind w:right="216"/>
              <w:jc w:val="right"/>
            </w:pPr>
            <w:r>
              <w:t>3 060.1</w:t>
            </w:r>
          </w:p>
        </w:tc>
        <w:tc>
          <w:tcPr>
            <w:tcW w:w="1252" w:type="dxa"/>
            <w:tcBorders>
              <w:left w:val="single" w:sz="4" w:space="0" w:color="auto"/>
              <w:right w:val="single" w:sz="4" w:space="0" w:color="auto"/>
            </w:tcBorders>
          </w:tcPr>
          <w:p w:rsidR="00000000" w:rsidRDefault="00000000">
            <w:pPr>
              <w:spacing w:after="0"/>
              <w:ind w:right="216"/>
              <w:jc w:val="right"/>
            </w:pPr>
            <w:r>
              <w:t>1 884.1</w:t>
            </w:r>
          </w:p>
        </w:tc>
        <w:tc>
          <w:tcPr>
            <w:tcW w:w="1253" w:type="dxa"/>
            <w:tcBorders>
              <w:left w:val="single" w:sz="4" w:space="0" w:color="auto"/>
            </w:tcBorders>
          </w:tcPr>
          <w:p w:rsidR="00000000" w:rsidRDefault="00000000">
            <w:pPr>
              <w:spacing w:after="0"/>
              <w:ind w:right="216"/>
              <w:jc w:val="right"/>
            </w:pPr>
            <w:r>
              <w:t>3 007.3</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25.</w:t>
            </w:r>
          </w:p>
        </w:tc>
        <w:tc>
          <w:tcPr>
            <w:tcW w:w="1950" w:type="dxa"/>
            <w:tcBorders>
              <w:left w:val="single" w:sz="4" w:space="0" w:color="auto"/>
              <w:right w:val="single" w:sz="4" w:space="0" w:color="auto"/>
            </w:tcBorders>
          </w:tcPr>
          <w:p w:rsidR="00000000" w:rsidRDefault="00000000">
            <w:pPr>
              <w:spacing w:after="0"/>
            </w:pPr>
            <w:r>
              <w:t>Mirdite</w:t>
            </w:r>
          </w:p>
        </w:tc>
        <w:tc>
          <w:tcPr>
            <w:tcW w:w="1252" w:type="dxa"/>
            <w:tcBorders>
              <w:left w:val="single" w:sz="4" w:space="0" w:color="auto"/>
              <w:right w:val="single" w:sz="4" w:space="0" w:color="auto"/>
            </w:tcBorders>
          </w:tcPr>
          <w:p w:rsidR="00000000" w:rsidRDefault="00000000">
            <w:pPr>
              <w:spacing w:after="0"/>
              <w:ind w:right="216"/>
              <w:jc w:val="right"/>
            </w:pPr>
            <w:r>
              <w:t>155.8</w:t>
            </w:r>
          </w:p>
        </w:tc>
        <w:tc>
          <w:tcPr>
            <w:tcW w:w="1253" w:type="dxa"/>
            <w:tcBorders>
              <w:left w:val="single" w:sz="4" w:space="0" w:color="auto"/>
              <w:right w:val="single" w:sz="4" w:space="0" w:color="auto"/>
            </w:tcBorders>
          </w:tcPr>
          <w:p w:rsidR="00000000" w:rsidRDefault="00000000">
            <w:pPr>
              <w:spacing w:after="0"/>
              <w:ind w:right="216"/>
              <w:jc w:val="right"/>
            </w:pPr>
            <w:r>
              <w:t>287.5</w:t>
            </w:r>
          </w:p>
        </w:tc>
        <w:tc>
          <w:tcPr>
            <w:tcW w:w="1252" w:type="dxa"/>
            <w:tcBorders>
              <w:left w:val="single" w:sz="4" w:space="0" w:color="auto"/>
              <w:right w:val="single" w:sz="4" w:space="0" w:color="auto"/>
            </w:tcBorders>
          </w:tcPr>
          <w:p w:rsidR="00000000" w:rsidRDefault="00000000">
            <w:pPr>
              <w:spacing w:after="0"/>
              <w:ind w:right="216"/>
              <w:jc w:val="right"/>
            </w:pPr>
            <w:r>
              <w:t>1 928.3</w:t>
            </w:r>
          </w:p>
        </w:tc>
        <w:tc>
          <w:tcPr>
            <w:tcW w:w="1253" w:type="dxa"/>
            <w:tcBorders>
              <w:left w:val="single" w:sz="4" w:space="0" w:color="auto"/>
            </w:tcBorders>
          </w:tcPr>
          <w:p w:rsidR="00000000" w:rsidRDefault="00000000">
            <w:pPr>
              <w:spacing w:after="0"/>
              <w:ind w:right="216"/>
              <w:jc w:val="right"/>
            </w:pPr>
            <w:r>
              <w:t>1 275.9</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26.</w:t>
            </w:r>
          </w:p>
        </w:tc>
        <w:tc>
          <w:tcPr>
            <w:tcW w:w="1950" w:type="dxa"/>
            <w:tcBorders>
              <w:left w:val="single" w:sz="4" w:space="0" w:color="auto"/>
              <w:right w:val="single" w:sz="4" w:space="0" w:color="auto"/>
            </w:tcBorders>
          </w:tcPr>
          <w:p w:rsidR="00000000" w:rsidRDefault="00000000">
            <w:pPr>
              <w:spacing w:after="0"/>
            </w:pPr>
            <w:r>
              <w:t>Peqin</w:t>
            </w:r>
          </w:p>
        </w:tc>
        <w:tc>
          <w:tcPr>
            <w:tcW w:w="1252" w:type="dxa"/>
            <w:tcBorders>
              <w:left w:val="single" w:sz="4" w:space="0" w:color="auto"/>
              <w:right w:val="single" w:sz="4" w:space="0" w:color="auto"/>
            </w:tcBorders>
          </w:tcPr>
          <w:p w:rsidR="00000000" w:rsidRDefault="00000000">
            <w:pPr>
              <w:spacing w:after="0"/>
              <w:ind w:right="216"/>
              <w:jc w:val="right"/>
            </w:pPr>
            <w:r>
              <w:t>781.4</w:t>
            </w:r>
          </w:p>
        </w:tc>
        <w:tc>
          <w:tcPr>
            <w:tcW w:w="1253" w:type="dxa"/>
            <w:tcBorders>
              <w:left w:val="single" w:sz="4" w:space="0" w:color="auto"/>
              <w:right w:val="single" w:sz="4" w:space="0" w:color="auto"/>
            </w:tcBorders>
          </w:tcPr>
          <w:p w:rsidR="00000000" w:rsidRDefault="00000000">
            <w:pPr>
              <w:spacing w:after="0"/>
              <w:ind w:right="216"/>
              <w:jc w:val="right"/>
            </w:pPr>
            <w:r>
              <w:t>1 421.3</w:t>
            </w:r>
          </w:p>
        </w:tc>
        <w:tc>
          <w:tcPr>
            <w:tcW w:w="1252" w:type="dxa"/>
            <w:tcBorders>
              <w:left w:val="single" w:sz="4" w:space="0" w:color="auto"/>
              <w:right w:val="single" w:sz="4" w:space="0" w:color="auto"/>
            </w:tcBorders>
          </w:tcPr>
          <w:p w:rsidR="00000000" w:rsidRDefault="00000000">
            <w:pPr>
              <w:spacing w:after="0"/>
              <w:ind w:right="216"/>
              <w:jc w:val="right"/>
            </w:pPr>
            <w:r>
              <w:t>3 064.9</w:t>
            </w:r>
          </w:p>
        </w:tc>
        <w:tc>
          <w:tcPr>
            <w:tcW w:w="1253" w:type="dxa"/>
            <w:tcBorders>
              <w:left w:val="single" w:sz="4" w:space="0" w:color="auto"/>
            </w:tcBorders>
          </w:tcPr>
          <w:p w:rsidR="00000000" w:rsidRDefault="00000000">
            <w:pPr>
              <w:spacing w:after="0"/>
              <w:ind w:right="216"/>
              <w:jc w:val="right"/>
            </w:pPr>
            <w:r>
              <w:t>2 411.7</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27.</w:t>
            </w:r>
          </w:p>
        </w:tc>
        <w:tc>
          <w:tcPr>
            <w:tcW w:w="1950" w:type="dxa"/>
            <w:tcBorders>
              <w:left w:val="single" w:sz="4" w:space="0" w:color="auto"/>
              <w:right w:val="single" w:sz="4" w:space="0" w:color="auto"/>
            </w:tcBorders>
          </w:tcPr>
          <w:p w:rsidR="00000000" w:rsidRDefault="00000000">
            <w:pPr>
              <w:spacing w:after="0"/>
            </w:pPr>
            <w:r>
              <w:t>Permet</w:t>
            </w:r>
          </w:p>
        </w:tc>
        <w:tc>
          <w:tcPr>
            <w:tcW w:w="1252" w:type="dxa"/>
            <w:tcBorders>
              <w:left w:val="single" w:sz="4" w:space="0" w:color="auto"/>
              <w:right w:val="single" w:sz="4" w:space="0" w:color="auto"/>
            </w:tcBorders>
          </w:tcPr>
          <w:p w:rsidR="00000000" w:rsidRDefault="00000000">
            <w:pPr>
              <w:spacing w:after="0"/>
              <w:ind w:right="216"/>
              <w:jc w:val="right"/>
            </w:pPr>
            <w:r>
              <w:t>882.7</w:t>
            </w:r>
          </w:p>
        </w:tc>
        <w:tc>
          <w:tcPr>
            <w:tcW w:w="1253" w:type="dxa"/>
            <w:tcBorders>
              <w:left w:val="single" w:sz="4" w:space="0" w:color="auto"/>
              <w:right w:val="single" w:sz="4" w:space="0" w:color="auto"/>
            </w:tcBorders>
          </w:tcPr>
          <w:p w:rsidR="00000000" w:rsidRDefault="00000000">
            <w:pPr>
              <w:spacing w:after="0"/>
              <w:ind w:right="216"/>
              <w:jc w:val="right"/>
            </w:pPr>
            <w:r>
              <w:t>1 309.8</w:t>
            </w:r>
          </w:p>
        </w:tc>
        <w:tc>
          <w:tcPr>
            <w:tcW w:w="1252" w:type="dxa"/>
            <w:tcBorders>
              <w:left w:val="single" w:sz="4" w:space="0" w:color="auto"/>
              <w:right w:val="single" w:sz="4" w:space="0" w:color="auto"/>
            </w:tcBorders>
          </w:tcPr>
          <w:p w:rsidR="00000000" w:rsidRDefault="00000000">
            <w:pPr>
              <w:spacing w:after="0"/>
              <w:ind w:right="216"/>
              <w:jc w:val="right"/>
            </w:pPr>
            <w:r>
              <w:t>1 237.7</w:t>
            </w:r>
          </w:p>
        </w:tc>
        <w:tc>
          <w:tcPr>
            <w:tcW w:w="1253" w:type="dxa"/>
            <w:tcBorders>
              <w:left w:val="single" w:sz="4" w:space="0" w:color="auto"/>
            </w:tcBorders>
          </w:tcPr>
          <w:p w:rsidR="00000000" w:rsidRDefault="00000000">
            <w:pPr>
              <w:spacing w:after="0"/>
              <w:ind w:right="216"/>
              <w:jc w:val="right"/>
            </w:pPr>
            <w:r>
              <w:t>967.1</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28.</w:t>
            </w:r>
          </w:p>
        </w:tc>
        <w:tc>
          <w:tcPr>
            <w:tcW w:w="1950" w:type="dxa"/>
            <w:tcBorders>
              <w:left w:val="single" w:sz="4" w:space="0" w:color="auto"/>
              <w:right w:val="single" w:sz="4" w:space="0" w:color="auto"/>
            </w:tcBorders>
          </w:tcPr>
          <w:p w:rsidR="00000000" w:rsidRDefault="00000000">
            <w:pPr>
              <w:spacing w:after="0"/>
            </w:pPr>
            <w:r>
              <w:t>Pogradec</w:t>
            </w:r>
          </w:p>
        </w:tc>
        <w:tc>
          <w:tcPr>
            <w:tcW w:w="1252" w:type="dxa"/>
            <w:tcBorders>
              <w:left w:val="single" w:sz="4" w:space="0" w:color="auto"/>
              <w:right w:val="single" w:sz="4" w:space="0" w:color="auto"/>
            </w:tcBorders>
          </w:tcPr>
          <w:p w:rsidR="00000000" w:rsidRDefault="00000000">
            <w:pPr>
              <w:spacing w:after="0"/>
              <w:ind w:right="216"/>
              <w:jc w:val="right"/>
            </w:pPr>
            <w:r>
              <w:t>2 059.6</w:t>
            </w:r>
          </w:p>
        </w:tc>
        <w:tc>
          <w:tcPr>
            <w:tcW w:w="1253" w:type="dxa"/>
            <w:tcBorders>
              <w:left w:val="single" w:sz="4" w:space="0" w:color="auto"/>
              <w:right w:val="single" w:sz="4" w:space="0" w:color="auto"/>
            </w:tcBorders>
          </w:tcPr>
          <w:p w:rsidR="00000000" w:rsidRDefault="00000000">
            <w:pPr>
              <w:spacing w:after="0"/>
              <w:ind w:right="216"/>
              <w:jc w:val="right"/>
            </w:pPr>
            <w:r>
              <w:t>1 590.0</w:t>
            </w:r>
          </w:p>
        </w:tc>
        <w:tc>
          <w:tcPr>
            <w:tcW w:w="1252" w:type="dxa"/>
            <w:tcBorders>
              <w:left w:val="single" w:sz="4" w:space="0" w:color="auto"/>
              <w:right w:val="single" w:sz="4" w:space="0" w:color="auto"/>
            </w:tcBorders>
          </w:tcPr>
          <w:p w:rsidR="00000000" w:rsidRDefault="00000000">
            <w:pPr>
              <w:spacing w:after="0"/>
              <w:ind w:right="216"/>
              <w:jc w:val="right"/>
            </w:pPr>
            <w:r>
              <w:t>1 865.2</w:t>
            </w:r>
          </w:p>
        </w:tc>
        <w:tc>
          <w:tcPr>
            <w:tcW w:w="1253" w:type="dxa"/>
            <w:tcBorders>
              <w:left w:val="single" w:sz="4" w:space="0" w:color="auto"/>
            </w:tcBorders>
          </w:tcPr>
          <w:p w:rsidR="00000000" w:rsidRDefault="00000000">
            <w:pPr>
              <w:spacing w:after="0"/>
              <w:ind w:right="216"/>
              <w:jc w:val="right"/>
            </w:pPr>
            <w:r>
              <w:t>2 404.6</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29.</w:t>
            </w:r>
          </w:p>
        </w:tc>
        <w:tc>
          <w:tcPr>
            <w:tcW w:w="1950" w:type="dxa"/>
            <w:tcBorders>
              <w:left w:val="single" w:sz="4" w:space="0" w:color="auto"/>
              <w:right w:val="single" w:sz="4" w:space="0" w:color="auto"/>
            </w:tcBorders>
          </w:tcPr>
          <w:p w:rsidR="00000000" w:rsidRDefault="00000000">
            <w:pPr>
              <w:spacing w:after="0"/>
            </w:pPr>
            <w:r>
              <w:t>Puke</w:t>
            </w:r>
          </w:p>
        </w:tc>
        <w:tc>
          <w:tcPr>
            <w:tcW w:w="1252" w:type="dxa"/>
            <w:tcBorders>
              <w:left w:val="single" w:sz="4" w:space="0" w:color="auto"/>
              <w:right w:val="single" w:sz="4" w:space="0" w:color="auto"/>
            </w:tcBorders>
          </w:tcPr>
          <w:p w:rsidR="00000000" w:rsidRDefault="00000000">
            <w:pPr>
              <w:spacing w:after="0"/>
              <w:ind w:right="216"/>
              <w:jc w:val="right"/>
            </w:pPr>
            <w:r>
              <w:t>711.7</w:t>
            </w:r>
          </w:p>
        </w:tc>
        <w:tc>
          <w:tcPr>
            <w:tcW w:w="1253" w:type="dxa"/>
            <w:tcBorders>
              <w:left w:val="single" w:sz="4" w:space="0" w:color="auto"/>
              <w:right w:val="single" w:sz="4" w:space="0" w:color="auto"/>
            </w:tcBorders>
          </w:tcPr>
          <w:p w:rsidR="00000000" w:rsidRDefault="00000000">
            <w:pPr>
              <w:spacing w:after="0"/>
              <w:ind w:right="216"/>
              <w:jc w:val="right"/>
            </w:pPr>
            <w:r>
              <w:t>922.5</w:t>
            </w:r>
          </w:p>
        </w:tc>
        <w:tc>
          <w:tcPr>
            <w:tcW w:w="1252" w:type="dxa"/>
            <w:tcBorders>
              <w:left w:val="single" w:sz="4" w:space="0" w:color="auto"/>
              <w:right w:val="single" w:sz="4" w:space="0" w:color="auto"/>
            </w:tcBorders>
          </w:tcPr>
          <w:p w:rsidR="00000000" w:rsidRDefault="00000000">
            <w:pPr>
              <w:spacing w:after="0"/>
              <w:ind w:right="216"/>
              <w:jc w:val="right"/>
            </w:pPr>
            <w:r>
              <w:t>675.9</w:t>
            </w:r>
          </w:p>
        </w:tc>
        <w:tc>
          <w:tcPr>
            <w:tcW w:w="1253" w:type="dxa"/>
            <w:tcBorders>
              <w:left w:val="single" w:sz="4" w:space="0" w:color="auto"/>
            </w:tcBorders>
          </w:tcPr>
          <w:p w:rsidR="00000000" w:rsidRDefault="00000000">
            <w:pPr>
              <w:spacing w:after="0"/>
              <w:ind w:right="216"/>
              <w:jc w:val="right"/>
            </w:pPr>
            <w:r>
              <w:t>593.6</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30.</w:t>
            </w:r>
          </w:p>
        </w:tc>
        <w:tc>
          <w:tcPr>
            <w:tcW w:w="1950" w:type="dxa"/>
            <w:tcBorders>
              <w:left w:val="single" w:sz="4" w:space="0" w:color="auto"/>
              <w:right w:val="single" w:sz="4" w:space="0" w:color="auto"/>
            </w:tcBorders>
          </w:tcPr>
          <w:p w:rsidR="00000000" w:rsidRDefault="00000000">
            <w:pPr>
              <w:spacing w:after="0"/>
            </w:pPr>
            <w:r>
              <w:t>Sarande</w:t>
            </w:r>
          </w:p>
        </w:tc>
        <w:tc>
          <w:tcPr>
            <w:tcW w:w="1252" w:type="dxa"/>
            <w:tcBorders>
              <w:left w:val="single" w:sz="4" w:space="0" w:color="auto"/>
              <w:right w:val="single" w:sz="4" w:space="0" w:color="auto"/>
            </w:tcBorders>
          </w:tcPr>
          <w:p w:rsidR="00000000" w:rsidRDefault="00000000">
            <w:pPr>
              <w:spacing w:after="0"/>
              <w:ind w:right="215"/>
              <w:jc w:val="right"/>
            </w:pPr>
            <w:r>
              <w:t>1 021.1</w:t>
            </w:r>
          </w:p>
        </w:tc>
        <w:tc>
          <w:tcPr>
            <w:tcW w:w="1253" w:type="dxa"/>
            <w:tcBorders>
              <w:left w:val="single" w:sz="4" w:space="0" w:color="auto"/>
              <w:right w:val="single" w:sz="4" w:space="0" w:color="auto"/>
            </w:tcBorders>
          </w:tcPr>
          <w:p w:rsidR="00000000" w:rsidRDefault="00000000">
            <w:pPr>
              <w:spacing w:after="0"/>
              <w:ind w:right="216"/>
              <w:jc w:val="right"/>
            </w:pPr>
            <w:r>
              <w:t>665.4</w:t>
            </w:r>
          </w:p>
        </w:tc>
        <w:tc>
          <w:tcPr>
            <w:tcW w:w="1252" w:type="dxa"/>
            <w:tcBorders>
              <w:left w:val="single" w:sz="4" w:space="0" w:color="auto"/>
              <w:right w:val="single" w:sz="4" w:space="0" w:color="auto"/>
            </w:tcBorders>
          </w:tcPr>
          <w:p w:rsidR="00000000" w:rsidRDefault="00000000">
            <w:pPr>
              <w:spacing w:after="0"/>
              <w:ind w:right="216"/>
              <w:jc w:val="right"/>
            </w:pPr>
            <w:r>
              <w:t>422.5</w:t>
            </w:r>
          </w:p>
        </w:tc>
        <w:tc>
          <w:tcPr>
            <w:tcW w:w="1253" w:type="dxa"/>
            <w:tcBorders>
              <w:left w:val="single" w:sz="4" w:space="0" w:color="auto"/>
            </w:tcBorders>
          </w:tcPr>
          <w:p w:rsidR="00000000" w:rsidRDefault="00000000">
            <w:pPr>
              <w:spacing w:after="0"/>
              <w:ind w:right="216"/>
              <w:jc w:val="right"/>
            </w:pPr>
            <w:r>
              <w:t>378.3</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31.</w:t>
            </w:r>
          </w:p>
        </w:tc>
        <w:tc>
          <w:tcPr>
            <w:tcW w:w="1950" w:type="dxa"/>
            <w:tcBorders>
              <w:left w:val="single" w:sz="4" w:space="0" w:color="auto"/>
              <w:right w:val="single" w:sz="4" w:space="0" w:color="auto"/>
            </w:tcBorders>
          </w:tcPr>
          <w:p w:rsidR="00000000" w:rsidRDefault="00000000">
            <w:pPr>
              <w:spacing w:after="0"/>
            </w:pPr>
            <w:r>
              <w:t>Skrapar</w:t>
            </w:r>
          </w:p>
        </w:tc>
        <w:tc>
          <w:tcPr>
            <w:tcW w:w="1252" w:type="dxa"/>
            <w:tcBorders>
              <w:left w:val="single" w:sz="4" w:space="0" w:color="auto"/>
              <w:right w:val="single" w:sz="4" w:space="0" w:color="auto"/>
            </w:tcBorders>
          </w:tcPr>
          <w:p w:rsidR="00000000" w:rsidRDefault="00000000">
            <w:pPr>
              <w:spacing w:after="0"/>
              <w:ind w:right="216"/>
              <w:jc w:val="right"/>
            </w:pPr>
            <w:r>
              <w:t>243.8</w:t>
            </w:r>
          </w:p>
        </w:tc>
        <w:tc>
          <w:tcPr>
            <w:tcW w:w="1253" w:type="dxa"/>
            <w:tcBorders>
              <w:left w:val="single" w:sz="4" w:space="0" w:color="auto"/>
              <w:right w:val="single" w:sz="4" w:space="0" w:color="auto"/>
            </w:tcBorders>
          </w:tcPr>
          <w:p w:rsidR="00000000" w:rsidRDefault="00000000">
            <w:pPr>
              <w:spacing w:after="0"/>
              <w:ind w:right="216"/>
              <w:jc w:val="right"/>
            </w:pPr>
            <w:r>
              <w:t>642.9</w:t>
            </w:r>
          </w:p>
        </w:tc>
        <w:tc>
          <w:tcPr>
            <w:tcW w:w="1252" w:type="dxa"/>
            <w:tcBorders>
              <w:left w:val="single" w:sz="4" w:space="0" w:color="auto"/>
              <w:right w:val="single" w:sz="4" w:space="0" w:color="auto"/>
            </w:tcBorders>
          </w:tcPr>
          <w:p w:rsidR="00000000" w:rsidRDefault="00000000">
            <w:pPr>
              <w:spacing w:after="0"/>
              <w:ind w:right="216"/>
              <w:jc w:val="right"/>
            </w:pPr>
            <w:r>
              <w:t>1 524.8</w:t>
            </w:r>
          </w:p>
        </w:tc>
        <w:tc>
          <w:tcPr>
            <w:tcW w:w="1253" w:type="dxa"/>
            <w:tcBorders>
              <w:left w:val="single" w:sz="4" w:space="0" w:color="auto"/>
            </w:tcBorders>
          </w:tcPr>
          <w:p w:rsidR="00000000" w:rsidRDefault="00000000">
            <w:pPr>
              <w:spacing w:after="0"/>
              <w:ind w:right="216"/>
              <w:jc w:val="right"/>
            </w:pPr>
            <w:r>
              <w:t>993.6</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32.</w:t>
            </w:r>
          </w:p>
        </w:tc>
        <w:tc>
          <w:tcPr>
            <w:tcW w:w="1950" w:type="dxa"/>
            <w:tcBorders>
              <w:left w:val="single" w:sz="4" w:space="0" w:color="auto"/>
              <w:right w:val="single" w:sz="4" w:space="0" w:color="auto"/>
            </w:tcBorders>
          </w:tcPr>
          <w:p w:rsidR="00000000" w:rsidRDefault="00000000">
            <w:pPr>
              <w:spacing w:after="0"/>
            </w:pPr>
            <w:r>
              <w:t>Shkoder</w:t>
            </w:r>
          </w:p>
        </w:tc>
        <w:tc>
          <w:tcPr>
            <w:tcW w:w="1252" w:type="dxa"/>
            <w:tcBorders>
              <w:left w:val="single" w:sz="4" w:space="0" w:color="auto"/>
              <w:right w:val="single" w:sz="4" w:space="0" w:color="auto"/>
            </w:tcBorders>
          </w:tcPr>
          <w:p w:rsidR="00000000" w:rsidRDefault="00000000">
            <w:pPr>
              <w:spacing w:after="0"/>
              <w:ind w:right="216"/>
              <w:jc w:val="right"/>
            </w:pPr>
            <w:r>
              <w:t>1 229.6</w:t>
            </w:r>
          </w:p>
        </w:tc>
        <w:tc>
          <w:tcPr>
            <w:tcW w:w="1253" w:type="dxa"/>
            <w:tcBorders>
              <w:left w:val="single" w:sz="4" w:space="0" w:color="auto"/>
              <w:right w:val="single" w:sz="4" w:space="0" w:color="auto"/>
            </w:tcBorders>
          </w:tcPr>
          <w:p w:rsidR="00000000" w:rsidRDefault="00000000">
            <w:pPr>
              <w:spacing w:after="0"/>
              <w:ind w:right="216"/>
              <w:jc w:val="right"/>
            </w:pPr>
            <w:r>
              <w:t>647.3</w:t>
            </w:r>
          </w:p>
        </w:tc>
        <w:tc>
          <w:tcPr>
            <w:tcW w:w="1252" w:type="dxa"/>
            <w:tcBorders>
              <w:left w:val="single" w:sz="4" w:space="0" w:color="auto"/>
              <w:right w:val="single" w:sz="4" w:space="0" w:color="auto"/>
            </w:tcBorders>
          </w:tcPr>
          <w:p w:rsidR="00000000" w:rsidRDefault="00000000">
            <w:pPr>
              <w:spacing w:after="0"/>
              <w:ind w:right="216"/>
              <w:jc w:val="right"/>
            </w:pPr>
            <w:r>
              <w:t>366.0</w:t>
            </w:r>
          </w:p>
        </w:tc>
        <w:tc>
          <w:tcPr>
            <w:tcW w:w="1253" w:type="dxa"/>
            <w:tcBorders>
              <w:left w:val="single" w:sz="4" w:space="0" w:color="auto"/>
            </w:tcBorders>
          </w:tcPr>
          <w:p w:rsidR="00000000" w:rsidRDefault="00000000">
            <w:pPr>
              <w:spacing w:after="0"/>
              <w:ind w:right="216"/>
              <w:jc w:val="right"/>
            </w:pPr>
            <w:r>
              <w:t>315.4</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33.</w:t>
            </w:r>
          </w:p>
        </w:tc>
        <w:tc>
          <w:tcPr>
            <w:tcW w:w="1950" w:type="dxa"/>
            <w:tcBorders>
              <w:left w:val="single" w:sz="4" w:space="0" w:color="auto"/>
              <w:right w:val="single" w:sz="4" w:space="0" w:color="auto"/>
            </w:tcBorders>
          </w:tcPr>
          <w:p w:rsidR="00000000" w:rsidRDefault="00000000">
            <w:pPr>
              <w:spacing w:after="0"/>
            </w:pPr>
            <w:r>
              <w:t>Tepelene</w:t>
            </w:r>
          </w:p>
        </w:tc>
        <w:tc>
          <w:tcPr>
            <w:tcW w:w="1252" w:type="dxa"/>
            <w:tcBorders>
              <w:left w:val="single" w:sz="4" w:space="0" w:color="auto"/>
              <w:right w:val="single" w:sz="4" w:space="0" w:color="auto"/>
            </w:tcBorders>
          </w:tcPr>
          <w:p w:rsidR="00000000" w:rsidRDefault="00000000">
            <w:pPr>
              <w:spacing w:after="0"/>
              <w:ind w:right="215"/>
              <w:jc w:val="right"/>
            </w:pPr>
            <w:r>
              <w:t>362.5</w:t>
            </w:r>
          </w:p>
        </w:tc>
        <w:tc>
          <w:tcPr>
            <w:tcW w:w="1253" w:type="dxa"/>
            <w:tcBorders>
              <w:left w:val="single" w:sz="4" w:space="0" w:color="auto"/>
              <w:right w:val="single" w:sz="4" w:space="0" w:color="auto"/>
            </w:tcBorders>
          </w:tcPr>
          <w:p w:rsidR="00000000" w:rsidRDefault="00000000">
            <w:pPr>
              <w:spacing w:after="0"/>
              <w:ind w:right="216"/>
              <w:jc w:val="right"/>
            </w:pPr>
            <w:r>
              <w:t>368.9</w:t>
            </w:r>
          </w:p>
        </w:tc>
        <w:tc>
          <w:tcPr>
            <w:tcW w:w="1252" w:type="dxa"/>
            <w:tcBorders>
              <w:left w:val="single" w:sz="4" w:space="0" w:color="auto"/>
              <w:right w:val="single" w:sz="4" w:space="0" w:color="auto"/>
            </w:tcBorders>
          </w:tcPr>
          <w:p w:rsidR="00000000" w:rsidRDefault="00000000">
            <w:pPr>
              <w:spacing w:after="0"/>
              <w:ind w:right="216"/>
              <w:jc w:val="right"/>
            </w:pPr>
            <w:r>
              <w:t>263.9</w:t>
            </w:r>
          </w:p>
        </w:tc>
        <w:tc>
          <w:tcPr>
            <w:tcW w:w="1253" w:type="dxa"/>
            <w:tcBorders>
              <w:left w:val="single" w:sz="4" w:space="0" w:color="auto"/>
            </w:tcBorders>
          </w:tcPr>
          <w:p w:rsidR="00000000" w:rsidRDefault="00000000">
            <w:pPr>
              <w:spacing w:after="0"/>
              <w:ind w:right="216"/>
              <w:jc w:val="right"/>
            </w:pPr>
            <w:r>
              <w:t>960.1</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34.</w:t>
            </w:r>
          </w:p>
        </w:tc>
        <w:tc>
          <w:tcPr>
            <w:tcW w:w="1950" w:type="dxa"/>
            <w:tcBorders>
              <w:left w:val="single" w:sz="4" w:space="0" w:color="auto"/>
              <w:right w:val="single" w:sz="4" w:space="0" w:color="auto"/>
            </w:tcBorders>
          </w:tcPr>
          <w:p w:rsidR="00000000" w:rsidRDefault="00000000">
            <w:pPr>
              <w:spacing w:after="0"/>
            </w:pPr>
            <w:r>
              <w:t>Tirane</w:t>
            </w:r>
          </w:p>
        </w:tc>
        <w:tc>
          <w:tcPr>
            <w:tcW w:w="1252" w:type="dxa"/>
            <w:tcBorders>
              <w:left w:val="single" w:sz="4" w:space="0" w:color="auto"/>
              <w:right w:val="single" w:sz="4" w:space="0" w:color="auto"/>
            </w:tcBorders>
          </w:tcPr>
          <w:p w:rsidR="00000000" w:rsidRDefault="00000000">
            <w:pPr>
              <w:spacing w:after="0"/>
              <w:ind w:right="216"/>
              <w:jc w:val="right"/>
            </w:pPr>
            <w:r>
              <w:t>875.2</w:t>
            </w:r>
          </w:p>
        </w:tc>
        <w:tc>
          <w:tcPr>
            <w:tcW w:w="1253" w:type="dxa"/>
            <w:tcBorders>
              <w:left w:val="single" w:sz="4" w:space="0" w:color="auto"/>
              <w:right w:val="single" w:sz="4" w:space="0" w:color="auto"/>
            </w:tcBorders>
          </w:tcPr>
          <w:p w:rsidR="00000000" w:rsidRDefault="00000000">
            <w:pPr>
              <w:spacing w:after="0"/>
              <w:ind w:right="216"/>
              <w:jc w:val="right"/>
            </w:pPr>
            <w:r>
              <w:t>1 521.1</w:t>
            </w:r>
          </w:p>
        </w:tc>
        <w:tc>
          <w:tcPr>
            <w:tcW w:w="1252" w:type="dxa"/>
            <w:tcBorders>
              <w:left w:val="single" w:sz="4" w:space="0" w:color="auto"/>
              <w:right w:val="single" w:sz="4" w:space="0" w:color="auto"/>
            </w:tcBorders>
          </w:tcPr>
          <w:p w:rsidR="00000000" w:rsidRDefault="00000000">
            <w:pPr>
              <w:spacing w:after="0"/>
              <w:ind w:right="216"/>
              <w:jc w:val="right"/>
            </w:pPr>
            <w:r>
              <w:t>1 932.2</w:t>
            </w:r>
          </w:p>
        </w:tc>
        <w:tc>
          <w:tcPr>
            <w:tcW w:w="1253" w:type="dxa"/>
            <w:tcBorders>
              <w:left w:val="single" w:sz="4" w:space="0" w:color="auto"/>
            </w:tcBorders>
          </w:tcPr>
          <w:p w:rsidR="00000000" w:rsidRDefault="00000000">
            <w:pPr>
              <w:spacing w:after="0"/>
              <w:ind w:right="216"/>
              <w:jc w:val="right"/>
            </w:pPr>
            <w:r>
              <w:t>1 692.5</w:t>
            </w:r>
          </w:p>
        </w:tc>
      </w:tr>
      <w:tr w:rsidR="00000000">
        <w:tblPrEx>
          <w:tblCellMar>
            <w:top w:w="0" w:type="dxa"/>
            <w:bottom w:w="0" w:type="dxa"/>
          </w:tblCellMar>
        </w:tblPrEx>
        <w:trPr>
          <w:cantSplit/>
          <w:jc w:val="center"/>
        </w:trPr>
        <w:tc>
          <w:tcPr>
            <w:tcW w:w="776" w:type="dxa"/>
            <w:tcBorders>
              <w:right w:val="single" w:sz="4" w:space="0" w:color="auto"/>
            </w:tcBorders>
          </w:tcPr>
          <w:p w:rsidR="00000000" w:rsidRDefault="00000000">
            <w:pPr>
              <w:spacing w:after="0"/>
              <w:ind w:right="113"/>
              <w:jc w:val="right"/>
            </w:pPr>
            <w:r>
              <w:t>35.</w:t>
            </w:r>
          </w:p>
        </w:tc>
        <w:tc>
          <w:tcPr>
            <w:tcW w:w="1950" w:type="dxa"/>
            <w:tcBorders>
              <w:left w:val="single" w:sz="4" w:space="0" w:color="auto"/>
              <w:right w:val="single" w:sz="4" w:space="0" w:color="auto"/>
            </w:tcBorders>
          </w:tcPr>
          <w:p w:rsidR="00000000" w:rsidRDefault="00000000">
            <w:pPr>
              <w:spacing w:after="0"/>
            </w:pPr>
            <w:r>
              <w:t>Tropoje</w:t>
            </w:r>
          </w:p>
        </w:tc>
        <w:tc>
          <w:tcPr>
            <w:tcW w:w="1252" w:type="dxa"/>
            <w:tcBorders>
              <w:left w:val="single" w:sz="4" w:space="0" w:color="auto"/>
              <w:right w:val="single" w:sz="4" w:space="0" w:color="auto"/>
            </w:tcBorders>
          </w:tcPr>
          <w:p w:rsidR="00000000" w:rsidRDefault="00000000">
            <w:pPr>
              <w:spacing w:after="0"/>
              <w:ind w:right="216"/>
              <w:jc w:val="right"/>
            </w:pPr>
            <w:r>
              <w:t>351.7</w:t>
            </w:r>
          </w:p>
        </w:tc>
        <w:tc>
          <w:tcPr>
            <w:tcW w:w="1253" w:type="dxa"/>
            <w:tcBorders>
              <w:left w:val="single" w:sz="4" w:space="0" w:color="auto"/>
              <w:right w:val="single" w:sz="4" w:space="0" w:color="auto"/>
            </w:tcBorders>
          </w:tcPr>
          <w:p w:rsidR="00000000" w:rsidRDefault="00000000">
            <w:pPr>
              <w:spacing w:after="0"/>
              <w:ind w:right="216"/>
              <w:jc w:val="right"/>
            </w:pPr>
            <w:r>
              <w:t>532.6</w:t>
            </w:r>
          </w:p>
        </w:tc>
        <w:tc>
          <w:tcPr>
            <w:tcW w:w="1252" w:type="dxa"/>
            <w:tcBorders>
              <w:left w:val="single" w:sz="4" w:space="0" w:color="auto"/>
              <w:right w:val="single" w:sz="4" w:space="0" w:color="auto"/>
            </w:tcBorders>
          </w:tcPr>
          <w:p w:rsidR="00000000" w:rsidRDefault="00000000">
            <w:pPr>
              <w:spacing w:after="0"/>
              <w:ind w:right="216"/>
              <w:jc w:val="right"/>
            </w:pPr>
            <w:r>
              <w:t>1 623.5</w:t>
            </w:r>
          </w:p>
        </w:tc>
        <w:tc>
          <w:tcPr>
            <w:tcW w:w="1253" w:type="dxa"/>
            <w:tcBorders>
              <w:left w:val="single" w:sz="4" w:space="0" w:color="auto"/>
            </w:tcBorders>
          </w:tcPr>
          <w:p w:rsidR="00000000" w:rsidRDefault="00000000">
            <w:pPr>
              <w:spacing w:after="0"/>
              <w:ind w:right="216"/>
              <w:jc w:val="right"/>
            </w:pPr>
            <w:r>
              <w:t>5 802.9</w:t>
            </w:r>
          </w:p>
        </w:tc>
      </w:tr>
      <w:tr w:rsidR="00000000">
        <w:tblPrEx>
          <w:tblCellMar>
            <w:top w:w="0" w:type="dxa"/>
            <w:bottom w:w="0" w:type="dxa"/>
          </w:tblCellMar>
        </w:tblPrEx>
        <w:trPr>
          <w:cantSplit/>
          <w:jc w:val="center"/>
        </w:trPr>
        <w:tc>
          <w:tcPr>
            <w:tcW w:w="776" w:type="dxa"/>
            <w:tcBorders>
              <w:bottom w:val="single" w:sz="4" w:space="0" w:color="auto"/>
              <w:right w:val="single" w:sz="4" w:space="0" w:color="auto"/>
            </w:tcBorders>
          </w:tcPr>
          <w:p w:rsidR="00000000" w:rsidRDefault="00000000">
            <w:pPr>
              <w:spacing w:after="0"/>
              <w:ind w:right="113"/>
              <w:jc w:val="right"/>
            </w:pPr>
            <w:r>
              <w:t>36.</w:t>
            </w:r>
          </w:p>
        </w:tc>
        <w:tc>
          <w:tcPr>
            <w:tcW w:w="1950" w:type="dxa"/>
            <w:tcBorders>
              <w:left w:val="single" w:sz="4" w:space="0" w:color="auto"/>
              <w:bottom w:val="single" w:sz="4" w:space="0" w:color="auto"/>
              <w:right w:val="single" w:sz="4" w:space="0" w:color="auto"/>
            </w:tcBorders>
          </w:tcPr>
          <w:p w:rsidR="00000000" w:rsidRDefault="00000000">
            <w:pPr>
              <w:spacing w:after="0"/>
            </w:pPr>
            <w:r>
              <w:t>Vlore</w:t>
            </w:r>
          </w:p>
        </w:tc>
        <w:tc>
          <w:tcPr>
            <w:tcW w:w="1252" w:type="dxa"/>
            <w:tcBorders>
              <w:left w:val="single" w:sz="4" w:space="0" w:color="auto"/>
              <w:bottom w:val="single" w:sz="4" w:space="0" w:color="auto"/>
              <w:right w:val="single" w:sz="4" w:space="0" w:color="auto"/>
            </w:tcBorders>
          </w:tcPr>
          <w:p w:rsidR="00000000" w:rsidRDefault="00000000">
            <w:pPr>
              <w:spacing w:after="0"/>
              <w:ind w:right="216"/>
              <w:jc w:val="right"/>
            </w:pPr>
            <w:r>
              <w:t>1 460.3</w:t>
            </w:r>
          </w:p>
        </w:tc>
        <w:tc>
          <w:tcPr>
            <w:tcW w:w="1253" w:type="dxa"/>
            <w:tcBorders>
              <w:left w:val="single" w:sz="4" w:space="0" w:color="auto"/>
              <w:bottom w:val="single" w:sz="4" w:space="0" w:color="auto"/>
              <w:right w:val="single" w:sz="4" w:space="0" w:color="auto"/>
            </w:tcBorders>
          </w:tcPr>
          <w:p w:rsidR="00000000" w:rsidRDefault="00000000">
            <w:pPr>
              <w:spacing w:after="0"/>
              <w:ind w:right="216"/>
              <w:jc w:val="right"/>
            </w:pPr>
            <w:r>
              <w:t>1 179.8</w:t>
            </w:r>
          </w:p>
        </w:tc>
        <w:tc>
          <w:tcPr>
            <w:tcW w:w="1252" w:type="dxa"/>
            <w:tcBorders>
              <w:left w:val="single" w:sz="4" w:space="0" w:color="auto"/>
              <w:bottom w:val="single" w:sz="4" w:space="0" w:color="auto"/>
              <w:right w:val="single" w:sz="4" w:space="0" w:color="auto"/>
            </w:tcBorders>
          </w:tcPr>
          <w:p w:rsidR="00000000" w:rsidRDefault="00000000">
            <w:pPr>
              <w:spacing w:after="0"/>
              <w:ind w:right="216"/>
              <w:jc w:val="right"/>
            </w:pPr>
            <w:r>
              <w:t>1 175.1</w:t>
            </w:r>
          </w:p>
        </w:tc>
        <w:tc>
          <w:tcPr>
            <w:tcW w:w="1253" w:type="dxa"/>
            <w:tcBorders>
              <w:left w:val="single" w:sz="4" w:space="0" w:color="auto"/>
              <w:bottom w:val="single" w:sz="4" w:space="0" w:color="auto"/>
            </w:tcBorders>
          </w:tcPr>
          <w:p w:rsidR="00000000" w:rsidRDefault="00000000">
            <w:pPr>
              <w:spacing w:after="0"/>
              <w:ind w:right="216"/>
              <w:jc w:val="right"/>
            </w:pPr>
            <w:r>
              <w:t>844.1</w:t>
            </w:r>
          </w:p>
        </w:tc>
      </w:tr>
    </w:tbl>
    <w:p w:rsidR="00000000" w:rsidRDefault="00000000">
      <w:pPr>
        <w:spacing w:before="240"/>
      </w:pPr>
      <w:r>
        <w:tab/>
      </w:r>
      <w:r>
        <w:tab/>
      </w:r>
      <w:r>
        <w:rPr>
          <w:i/>
          <w:iCs/>
        </w:rPr>
        <w:t>Source</w:t>
      </w:r>
      <w:r>
        <w:t xml:space="preserve">:  </w:t>
      </w:r>
      <w:r>
        <w:rPr>
          <w:szCs w:val="24"/>
        </w:rPr>
        <w:t>Statistical data from Public Health Institute.</w:t>
      </w:r>
    </w:p>
    <w:p w:rsidR="00000000" w:rsidRDefault="00000000">
      <w:pPr>
        <w:pStyle w:val="Heading2"/>
      </w:pPr>
      <w:r>
        <w:t>Table 41</w:t>
      </w:r>
    </w:p>
    <w:p w:rsidR="00000000" w:rsidRDefault="00000000">
      <w:pPr>
        <w:pStyle w:val="Heading2"/>
      </w:pPr>
      <w:r>
        <w:t>Viral hepatitis</w:t>
      </w:r>
    </w:p>
    <w:p w:rsidR="00000000" w:rsidRDefault="00000000">
      <w:pPr>
        <w:pStyle w:val="Heading2"/>
      </w:pPr>
      <w:r>
        <w:t>Cases according to districts, 1995-1996 and 2000-2001</w:t>
      </w:r>
    </w:p>
    <w:tbl>
      <w:tblPr>
        <w:tblW w:w="0" w:type="auto"/>
        <w:jc w:val="center"/>
        <w:tblInd w:w="-6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20"/>
        <w:gridCol w:w="1790"/>
        <w:gridCol w:w="1260"/>
        <w:gridCol w:w="1260"/>
        <w:gridCol w:w="1260"/>
        <w:gridCol w:w="1260"/>
      </w:tblGrid>
      <w:tr w:rsidR="00000000">
        <w:tblPrEx>
          <w:tblCellMar>
            <w:top w:w="0" w:type="dxa"/>
            <w:bottom w:w="0" w:type="dxa"/>
          </w:tblCellMar>
        </w:tblPrEx>
        <w:trPr>
          <w:cantSplit/>
          <w:jc w:val="center"/>
        </w:trPr>
        <w:tc>
          <w:tcPr>
            <w:tcW w:w="720" w:type="dxa"/>
            <w:tcBorders>
              <w:top w:val="single" w:sz="4" w:space="0" w:color="auto"/>
              <w:bottom w:val="nil"/>
            </w:tcBorders>
          </w:tcPr>
          <w:p w:rsidR="00000000" w:rsidRDefault="00000000">
            <w:pPr>
              <w:spacing w:after="0"/>
              <w:ind w:right="113"/>
              <w:jc w:val="right"/>
            </w:pPr>
            <w:r>
              <w:t>No.</w:t>
            </w:r>
          </w:p>
        </w:tc>
        <w:tc>
          <w:tcPr>
            <w:tcW w:w="1790" w:type="dxa"/>
            <w:tcBorders>
              <w:top w:val="single" w:sz="4" w:space="0" w:color="auto"/>
              <w:bottom w:val="nil"/>
            </w:tcBorders>
          </w:tcPr>
          <w:p w:rsidR="00000000" w:rsidRDefault="00000000">
            <w:pPr>
              <w:spacing w:after="0"/>
              <w:jc w:val="center"/>
            </w:pPr>
            <w:r>
              <w:t>District</w:t>
            </w:r>
          </w:p>
        </w:tc>
        <w:tc>
          <w:tcPr>
            <w:tcW w:w="5040" w:type="dxa"/>
            <w:gridSpan w:val="4"/>
            <w:tcBorders>
              <w:top w:val="single" w:sz="4" w:space="0" w:color="auto"/>
            </w:tcBorders>
          </w:tcPr>
          <w:p w:rsidR="00000000" w:rsidRDefault="00000000">
            <w:pPr>
              <w:spacing w:after="0"/>
              <w:ind w:right="113"/>
              <w:jc w:val="center"/>
            </w:pPr>
            <w:r>
              <w:t>Incidence:  cases per 100 000 inhabitants</w:t>
            </w:r>
          </w:p>
        </w:tc>
      </w:tr>
      <w:tr w:rsidR="00000000">
        <w:tblPrEx>
          <w:tblCellMar>
            <w:top w:w="0" w:type="dxa"/>
            <w:bottom w:w="0" w:type="dxa"/>
          </w:tblCellMar>
        </w:tblPrEx>
        <w:trPr>
          <w:cantSplit/>
          <w:jc w:val="center"/>
        </w:trPr>
        <w:tc>
          <w:tcPr>
            <w:tcW w:w="720" w:type="dxa"/>
            <w:tcBorders>
              <w:top w:val="nil"/>
              <w:bottom w:val="single" w:sz="4" w:space="0" w:color="auto"/>
            </w:tcBorders>
          </w:tcPr>
          <w:p w:rsidR="00000000" w:rsidRDefault="00000000">
            <w:pPr>
              <w:spacing w:after="0"/>
              <w:ind w:right="113"/>
              <w:jc w:val="right"/>
            </w:pPr>
          </w:p>
        </w:tc>
        <w:tc>
          <w:tcPr>
            <w:tcW w:w="1790" w:type="dxa"/>
            <w:tcBorders>
              <w:top w:val="nil"/>
              <w:bottom w:val="single" w:sz="4" w:space="0" w:color="auto"/>
            </w:tcBorders>
          </w:tcPr>
          <w:p w:rsidR="00000000" w:rsidRDefault="00000000">
            <w:pPr>
              <w:spacing w:after="0"/>
            </w:pPr>
          </w:p>
        </w:tc>
        <w:tc>
          <w:tcPr>
            <w:tcW w:w="1260" w:type="dxa"/>
            <w:tcBorders>
              <w:top w:val="single" w:sz="4" w:space="0" w:color="auto"/>
            </w:tcBorders>
          </w:tcPr>
          <w:p w:rsidR="00000000" w:rsidRDefault="00000000">
            <w:pPr>
              <w:spacing w:after="0"/>
              <w:ind w:right="113"/>
              <w:jc w:val="center"/>
            </w:pPr>
            <w:r>
              <w:t>1995</w:t>
            </w:r>
          </w:p>
        </w:tc>
        <w:tc>
          <w:tcPr>
            <w:tcW w:w="1260" w:type="dxa"/>
            <w:tcBorders>
              <w:top w:val="single" w:sz="4" w:space="0" w:color="auto"/>
            </w:tcBorders>
          </w:tcPr>
          <w:p w:rsidR="00000000" w:rsidRDefault="00000000">
            <w:pPr>
              <w:spacing w:after="0"/>
              <w:ind w:right="113"/>
              <w:jc w:val="center"/>
            </w:pPr>
            <w:r>
              <w:t>1996</w:t>
            </w:r>
          </w:p>
        </w:tc>
        <w:tc>
          <w:tcPr>
            <w:tcW w:w="1260" w:type="dxa"/>
            <w:tcBorders>
              <w:top w:val="single" w:sz="4" w:space="0" w:color="auto"/>
            </w:tcBorders>
          </w:tcPr>
          <w:p w:rsidR="00000000" w:rsidRDefault="00000000">
            <w:pPr>
              <w:spacing w:after="0"/>
              <w:ind w:right="113"/>
              <w:jc w:val="center"/>
            </w:pPr>
            <w:r>
              <w:t>2000</w:t>
            </w:r>
          </w:p>
        </w:tc>
        <w:tc>
          <w:tcPr>
            <w:tcW w:w="1260" w:type="dxa"/>
            <w:tcBorders>
              <w:top w:val="single" w:sz="4" w:space="0" w:color="auto"/>
            </w:tcBorders>
          </w:tcPr>
          <w:p w:rsidR="00000000" w:rsidRDefault="00000000">
            <w:pPr>
              <w:spacing w:after="0"/>
              <w:ind w:right="113"/>
              <w:jc w:val="center"/>
            </w:pPr>
            <w:r>
              <w:t>2001</w:t>
            </w:r>
          </w:p>
        </w:tc>
      </w:tr>
      <w:tr w:rsidR="00000000">
        <w:tblPrEx>
          <w:tblCellMar>
            <w:top w:w="0" w:type="dxa"/>
            <w:bottom w:w="0" w:type="dxa"/>
          </w:tblCellMar>
        </w:tblPrEx>
        <w:trPr>
          <w:cantSplit/>
          <w:jc w:val="center"/>
        </w:trPr>
        <w:tc>
          <w:tcPr>
            <w:tcW w:w="720" w:type="dxa"/>
            <w:tcBorders>
              <w:top w:val="single" w:sz="4" w:space="0" w:color="auto"/>
            </w:tcBorders>
          </w:tcPr>
          <w:p w:rsidR="00000000" w:rsidRDefault="00000000">
            <w:pPr>
              <w:spacing w:after="0"/>
              <w:ind w:right="113"/>
              <w:jc w:val="right"/>
            </w:pPr>
            <w:r>
              <w:t>1.</w:t>
            </w:r>
          </w:p>
        </w:tc>
        <w:tc>
          <w:tcPr>
            <w:tcW w:w="1790" w:type="dxa"/>
            <w:tcBorders>
              <w:top w:val="single" w:sz="4" w:space="0" w:color="auto"/>
            </w:tcBorders>
          </w:tcPr>
          <w:p w:rsidR="00000000" w:rsidRDefault="00000000">
            <w:pPr>
              <w:spacing w:after="0"/>
            </w:pPr>
            <w:r>
              <w:t>Berat</w:t>
            </w:r>
          </w:p>
        </w:tc>
        <w:tc>
          <w:tcPr>
            <w:tcW w:w="1260" w:type="dxa"/>
            <w:tcBorders>
              <w:top w:val="single" w:sz="4" w:space="0" w:color="auto"/>
            </w:tcBorders>
          </w:tcPr>
          <w:p w:rsidR="00000000" w:rsidRDefault="00000000">
            <w:pPr>
              <w:spacing w:after="0"/>
              <w:ind w:right="215"/>
              <w:jc w:val="right"/>
            </w:pPr>
            <w:r>
              <w:t>166.1</w:t>
            </w:r>
          </w:p>
        </w:tc>
        <w:tc>
          <w:tcPr>
            <w:tcW w:w="1260" w:type="dxa"/>
            <w:tcBorders>
              <w:top w:val="single" w:sz="4" w:space="0" w:color="auto"/>
            </w:tcBorders>
          </w:tcPr>
          <w:p w:rsidR="00000000" w:rsidRDefault="00000000">
            <w:pPr>
              <w:spacing w:after="0"/>
              <w:ind w:right="215"/>
              <w:jc w:val="right"/>
            </w:pPr>
            <w:r>
              <w:t>73.3</w:t>
            </w:r>
          </w:p>
        </w:tc>
        <w:tc>
          <w:tcPr>
            <w:tcW w:w="1260" w:type="dxa"/>
            <w:tcBorders>
              <w:top w:val="single" w:sz="4" w:space="0" w:color="auto"/>
            </w:tcBorders>
          </w:tcPr>
          <w:p w:rsidR="00000000" w:rsidRDefault="00000000">
            <w:pPr>
              <w:spacing w:after="0"/>
              <w:ind w:right="215"/>
              <w:jc w:val="right"/>
            </w:pPr>
            <w:r>
              <w:t>102.2</w:t>
            </w:r>
          </w:p>
        </w:tc>
        <w:tc>
          <w:tcPr>
            <w:tcW w:w="1260" w:type="dxa"/>
            <w:tcBorders>
              <w:top w:val="single" w:sz="4" w:space="0" w:color="auto"/>
            </w:tcBorders>
          </w:tcPr>
          <w:p w:rsidR="00000000" w:rsidRDefault="00000000">
            <w:pPr>
              <w:spacing w:after="0"/>
              <w:ind w:right="215"/>
              <w:jc w:val="right"/>
            </w:pPr>
            <w:r>
              <w:t>92.6</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w:t>
            </w:r>
          </w:p>
        </w:tc>
        <w:tc>
          <w:tcPr>
            <w:tcW w:w="1790" w:type="dxa"/>
          </w:tcPr>
          <w:p w:rsidR="00000000" w:rsidRDefault="00000000">
            <w:pPr>
              <w:spacing w:after="0"/>
            </w:pPr>
            <w:r>
              <w:t>Bulqize</w:t>
            </w:r>
          </w:p>
        </w:tc>
        <w:tc>
          <w:tcPr>
            <w:tcW w:w="1260" w:type="dxa"/>
          </w:tcPr>
          <w:p w:rsidR="00000000" w:rsidRDefault="00000000">
            <w:pPr>
              <w:spacing w:after="0"/>
              <w:ind w:right="215"/>
              <w:jc w:val="right"/>
            </w:pPr>
            <w:r>
              <w:t>57.4</w:t>
            </w:r>
          </w:p>
        </w:tc>
        <w:tc>
          <w:tcPr>
            <w:tcW w:w="1260" w:type="dxa"/>
          </w:tcPr>
          <w:p w:rsidR="00000000" w:rsidRDefault="00000000">
            <w:pPr>
              <w:spacing w:after="0"/>
              <w:ind w:right="215"/>
              <w:jc w:val="right"/>
            </w:pPr>
            <w:r>
              <w:t>22.4</w:t>
            </w:r>
          </w:p>
        </w:tc>
        <w:tc>
          <w:tcPr>
            <w:tcW w:w="1260" w:type="dxa"/>
          </w:tcPr>
          <w:p w:rsidR="00000000" w:rsidRDefault="00000000">
            <w:pPr>
              <w:spacing w:after="0"/>
              <w:ind w:right="215"/>
              <w:jc w:val="right"/>
            </w:pPr>
            <w:r>
              <w:t>31.8</w:t>
            </w:r>
          </w:p>
        </w:tc>
        <w:tc>
          <w:tcPr>
            <w:tcW w:w="1260" w:type="dxa"/>
          </w:tcPr>
          <w:p w:rsidR="00000000" w:rsidRDefault="00000000">
            <w:pPr>
              <w:spacing w:after="0"/>
              <w:ind w:right="215"/>
              <w:jc w:val="right"/>
            </w:pPr>
            <w:r>
              <w:t>11.9</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w:t>
            </w:r>
          </w:p>
        </w:tc>
        <w:tc>
          <w:tcPr>
            <w:tcW w:w="1790" w:type="dxa"/>
          </w:tcPr>
          <w:p w:rsidR="00000000" w:rsidRDefault="00000000">
            <w:pPr>
              <w:spacing w:after="0"/>
            </w:pPr>
            <w:r>
              <w:t>Delvine</w:t>
            </w:r>
          </w:p>
        </w:tc>
        <w:tc>
          <w:tcPr>
            <w:tcW w:w="1260" w:type="dxa"/>
          </w:tcPr>
          <w:p w:rsidR="00000000" w:rsidRDefault="00000000">
            <w:pPr>
              <w:spacing w:after="0"/>
              <w:ind w:right="215"/>
              <w:jc w:val="right"/>
            </w:pPr>
            <w:r>
              <w:t>87.3</w:t>
            </w:r>
          </w:p>
        </w:tc>
        <w:tc>
          <w:tcPr>
            <w:tcW w:w="1260" w:type="dxa"/>
          </w:tcPr>
          <w:p w:rsidR="00000000" w:rsidRDefault="00000000">
            <w:pPr>
              <w:spacing w:after="0"/>
              <w:ind w:right="215"/>
              <w:jc w:val="right"/>
            </w:pPr>
            <w:r>
              <w:t>33.8</w:t>
            </w:r>
          </w:p>
        </w:tc>
        <w:tc>
          <w:tcPr>
            <w:tcW w:w="1260" w:type="dxa"/>
          </w:tcPr>
          <w:p w:rsidR="00000000" w:rsidRDefault="00000000">
            <w:pPr>
              <w:spacing w:after="0"/>
              <w:ind w:right="215"/>
              <w:jc w:val="right"/>
            </w:pPr>
            <w:r>
              <w:t>45.1</w:t>
            </w:r>
          </w:p>
        </w:tc>
        <w:tc>
          <w:tcPr>
            <w:tcW w:w="1260" w:type="dxa"/>
          </w:tcPr>
          <w:p w:rsidR="00000000" w:rsidRDefault="00000000">
            <w:pPr>
              <w:spacing w:after="0"/>
              <w:ind w:right="215"/>
              <w:jc w:val="right"/>
            </w:pPr>
            <w:r>
              <w:t>17.4</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4.</w:t>
            </w:r>
          </w:p>
        </w:tc>
        <w:tc>
          <w:tcPr>
            <w:tcW w:w="1790" w:type="dxa"/>
          </w:tcPr>
          <w:p w:rsidR="00000000" w:rsidRDefault="00000000">
            <w:pPr>
              <w:spacing w:after="0"/>
            </w:pPr>
            <w:r>
              <w:t>Devoll</w:t>
            </w:r>
          </w:p>
        </w:tc>
        <w:tc>
          <w:tcPr>
            <w:tcW w:w="1260" w:type="dxa"/>
          </w:tcPr>
          <w:p w:rsidR="00000000" w:rsidRDefault="00000000">
            <w:pPr>
              <w:spacing w:after="0"/>
              <w:ind w:right="215"/>
              <w:jc w:val="right"/>
            </w:pPr>
            <w:r>
              <w:t>65.8</w:t>
            </w:r>
          </w:p>
        </w:tc>
        <w:tc>
          <w:tcPr>
            <w:tcW w:w="1260" w:type="dxa"/>
          </w:tcPr>
          <w:p w:rsidR="00000000" w:rsidRDefault="00000000">
            <w:pPr>
              <w:spacing w:after="0"/>
              <w:ind w:right="215"/>
              <w:jc w:val="right"/>
            </w:pPr>
            <w:r>
              <w:t>62.1</w:t>
            </w:r>
          </w:p>
        </w:tc>
        <w:tc>
          <w:tcPr>
            <w:tcW w:w="1260" w:type="dxa"/>
          </w:tcPr>
          <w:p w:rsidR="00000000" w:rsidRDefault="00000000">
            <w:pPr>
              <w:spacing w:after="0"/>
              <w:ind w:right="215"/>
              <w:jc w:val="right"/>
            </w:pPr>
            <w:r>
              <w:t>135.6</w:t>
            </w:r>
          </w:p>
        </w:tc>
        <w:tc>
          <w:tcPr>
            <w:tcW w:w="1260" w:type="dxa"/>
          </w:tcPr>
          <w:p w:rsidR="00000000" w:rsidRDefault="00000000">
            <w:pPr>
              <w:spacing w:after="0"/>
              <w:ind w:right="215"/>
              <w:jc w:val="right"/>
            </w:pPr>
            <w:r>
              <w:t>22.6</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5.</w:t>
            </w:r>
          </w:p>
        </w:tc>
        <w:tc>
          <w:tcPr>
            <w:tcW w:w="1790" w:type="dxa"/>
          </w:tcPr>
          <w:p w:rsidR="00000000" w:rsidRDefault="00000000">
            <w:pPr>
              <w:spacing w:after="0"/>
            </w:pPr>
            <w:r>
              <w:t>Diber</w:t>
            </w:r>
          </w:p>
        </w:tc>
        <w:tc>
          <w:tcPr>
            <w:tcW w:w="1260" w:type="dxa"/>
          </w:tcPr>
          <w:p w:rsidR="00000000" w:rsidRDefault="00000000">
            <w:pPr>
              <w:spacing w:after="0"/>
              <w:ind w:right="215"/>
              <w:jc w:val="right"/>
            </w:pPr>
            <w:r>
              <w:t>109.2</w:t>
            </w:r>
          </w:p>
        </w:tc>
        <w:tc>
          <w:tcPr>
            <w:tcW w:w="1260" w:type="dxa"/>
          </w:tcPr>
          <w:p w:rsidR="00000000" w:rsidRDefault="00000000">
            <w:pPr>
              <w:spacing w:after="0"/>
              <w:ind w:right="215"/>
              <w:jc w:val="right"/>
            </w:pPr>
            <w:r>
              <w:t>68.7</w:t>
            </w:r>
          </w:p>
        </w:tc>
        <w:tc>
          <w:tcPr>
            <w:tcW w:w="1260" w:type="dxa"/>
          </w:tcPr>
          <w:p w:rsidR="00000000" w:rsidRDefault="00000000">
            <w:pPr>
              <w:spacing w:after="0"/>
              <w:ind w:right="215"/>
              <w:jc w:val="right"/>
            </w:pPr>
            <w:r>
              <w:t>32.6</w:t>
            </w:r>
          </w:p>
        </w:tc>
        <w:tc>
          <w:tcPr>
            <w:tcW w:w="1260" w:type="dxa"/>
          </w:tcPr>
          <w:p w:rsidR="00000000" w:rsidRDefault="00000000">
            <w:pPr>
              <w:spacing w:after="0"/>
              <w:ind w:right="215"/>
              <w:jc w:val="right"/>
            </w:pPr>
            <w:r>
              <w:t>15.8</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6.</w:t>
            </w:r>
          </w:p>
        </w:tc>
        <w:tc>
          <w:tcPr>
            <w:tcW w:w="1790" w:type="dxa"/>
          </w:tcPr>
          <w:p w:rsidR="00000000" w:rsidRDefault="00000000">
            <w:pPr>
              <w:spacing w:after="0"/>
            </w:pPr>
            <w:r>
              <w:t>Durres</w:t>
            </w:r>
          </w:p>
        </w:tc>
        <w:tc>
          <w:tcPr>
            <w:tcW w:w="1260" w:type="dxa"/>
          </w:tcPr>
          <w:p w:rsidR="00000000" w:rsidRDefault="00000000">
            <w:pPr>
              <w:spacing w:after="0"/>
              <w:ind w:right="215"/>
              <w:jc w:val="right"/>
            </w:pPr>
            <w:r>
              <w:t>148.7</w:t>
            </w:r>
          </w:p>
        </w:tc>
        <w:tc>
          <w:tcPr>
            <w:tcW w:w="1260" w:type="dxa"/>
          </w:tcPr>
          <w:p w:rsidR="00000000" w:rsidRDefault="00000000">
            <w:pPr>
              <w:spacing w:after="0"/>
              <w:ind w:right="215"/>
              <w:jc w:val="right"/>
            </w:pPr>
            <w:r>
              <w:t>107.0</w:t>
            </w:r>
          </w:p>
        </w:tc>
        <w:tc>
          <w:tcPr>
            <w:tcW w:w="1260" w:type="dxa"/>
          </w:tcPr>
          <w:p w:rsidR="00000000" w:rsidRDefault="00000000">
            <w:pPr>
              <w:spacing w:after="0"/>
              <w:ind w:right="215"/>
              <w:jc w:val="right"/>
            </w:pPr>
            <w:r>
              <w:t>79.4</w:t>
            </w:r>
          </w:p>
        </w:tc>
        <w:tc>
          <w:tcPr>
            <w:tcW w:w="1260" w:type="dxa"/>
          </w:tcPr>
          <w:p w:rsidR="00000000" w:rsidRDefault="00000000">
            <w:pPr>
              <w:spacing w:after="0"/>
              <w:ind w:right="215"/>
              <w:jc w:val="right"/>
            </w:pPr>
            <w:r>
              <w:t>34.4</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7.</w:t>
            </w:r>
          </w:p>
        </w:tc>
        <w:tc>
          <w:tcPr>
            <w:tcW w:w="1790" w:type="dxa"/>
          </w:tcPr>
          <w:p w:rsidR="00000000" w:rsidRDefault="00000000">
            <w:pPr>
              <w:spacing w:after="0"/>
            </w:pPr>
            <w:r>
              <w:t>Elbasan</w:t>
            </w:r>
          </w:p>
        </w:tc>
        <w:tc>
          <w:tcPr>
            <w:tcW w:w="1260" w:type="dxa"/>
          </w:tcPr>
          <w:p w:rsidR="00000000" w:rsidRDefault="00000000">
            <w:pPr>
              <w:spacing w:after="0"/>
              <w:ind w:right="215"/>
              <w:jc w:val="right"/>
            </w:pPr>
            <w:r>
              <w:t>159.1</w:t>
            </w:r>
          </w:p>
        </w:tc>
        <w:tc>
          <w:tcPr>
            <w:tcW w:w="1260" w:type="dxa"/>
          </w:tcPr>
          <w:p w:rsidR="00000000" w:rsidRDefault="00000000">
            <w:pPr>
              <w:spacing w:after="0"/>
              <w:ind w:right="215"/>
              <w:jc w:val="right"/>
            </w:pPr>
            <w:r>
              <w:t>89.8</w:t>
            </w:r>
          </w:p>
        </w:tc>
        <w:tc>
          <w:tcPr>
            <w:tcW w:w="1260" w:type="dxa"/>
          </w:tcPr>
          <w:p w:rsidR="00000000" w:rsidRDefault="00000000">
            <w:pPr>
              <w:spacing w:after="0"/>
              <w:ind w:right="215"/>
              <w:jc w:val="right"/>
            </w:pPr>
            <w:r>
              <w:t>137.6</w:t>
            </w:r>
          </w:p>
        </w:tc>
        <w:tc>
          <w:tcPr>
            <w:tcW w:w="1260" w:type="dxa"/>
          </w:tcPr>
          <w:p w:rsidR="00000000" w:rsidRDefault="00000000">
            <w:pPr>
              <w:spacing w:after="0"/>
              <w:ind w:right="215"/>
              <w:jc w:val="right"/>
            </w:pPr>
            <w:r>
              <w:t>50.1</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8.</w:t>
            </w:r>
          </w:p>
        </w:tc>
        <w:tc>
          <w:tcPr>
            <w:tcW w:w="1790" w:type="dxa"/>
          </w:tcPr>
          <w:p w:rsidR="00000000" w:rsidRDefault="00000000">
            <w:pPr>
              <w:spacing w:after="0"/>
            </w:pPr>
            <w:r>
              <w:t>Fier</w:t>
            </w:r>
          </w:p>
        </w:tc>
        <w:tc>
          <w:tcPr>
            <w:tcW w:w="1260" w:type="dxa"/>
          </w:tcPr>
          <w:p w:rsidR="00000000" w:rsidRDefault="00000000">
            <w:pPr>
              <w:spacing w:after="0"/>
              <w:ind w:right="215"/>
              <w:jc w:val="right"/>
            </w:pPr>
            <w:r>
              <w:t>192.9</w:t>
            </w:r>
          </w:p>
        </w:tc>
        <w:tc>
          <w:tcPr>
            <w:tcW w:w="1260" w:type="dxa"/>
          </w:tcPr>
          <w:p w:rsidR="00000000" w:rsidRDefault="00000000">
            <w:pPr>
              <w:spacing w:after="0"/>
              <w:ind w:right="215"/>
              <w:jc w:val="right"/>
            </w:pPr>
            <w:r>
              <w:t>48.4</w:t>
            </w:r>
          </w:p>
        </w:tc>
        <w:tc>
          <w:tcPr>
            <w:tcW w:w="1260" w:type="dxa"/>
          </w:tcPr>
          <w:p w:rsidR="00000000" w:rsidRDefault="00000000">
            <w:pPr>
              <w:spacing w:after="0"/>
              <w:ind w:right="215"/>
              <w:jc w:val="right"/>
            </w:pPr>
            <w:r>
              <w:t>165.4</w:t>
            </w:r>
          </w:p>
        </w:tc>
        <w:tc>
          <w:tcPr>
            <w:tcW w:w="1260" w:type="dxa"/>
          </w:tcPr>
          <w:p w:rsidR="00000000" w:rsidRDefault="00000000">
            <w:pPr>
              <w:spacing w:after="0"/>
              <w:ind w:right="215"/>
              <w:jc w:val="right"/>
            </w:pPr>
            <w:r>
              <w:t>74.1</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9.</w:t>
            </w:r>
          </w:p>
        </w:tc>
        <w:tc>
          <w:tcPr>
            <w:tcW w:w="1790" w:type="dxa"/>
          </w:tcPr>
          <w:p w:rsidR="00000000" w:rsidRDefault="00000000">
            <w:pPr>
              <w:spacing w:after="0"/>
            </w:pPr>
            <w:r>
              <w:t>Gramsh</w:t>
            </w:r>
          </w:p>
        </w:tc>
        <w:tc>
          <w:tcPr>
            <w:tcW w:w="1260" w:type="dxa"/>
          </w:tcPr>
          <w:p w:rsidR="00000000" w:rsidRDefault="00000000">
            <w:pPr>
              <w:spacing w:after="0"/>
              <w:ind w:right="215"/>
              <w:jc w:val="right"/>
            </w:pPr>
            <w:r>
              <w:t>154.5</w:t>
            </w:r>
          </w:p>
        </w:tc>
        <w:tc>
          <w:tcPr>
            <w:tcW w:w="1260" w:type="dxa"/>
          </w:tcPr>
          <w:p w:rsidR="00000000" w:rsidRDefault="00000000">
            <w:pPr>
              <w:spacing w:after="0"/>
              <w:ind w:right="215"/>
              <w:jc w:val="right"/>
            </w:pPr>
            <w:r>
              <w:t>137.3</w:t>
            </w:r>
          </w:p>
        </w:tc>
        <w:tc>
          <w:tcPr>
            <w:tcW w:w="1260" w:type="dxa"/>
          </w:tcPr>
          <w:p w:rsidR="00000000" w:rsidRDefault="00000000">
            <w:pPr>
              <w:spacing w:after="0"/>
              <w:ind w:right="215"/>
              <w:jc w:val="right"/>
            </w:pPr>
            <w:r>
              <w:t>163.4</w:t>
            </w:r>
          </w:p>
        </w:tc>
        <w:tc>
          <w:tcPr>
            <w:tcW w:w="1260" w:type="dxa"/>
          </w:tcPr>
          <w:p w:rsidR="00000000" w:rsidRDefault="00000000">
            <w:pPr>
              <w:spacing w:after="0"/>
              <w:ind w:right="215"/>
              <w:jc w:val="right"/>
            </w:pPr>
            <w:r>
              <w:t>13.8</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10.</w:t>
            </w:r>
          </w:p>
        </w:tc>
        <w:tc>
          <w:tcPr>
            <w:tcW w:w="1790" w:type="dxa"/>
          </w:tcPr>
          <w:p w:rsidR="00000000" w:rsidRDefault="00000000">
            <w:pPr>
              <w:spacing w:after="0"/>
            </w:pPr>
            <w:r>
              <w:t>Gjirokaster</w:t>
            </w:r>
          </w:p>
        </w:tc>
        <w:tc>
          <w:tcPr>
            <w:tcW w:w="1260" w:type="dxa"/>
          </w:tcPr>
          <w:p w:rsidR="00000000" w:rsidRDefault="00000000">
            <w:pPr>
              <w:spacing w:after="0"/>
              <w:ind w:right="215"/>
              <w:jc w:val="right"/>
            </w:pPr>
            <w:r>
              <w:t>174.3</w:t>
            </w:r>
          </w:p>
        </w:tc>
        <w:tc>
          <w:tcPr>
            <w:tcW w:w="1260" w:type="dxa"/>
          </w:tcPr>
          <w:p w:rsidR="00000000" w:rsidRDefault="00000000">
            <w:pPr>
              <w:spacing w:after="0"/>
              <w:ind w:right="215"/>
              <w:jc w:val="right"/>
            </w:pPr>
            <w:r>
              <w:t>39.9</w:t>
            </w:r>
          </w:p>
        </w:tc>
        <w:tc>
          <w:tcPr>
            <w:tcW w:w="1260" w:type="dxa"/>
          </w:tcPr>
          <w:p w:rsidR="00000000" w:rsidRDefault="00000000">
            <w:pPr>
              <w:spacing w:after="0"/>
              <w:ind w:right="215"/>
              <w:jc w:val="right"/>
            </w:pPr>
            <w:r>
              <w:t>140.0</w:t>
            </w:r>
          </w:p>
        </w:tc>
        <w:tc>
          <w:tcPr>
            <w:tcW w:w="1260" w:type="dxa"/>
          </w:tcPr>
          <w:p w:rsidR="00000000" w:rsidRDefault="00000000">
            <w:pPr>
              <w:spacing w:after="0"/>
              <w:ind w:right="215"/>
              <w:jc w:val="right"/>
            </w:pPr>
            <w:r>
              <w:t>45.6</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11.</w:t>
            </w:r>
          </w:p>
        </w:tc>
        <w:tc>
          <w:tcPr>
            <w:tcW w:w="1790" w:type="dxa"/>
          </w:tcPr>
          <w:p w:rsidR="00000000" w:rsidRDefault="00000000">
            <w:pPr>
              <w:spacing w:after="0"/>
            </w:pPr>
            <w:r>
              <w:t>Has</w:t>
            </w:r>
          </w:p>
        </w:tc>
        <w:tc>
          <w:tcPr>
            <w:tcW w:w="1260" w:type="dxa"/>
          </w:tcPr>
          <w:p w:rsidR="00000000" w:rsidRDefault="00000000">
            <w:pPr>
              <w:spacing w:after="0"/>
              <w:ind w:right="215"/>
              <w:jc w:val="right"/>
            </w:pPr>
            <w:r>
              <w:t>91.8</w:t>
            </w:r>
          </w:p>
        </w:tc>
        <w:tc>
          <w:tcPr>
            <w:tcW w:w="1260" w:type="dxa"/>
          </w:tcPr>
          <w:p w:rsidR="00000000" w:rsidRDefault="00000000">
            <w:pPr>
              <w:spacing w:after="0"/>
              <w:ind w:right="215"/>
              <w:jc w:val="right"/>
            </w:pPr>
            <w:r>
              <w:t>91.5</w:t>
            </w:r>
          </w:p>
        </w:tc>
        <w:tc>
          <w:tcPr>
            <w:tcW w:w="1260" w:type="dxa"/>
          </w:tcPr>
          <w:p w:rsidR="00000000" w:rsidRDefault="00000000">
            <w:pPr>
              <w:spacing w:after="0"/>
              <w:ind w:right="215"/>
              <w:jc w:val="right"/>
            </w:pPr>
            <w:r>
              <w:t>98.5</w:t>
            </w:r>
          </w:p>
        </w:tc>
        <w:tc>
          <w:tcPr>
            <w:tcW w:w="1260" w:type="dxa"/>
          </w:tcPr>
          <w:p w:rsidR="00000000" w:rsidRDefault="00000000">
            <w:pPr>
              <w:spacing w:after="0"/>
              <w:ind w:right="215"/>
              <w:jc w:val="right"/>
            </w:pPr>
            <w:r>
              <w:t>137.8</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12.</w:t>
            </w:r>
          </w:p>
        </w:tc>
        <w:tc>
          <w:tcPr>
            <w:tcW w:w="1790" w:type="dxa"/>
          </w:tcPr>
          <w:p w:rsidR="00000000" w:rsidRDefault="00000000">
            <w:pPr>
              <w:spacing w:after="0"/>
            </w:pPr>
            <w:r>
              <w:t>Kavaje</w:t>
            </w:r>
          </w:p>
        </w:tc>
        <w:tc>
          <w:tcPr>
            <w:tcW w:w="1260" w:type="dxa"/>
          </w:tcPr>
          <w:p w:rsidR="00000000" w:rsidRDefault="00000000">
            <w:pPr>
              <w:spacing w:after="0"/>
              <w:ind w:right="215"/>
              <w:jc w:val="right"/>
            </w:pPr>
            <w:r>
              <w:t>113.4</w:t>
            </w:r>
          </w:p>
        </w:tc>
        <w:tc>
          <w:tcPr>
            <w:tcW w:w="1260" w:type="dxa"/>
          </w:tcPr>
          <w:p w:rsidR="00000000" w:rsidRDefault="00000000">
            <w:pPr>
              <w:spacing w:after="0"/>
              <w:ind w:right="215"/>
              <w:jc w:val="right"/>
            </w:pPr>
            <w:r>
              <w:t>69.4</w:t>
            </w:r>
          </w:p>
        </w:tc>
        <w:tc>
          <w:tcPr>
            <w:tcW w:w="1260" w:type="dxa"/>
          </w:tcPr>
          <w:p w:rsidR="00000000" w:rsidRDefault="00000000">
            <w:pPr>
              <w:spacing w:after="0"/>
              <w:ind w:right="215"/>
              <w:jc w:val="right"/>
            </w:pPr>
            <w:r>
              <w:t>38.6</w:t>
            </w:r>
          </w:p>
        </w:tc>
        <w:tc>
          <w:tcPr>
            <w:tcW w:w="1260" w:type="dxa"/>
          </w:tcPr>
          <w:p w:rsidR="00000000" w:rsidRDefault="00000000">
            <w:pPr>
              <w:spacing w:after="0"/>
              <w:ind w:right="215"/>
              <w:jc w:val="right"/>
            </w:pPr>
            <w:r>
              <w:t>45.4</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13.</w:t>
            </w:r>
          </w:p>
        </w:tc>
        <w:tc>
          <w:tcPr>
            <w:tcW w:w="1790" w:type="dxa"/>
          </w:tcPr>
          <w:p w:rsidR="00000000" w:rsidRDefault="00000000">
            <w:pPr>
              <w:spacing w:after="0"/>
            </w:pPr>
            <w:r>
              <w:t>Kolonje</w:t>
            </w:r>
          </w:p>
        </w:tc>
        <w:tc>
          <w:tcPr>
            <w:tcW w:w="1260" w:type="dxa"/>
          </w:tcPr>
          <w:p w:rsidR="00000000" w:rsidRDefault="00000000">
            <w:pPr>
              <w:spacing w:after="0"/>
              <w:ind w:right="215"/>
              <w:jc w:val="right"/>
            </w:pPr>
            <w:r>
              <w:t>443.3</w:t>
            </w:r>
          </w:p>
        </w:tc>
        <w:tc>
          <w:tcPr>
            <w:tcW w:w="1260" w:type="dxa"/>
          </w:tcPr>
          <w:p w:rsidR="00000000" w:rsidRDefault="00000000">
            <w:pPr>
              <w:spacing w:after="0"/>
              <w:ind w:right="215"/>
              <w:jc w:val="right"/>
            </w:pPr>
            <w:r>
              <w:t>37.1</w:t>
            </w:r>
          </w:p>
        </w:tc>
        <w:tc>
          <w:tcPr>
            <w:tcW w:w="1260" w:type="dxa"/>
          </w:tcPr>
          <w:p w:rsidR="00000000" w:rsidRDefault="00000000">
            <w:pPr>
              <w:spacing w:after="0"/>
              <w:ind w:right="215"/>
              <w:jc w:val="right"/>
            </w:pPr>
            <w:r>
              <w:t>256.7</w:t>
            </w:r>
          </w:p>
        </w:tc>
        <w:tc>
          <w:tcPr>
            <w:tcW w:w="1260" w:type="dxa"/>
          </w:tcPr>
          <w:p w:rsidR="00000000" w:rsidRDefault="00000000">
            <w:pPr>
              <w:spacing w:after="0"/>
              <w:ind w:right="215"/>
              <w:jc w:val="right"/>
            </w:pPr>
            <w:r>
              <w:t>41.4</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14.</w:t>
            </w:r>
          </w:p>
        </w:tc>
        <w:tc>
          <w:tcPr>
            <w:tcW w:w="1790" w:type="dxa"/>
          </w:tcPr>
          <w:p w:rsidR="00000000" w:rsidRDefault="00000000">
            <w:pPr>
              <w:spacing w:after="0"/>
            </w:pPr>
            <w:r>
              <w:t>Korçe</w:t>
            </w:r>
          </w:p>
        </w:tc>
        <w:tc>
          <w:tcPr>
            <w:tcW w:w="1260" w:type="dxa"/>
          </w:tcPr>
          <w:p w:rsidR="00000000" w:rsidRDefault="00000000">
            <w:pPr>
              <w:spacing w:after="0"/>
              <w:ind w:right="215"/>
              <w:jc w:val="right"/>
            </w:pPr>
            <w:r>
              <w:t>104.9</w:t>
            </w:r>
          </w:p>
        </w:tc>
        <w:tc>
          <w:tcPr>
            <w:tcW w:w="1260" w:type="dxa"/>
          </w:tcPr>
          <w:p w:rsidR="00000000" w:rsidRDefault="00000000">
            <w:pPr>
              <w:spacing w:after="0"/>
              <w:ind w:right="215"/>
              <w:jc w:val="right"/>
            </w:pPr>
            <w:r>
              <w:t>52.8</w:t>
            </w:r>
          </w:p>
        </w:tc>
        <w:tc>
          <w:tcPr>
            <w:tcW w:w="1260" w:type="dxa"/>
          </w:tcPr>
          <w:p w:rsidR="00000000" w:rsidRDefault="00000000">
            <w:pPr>
              <w:spacing w:after="0"/>
              <w:ind w:right="215"/>
              <w:jc w:val="right"/>
            </w:pPr>
            <w:r>
              <w:t>115.6</w:t>
            </w:r>
          </w:p>
        </w:tc>
        <w:tc>
          <w:tcPr>
            <w:tcW w:w="1260" w:type="dxa"/>
          </w:tcPr>
          <w:p w:rsidR="00000000" w:rsidRDefault="00000000">
            <w:pPr>
              <w:spacing w:after="0"/>
              <w:ind w:right="215"/>
              <w:jc w:val="right"/>
            </w:pPr>
            <w:r>
              <w:t>48.2</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15.</w:t>
            </w:r>
          </w:p>
        </w:tc>
        <w:tc>
          <w:tcPr>
            <w:tcW w:w="1790" w:type="dxa"/>
          </w:tcPr>
          <w:p w:rsidR="00000000" w:rsidRDefault="00000000">
            <w:pPr>
              <w:spacing w:after="0"/>
            </w:pPr>
            <w:r>
              <w:t>Kruje</w:t>
            </w:r>
          </w:p>
        </w:tc>
        <w:tc>
          <w:tcPr>
            <w:tcW w:w="1260" w:type="dxa"/>
          </w:tcPr>
          <w:p w:rsidR="00000000" w:rsidRDefault="00000000">
            <w:pPr>
              <w:spacing w:after="0"/>
              <w:ind w:right="215"/>
              <w:jc w:val="right"/>
            </w:pPr>
            <w:r>
              <w:t>163.0</w:t>
            </w:r>
          </w:p>
        </w:tc>
        <w:tc>
          <w:tcPr>
            <w:tcW w:w="1260" w:type="dxa"/>
          </w:tcPr>
          <w:p w:rsidR="00000000" w:rsidRDefault="00000000">
            <w:pPr>
              <w:spacing w:after="0"/>
              <w:ind w:right="215"/>
              <w:jc w:val="right"/>
            </w:pPr>
            <w:r>
              <w:t>86.5</w:t>
            </w:r>
          </w:p>
        </w:tc>
        <w:tc>
          <w:tcPr>
            <w:tcW w:w="1260" w:type="dxa"/>
          </w:tcPr>
          <w:p w:rsidR="00000000" w:rsidRDefault="00000000">
            <w:pPr>
              <w:spacing w:after="0"/>
              <w:ind w:right="215"/>
              <w:jc w:val="right"/>
            </w:pPr>
            <w:r>
              <w:t>53.9</w:t>
            </w:r>
          </w:p>
        </w:tc>
        <w:tc>
          <w:tcPr>
            <w:tcW w:w="1260" w:type="dxa"/>
          </w:tcPr>
          <w:p w:rsidR="00000000" w:rsidRDefault="00000000">
            <w:pPr>
              <w:spacing w:after="0"/>
              <w:ind w:right="215"/>
              <w:jc w:val="right"/>
            </w:pPr>
            <w:r>
              <w:t>92.6</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16.</w:t>
            </w:r>
          </w:p>
        </w:tc>
        <w:tc>
          <w:tcPr>
            <w:tcW w:w="1790" w:type="dxa"/>
          </w:tcPr>
          <w:p w:rsidR="00000000" w:rsidRDefault="00000000">
            <w:pPr>
              <w:spacing w:after="0"/>
            </w:pPr>
            <w:r>
              <w:t>Kuçove</w:t>
            </w:r>
          </w:p>
        </w:tc>
        <w:tc>
          <w:tcPr>
            <w:tcW w:w="1260" w:type="dxa"/>
          </w:tcPr>
          <w:p w:rsidR="00000000" w:rsidRDefault="00000000">
            <w:pPr>
              <w:spacing w:after="0"/>
              <w:ind w:right="215"/>
              <w:jc w:val="right"/>
            </w:pPr>
            <w:r>
              <w:t>216.2</w:t>
            </w:r>
          </w:p>
        </w:tc>
        <w:tc>
          <w:tcPr>
            <w:tcW w:w="1260" w:type="dxa"/>
          </w:tcPr>
          <w:p w:rsidR="00000000" w:rsidRDefault="00000000">
            <w:pPr>
              <w:spacing w:after="0"/>
              <w:ind w:right="215"/>
              <w:jc w:val="right"/>
            </w:pPr>
            <w:r>
              <w:t>107.0</w:t>
            </w:r>
          </w:p>
        </w:tc>
        <w:tc>
          <w:tcPr>
            <w:tcW w:w="1260" w:type="dxa"/>
          </w:tcPr>
          <w:p w:rsidR="00000000" w:rsidRDefault="00000000">
            <w:pPr>
              <w:spacing w:after="0"/>
              <w:ind w:right="215"/>
              <w:jc w:val="right"/>
            </w:pPr>
            <w:r>
              <w:t>97.8</w:t>
            </w:r>
          </w:p>
        </w:tc>
        <w:tc>
          <w:tcPr>
            <w:tcW w:w="1260" w:type="dxa"/>
          </w:tcPr>
          <w:p w:rsidR="00000000" w:rsidRDefault="00000000">
            <w:pPr>
              <w:spacing w:after="0"/>
              <w:ind w:right="215"/>
              <w:jc w:val="right"/>
            </w:pPr>
            <w:r>
              <w:t>23.1</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17.</w:t>
            </w:r>
          </w:p>
        </w:tc>
        <w:tc>
          <w:tcPr>
            <w:tcW w:w="1790" w:type="dxa"/>
          </w:tcPr>
          <w:p w:rsidR="00000000" w:rsidRDefault="00000000">
            <w:pPr>
              <w:spacing w:after="0"/>
            </w:pPr>
            <w:r>
              <w:t>Kukes</w:t>
            </w:r>
          </w:p>
        </w:tc>
        <w:tc>
          <w:tcPr>
            <w:tcW w:w="1260" w:type="dxa"/>
          </w:tcPr>
          <w:p w:rsidR="00000000" w:rsidRDefault="00000000">
            <w:pPr>
              <w:spacing w:after="0"/>
              <w:ind w:right="215"/>
              <w:jc w:val="right"/>
            </w:pPr>
            <w:r>
              <w:t>144.1</w:t>
            </w:r>
          </w:p>
        </w:tc>
        <w:tc>
          <w:tcPr>
            <w:tcW w:w="1260" w:type="dxa"/>
          </w:tcPr>
          <w:p w:rsidR="00000000" w:rsidRDefault="00000000">
            <w:pPr>
              <w:spacing w:after="0"/>
              <w:ind w:right="215"/>
              <w:jc w:val="right"/>
            </w:pPr>
            <w:r>
              <w:t>99.3</w:t>
            </w:r>
          </w:p>
        </w:tc>
        <w:tc>
          <w:tcPr>
            <w:tcW w:w="1260" w:type="dxa"/>
          </w:tcPr>
          <w:p w:rsidR="00000000" w:rsidRDefault="00000000">
            <w:pPr>
              <w:spacing w:after="0"/>
              <w:ind w:right="215"/>
              <w:jc w:val="right"/>
            </w:pPr>
            <w:r>
              <w:t>54.9</w:t>
            </w:r>
          </w:p>
        </w:tc>
        <w:tc>
          <w:tcPr>
            <w:tcW w:w="1260" w:type="dxa"/>
          </w:tcPr>
          <w:p w:rsidR="00000000" w:rsidRDefault="00000000">
            <w:pPr>
              <w:spacing w:after="0"/>
              <w:ind w:right="215"/>
              <w:jc w:val="right"/>
            </w:pPr>
            <w:r>
              <w:t>23.3</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18.</w:t>
            </w:r>
          </w:p>
        </w:tc>
        <w:tc>
          <w:tcPr>
            <w:tcW w:w="1790" w:type="dxa"/>
          </w:tcPr>
          <w:p w:rsidR="00000000" w:rsidRDefault="00000000">
            <w:pPr>
              <w:spacing w:after="0"/>
            </w:pPr>
            <w:r>
              <w:t>Laç</w:t>
            </w:r>
          </w:p>
        </w:tc>
        <w:tc>
          <w:tcPr>
            <w:tcW w:w="1260" w:type="dxa"/>
          </w:tcPr>
          <w:p w:rsidR="00000000" w:rsidRDefault="00000000">
            <w:pPr>
              <w:spacing w:after="0"/>
              <w:ind w:right="215"/>
              <w:jc w:val="right"/>
            </w:pPr>
            <w:r>
              <w:t>87.7</w:t>
            </w:r>
          </w:p>
        </w:tc>
        <w:tc>
          <w:tcPr>
            <w:tcW w:w="1260" w:type="dxa"/>
          </w:tcPr>
          <w:p w:rsidR="00000000" w:rsidRDefault="00000000">
            <w:pPr>
              <w:spacing w:after="0"/>
              <w:ind w:right="215"/>
              <w:jc w:val="right"/>
            </w:pPr>
            <w:r>
              <w:t>45.9</w:t>
            </w:r>
          </w:p>
        </w:tc>
        <w:tc>
          <w:tcPr>
            <w:tcW w:w="1260" w:type="dxa"/>
          </w:tcPr>
          <w:p w:rsidR="00000000" w:rsidRDefault="00000000">
            <w:pPr>
              <w:spacing w:after="0"/>
              <w:ind w:right="215"/>
              <w:jc w:val="right"/>
            </w:pPr>
            <w:r>
              <w:t>67.2</w:t>
            </w:r>
          </w:p>
        </w:tc>
        <w:tc>
          <w:tcPr>
            <w:tcW w:w="1260" w:type="dxa"/>
          </w:tcPr>
          <w:p w:rsidR="00000000" w:rsidRDefault="00000000">
            <w:pPr>
              <w:spacing w:after="0"/>
              <w:ind w:right="215"/>
              <w:jc w:val="right"/>
            </w:pPr>
            <w:r>
              <w:t>24.7</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19.</w:t>
            </w:r>
          </w:p>
        </w:tc>
        <w:tc>
          <w:tcPr>
            <w:tcW w:w="1790" w:type="dxa"/>
          </w:tcPr>
          <w:p w:rsidR="00000000" w:rsidRDefault="00000000">
            <w:pPr>
              <w:spacing w:after="0"/>
            </w:pPr>
            <w:r>
              <w:t>Lezhe</w:t>
            </w:r>
          </w:p>
        </w:tc>
        <w:tc>
          <w:tcPr>
            <w:tcW w:w="1260" w:type="dxa"/>
          </w:tcPr>
          <w:p w:rsidR="00000000" w:rsidRDefault="00000000">
            <w:pPr>
              <w:spacing w:after="0"/>
              <w:ind w:right="215"/>
              <w:jc w:val="right"/>
            </w:pPr>
            <w:r>
              <w:t>224.5</w:t>
            </w:r>
          </w:p>
        </w:tc>
        <w:tc>
          <w:tcPr>
            <w:tcW w:w="1260" w:type="dxa"/>
          </w:tcPr>
          <w:p w:rsidR="00000000" w:rsidRDefault="00000000">
            <w:pPr>
              <w:spacing w:after="0"/>
              <w:ind w:right="215"/>
              <w:jc w:val="right"/>
            </w:pPr>
            <w:r>
              <w:t>86.6</w:t>
            </w:r>
          </w:p>
        </w:tc>
        <w:tc>
          <w:tcPr>
            <w:tcW w:w="1260" w:type="dxa"/>
          </w:tcPr>
          <w:p w:rsidR="00000000" w:rsidRDefault="00000000">
            <w:pPr>
              <w:spacing w:after="0"/>
              <w:ind w:right="215"/>
              <w:jc w:val="right"/>
            </w:pPr>
            <w:r>
              <w:t>219.9</w:t>
            </w:r>
          </w:p>
        </w:tc>
        <w:tc>
          <w:tcPr>
            <w:tcW w:w="1260" w:type="dxa"/>
          </w:tcPr>
          <w:p w:rsidR="00000000" w:rsidRDefault="00000000">
            <w:pPr>
              <w:spacing w:after="0"/>
              <w:ind w:right="215"/>
              <w:jc w:val="right"/>
            </w:pPr>
            <w:r>
              <w:t>157.7</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20.</w:t>
            </w:r>
          </w:p>
        </w:tc>
        <w:tc>
          <w:tcPr>
            <w:tcW w:w="1790" w:type="dxa"/>
          </w:tcPr>
          <w:p w:rsidR="00000000" w:rsidRDefault="00000000">
            <w:pPr>
              <w:spacing w:after="0"/>
            </w:pPr>
            <w:r>
              <w:t>Librazhd</w:t>
            </w:r>
          </w:p>
        </w:tc>
        <w:tc>
          <w:tcPr>
            <w:tcW w:w="1260" w:type="dxa"/>
          </w:tcPr>
          <w:p w:rsidR="00000000" w:rsidRDefault="00000000">
            <w:pPr>
              <w:spacing w:after="0"/>
              <w:ind w:right="215"/>
              <w:jc w:val="right"/>
            </w:pPr>
            <w:r>
              <w:t>214.9</w:t>
            </w:r>
          </w:p>
        </w:tc>
        <w:tc>
          <w:tcPr>
            <w:tcW w:w="1260" w:type="dxa"/>
          </w:tcPr>
          <w:p w:rsidR="00000000" w:rsidRDefault="00000000">
            <w:pPr>
              <w:spacing w:after="0"/>
              <w:ind w:right="215"/>
              <w:jc w:val="right"/>
            </w:pPr>
            <w:r>
              <w:t>108.2</w:t>
            </w:r>
          </w:p>
        </w:tc>
        <w:tc>
          <w:tcPr>
            <w:tcW w:w="1260" w:type="dxa"/>
          </w:tcPr>
          <w:p w:rsidR="00000000" w:rsidRDefault="00000000">
            <w:pPr>
              <w:spacing w:after="0"/>
              <w:ind w:right="215"/>
              <w:jc w:val="right"/>
            </w:pPr>
            <w:r>
              <w:t>111.8</w:t>
            </w:r>
          </w:p>
        </w:tc>
        <w:tc>
          <w:tcPr>
            <w:tcW w:w="1260" w:type="dxa"/>
          </w:tcPr>
          <w:p w:rsidR="00000000" w:rsidRDefault="00000000">
            <w:pPr>
              <w:spacing w:after="0"/>
              <w:ind w:right="215"/>
              <w:jc w:val="right"/>
            </w:pPr>
            <w:r>
              <w:t>101.8</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21.</w:t>
            </w:r>
          </w:p>
        </w:tc>
        <w:tc>
          <w:tcPr>
            <w:tcW w:w="1790" w:type="dxa"/>
          </w:tcPr>
          <w:p w:rsidR="00000000" w:rsidRDefault="00000000">
            <w:pPr>
              <w:spacing w:after="0"/>
            </w:pPr>
            <w:r>
              <w:t>Lushnje</w:t>
            </w:r>
          </w:p>
        </w:tc>
        <w:tc>
          <w:tcPr>
            <w:tcW w:w="1260" w:type="dxa"/>
          </w:tcPr>
          <w:p w:rsidR="00000000" w:rsidRDefault="00000000">
            <w:pPr>
              <w:spacing w:after="0"/>
              <w:ind w:right="215"/>
              <w:jc w:val="right"/>
            </w:pPr>
            <w:r>
              <w:t>213.4</w:t>
            </w:r>
          </w:p>
        </w:tc>
        <w:tc>
          <w:tcPr>
            <w:tcW w:w="1260" w:type="dxa"/>
          </w:tcPr>
          <w:p w:rsidR="00000000" w:rsidRDefault="00000000">
            <w:pPr>
              <w:spacing w:after="0"/>
              <w:ind w:right="215"/>
              <w:jc w:val="right"/>
            </w:pPr>
            <w:r>
              <w:t>82.5</w:t>
            </w:r>
          </w:p>
        </w:tc>
        <w:tc>
          <w:tcPr>
            <w:tcW w:w="1260" w:type="dxa"/>
          </w:tcPr>
          <w:p w:rsidR="00000000" w:rsidRDefault="00000000">
            <w:pPr>
              <w:spacing w:after="0"/>
              <w:ind w:right="215"/>
              <w:jc w:val="right"/>
            </w:pPr>
            <w:r>
              <w:t>120.1</w:t>
            </w:r>
          </w:p>
        </w:tc>
        <w:tc>
          <w:tcPr>
            <w:tcW w:w="1260" w:type="dxa"/>
          </w:tcPr>
          <w:p w:rsidR="00000000" w:rsidRDefault="00000000">
            <w:pPr>
              <w:spacing w:after="0"/>
              <w:ind w:right="215"/>
              <w:jc w:val="right"/>
            </w:pPr>
            <w:r>
              <w:t>69.3</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22.</w:t>
            </w:r>
          </w:p>
        </w:tc>
        <w:tc>
          <w:tcPr>
            <w:tcW w:w="1790" w:type="dxa"/>
          </w:tcPr>
          <w:p w:rsidR="00000000" w:rsidRDefault="00000000">
            <w:pPr>
              <w:spacing w:after="0"/>
            </w:pPr>
            <w:r>
              <w:t>Malesi e madhe</w:t>
            </w:r>
          </w:p>
        </w:tc>
        <w:tc>
          <w:tcPr>
            <w:tcW w:w="1260" w:type="dxa"/>
          </w:tcPr>
          <w:p w:rsidR="00000000" w:rsidRDefault="00000000">
            <w:pPr>
              <w:spacing w:after="0"/>
              <w:ind w:right="215"/>
              <w:jc w:val="right"/>
            </w:pPr>
            <w:r>
              <w:t>29.6</w:t>
            </w:r>
          </w:p>
        </w:tc>
        <w:tc>
          <w:tcPr>
            <w:tcW w:w="1260" w:type="dxa"/>
          </w:tcPr>
          <w:p w:rsidR="00000000" w:rsidRDefault="00000000">
            <w:pPr>
              <w:spacing w:after="0"/>
              <w:ind w:right="215"/>
              <w:jc w:val="right"/>
            </w:pPr>
            <w:r>
              <w:t>36.4</w:t>
            </w:r>
          </w:p>
        </w:tc>
        <w:tc>
          <w:tcPr>
            <w:tcW w:w="1260" w:type="dxa"/>
          </w:tcPr>
          <w:p w:rsidR="00000000" w:rsidRDefault="00000000">
            <w:pPr>
              <w:spacing w:after="0"/>
              <w:ind w:right="215"/>
              <w:jc w:val="right"/>
            </w:pPr>
            <w:r>
              <w:t>70.2</w:t>
            </w:r>
          </w:p>
        </w:tc>
        <w:tc>
          <w:tcPr>
            <w:tcW w:w="1260" w:type="dxa"/>
          </w:tcPr>
          <w:p w:rsidR="00000000" w:rsidRDefault="00000000">
            <w:pPr>
              <w:spacing w:after="0"/>
              <w:ind w:right="215"/>
              <w:jc w:val="right"/>
            </w:pPr>
            <w:r>
              <w:t>15.9</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23.</w:t>
            </w:r>
          </w:p>
        </w:tc>
        <w:tc>
          <w:tcPr>
            <w:tcW w:w="1790" w:type="dxa"/>
          </w:tcPr>
          <w:p w:rsidR="00000000" w:rsidRDefault="00000000">
            <w:pPr>
              <w:spacing w:after="0"/>
            </w:pPr>
            <w:r>
              <w:t>Mallakaster</w:t>
            </w:r>
          </w:p>
        </w:tc>
        <w:tc>
          <w:tcPr>
            <w:tcW w:w="1260" w:type="dxa"/>
          </w:tcPr>
          <w:p w:rsidR="00000000" w:rsidRDefault="00000000">
            <w:pPr>
              <w:spacing w:after="0"/>
              <w:ind w:right="215"/>
              <w:jc w:val="right"/>
            </w:pPr>
            <w:r>
              <w:t>168.2</w:t>
            </w:r>
          </w:p>
        </w:tc>
        <w:tc>
          <w:tcPr>
            <w:tcW w:w="1260" w:type="dxa"/>
          </w:tcPr>
          <w:p w:rsidR="00000000" w:rsidRDefault="00000000">
            <w:pPr>
              <w:spacing w:after="0"/>
              <w:ind w:right="215"/>
              <w:jc w:val="right"/>
            </w:pPr>
            <w:r>
              <w:t>44.2</w:t>
            </w:r>
          </w:p>
        </w:tc>
        <w:tc>
          <w:tcPr>
            <w:tcW w:w="1260" w:type="dxa"/>
          </w:tcPr>
          <w:p w:rsidR="00000000" w:rsidRDefault="00000000">
            <w:pPr>
              <w:spacing w:after="0"/>
              <w:ind w:right="215"/>
              <w:jc w:val="right"/>
            </w:pPr>
            <w:r>
              <w:t>143.3</w:t>
            </w:r>
          </w:p>
        </w:tc>
        <w:tc>
          <w:tcPr>
            <w:tcW w:w="1260" w:type="dxa"/>
          </w:tcPr>
          <w:p w:rsidR="00000000" w:rsidRDefault="00000000">
            <w:pPr>
              <w:spacing w:after="0"/>
              <w:ind w:right="215"/>
              <w:jc w:val="right"/>
            </w:pPr>
            <w:r>
              <w:t>176.2</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24.</w:t>
            </w:r>
          </w:p>
        </w:tc>
        <w:tc>
          <w:tcPr>
            <w:tcW w:w="1790" w:type="dxa"/>
          </w:tcPr>
          <w:p w:rsidR="00000000" w:rsidRDefault="00000000">
            <w:pPr>
              <w:spacing w:after="0"/>
            </w:pPr>
            <w:r>
              <w:t>Mat</w:t>
            </w:r>
          </w:p>
        </w:tc>
        <w:tc>
          <w:tcPr>
            <w:tcW w:w="1260" w:type="dxa"/>
          </w:tcPr>
          <w:p w:rsidR="00000000" w:rsidRDefault="00000000">
            <w:pPr>
              <w:spacing w:after="0"/>
              <w:ind w:right="215"/>
              <w:jc w:val="right"/>
            </w:pPr>
            <w:r>
              <w:t>103.2</w:t>
            </w:r>
          </w:p>
        </w:tc>
        <w:tc>
          <w:tcPr>
            <w:tcW w:w="1260" w:type="dxa"/>
          </w:tcPr>
          <w:p w:rsidR="00000000" w:rsidRDefault="00000000">
            <w:pPr>
              <w:spacing w:after="0"/>
              <w:ind w:right="215"/>
              <w:jc w:val="right"/>
            </w:pPr>
            <w:r>
              <w:t>78.7</w:t>
            </w:r>
          </w:p>
        </w:tc>
        <w:tc>
          <w:tcPr>
            <w:tcW w:w="1260" w:type="dxa"/>
          </w:tcPr>
          <w:p w:rsidR="00000000" w:rsidRDefault="00000000">
            <w:pPr>
              <w:spacing w:after="0"/>
              <w:ind w:right="215"/>
              <w:jc w:val="right"/>
            </w:pPr>
            <w:r>
              <w:t>51.3</w:t>
            </w:r>
          </w:p>
        </w:tc>
        <w:tc>
          <w:tcPr>
            <w:tcW w:w="1260" w:type="dxa"/>
          </w:tcPr>
          <w:p w:rsidR="00000000" w:rsidRDefault="00000000">
            <w:pPr>
              <w:spacing w:after="0"/>
              <w:ind w:right="215"/>
              <w:jc w:val="right"/>
            </w:pPr>
            <w:r>
              <w:t>25.7</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25.</w:t>
            </w:r>
          </w:p>
        </w:tc>
        <w:tc>
          <w:tcPr>
            <w:tcW w:w="1790" w:type="dxa"/>
          </w:tcPr>
          <w:p w:rsidR="00000000" w:rsidRDefault="00000000">
            <w:pPr>
              <w:spacing w:after="0"/>
            </w:pPr>
            <w:r>
              <w:t>Mirdite</w:t>
            </w:r>
          </w:p>
        </w:tc>
        <w:tc>
          <w:tcPr>
            <w:tcW w:w="1260" w:type="dxa"/>
          </w:tcPr>
          <w:p w:rsidR="00000000" w:rsidRDefault="00000000">
            <w:pPr>
              <w:spacing w:after="0"/>
              <w:ind w:right="215"/>
              <w:jc w:val="right"/>
            </w:pPr>
            <w:r>
              <w:t>229.4</w:t>
            </w:r>
          </w:p>
        </w:tc>
        <w:tc>
          <w:tcPr>
            <w:tcW w:w="1260" w:type="dxa"/>
          </w:tcPr>
          <w:p w:rsidR="00000000" w:rsidRDefault="00000000">
            <w:pPr>
              <w:spacing w:after="0"/>
              <w:ind w:right="215"/>
              <w:jc w:val="right"/>
            </w:pPr>
            <w:r>
              <w:t>79.0</w:t>
            </w:r>
          </w:p>
        </w:tc>
        <w:tc>
          <w:tcPr>
            <w:tcW w:w="1260" w:type="dxa"/>
          </w:tcPr>
          <w:p w:rsidR="00000000" w:rsidRDefault="00000000">
            <w:pPr>
              <w:spacing w:after="0"/>
              <w:ind w:right="215"/>
              <w:jc w:val="right"/>
            </w:pPr>
            <w:r>
              <w:t>20.6</w:t>
            </w:r>
          </w:p>
        </w:tc>
        <w:tc>
          <w:tcPr>
            <w:tcW w:w="1260" w:type="dxa"/>
          </w:tcPr>
          <w:p w:rsidR="00000000" w:rsidRDefault="00000000">
            <w:pPr>
              <w:spacing w:after="0"/>
              <w:ind w:right="215"/>
              <w:jc w:val="right"/>
            </w:pPr>
            <w:r>
              <w:t>52.7</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26.</w:t>
            </w:r>
          </w:p>
        </w:tc>
        <w:tc>
          <w:tcPr>
            <w:tcW w:w="1790" w:type="dxa"/>
          </w:tcPr>
          <w:p w:rsidR="00000000" w:rsidRDefault="00000000">
            <w:pPr>
              <w:spacing w:after="0"/>
            </w:pPr>
            <w:r>
              <w:t>Peqin</w:t>
            </w:r>
          </w:p>
        </w:tc>
        <w:tc>
          <w:tcPr>
            <w:tcW w:w="1260" w:type="dxa"/>
          </w:tcPr>
          <w:p w:rsidR="00000000" w:rsidRDefault="00000000">
            <w:pPr>
              <w:spacing w:after="0"/>
              <w:ind w:right="215"/>
              <w:jc w:val="right"/>
            </w:pPr>
            <w:r>
              <w:t>62.8</w:t>
            </w:r>
          </w:p>
        </w:tc>
        <w:tc>
          <w:tcPr>
            <w:tcW w:w="1260" w:type="dxa"/>
          </w:tcPr>
          <w:p w:rsidR="00000000" w:rsidRDefault="00000000">
            <w:pPr>
              <w:spacing w:after="0"/>
              <w:ind w:right="215"/>
              <w:jc w:val="right"/>
            </w:pPr>
            <w:r>
              <w:t>38.5</w:t>
            </w:r>
          </w:p>
        </w:tc>
        <w:tc>
          <w:tcPr>
            <w:tcW w:w="1260" w:type="dxa"/>
          </w:tcPr>
          <w:p w:rsidR="00000000" w:rsidRDefault="00000000">
            <w:pPr>
              <w:spacing w:after="0"/>
              <w:ind w:right="215"/>
              <w:jc w:val="right"/>
            </w:pPr>
            <w:r>
              <w:t>22.3</w:t>
            </w:r>
          </w:p>
        </w:tc>
        <w:tc>
          <w:tcPr>
            <w:tcW w:w="1260" w:type="dxa"/>
          </w:tcPr>
          <w:p w:rsidR="00000000" w:rsidRDefault="00000000">
            <w:pPr>
              <w:spacing w:after="0"/>
              <w:ind w:right="215"/>
              <w:jc w:val="right"/>
            </w:pPr>
            <w:r>
              <w:t>41.4</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27.</w:t>
            </w:r>
          </w:p>
        </w:tc>
        <w:tc>
          <w:tcPr>
            <w:tcW w:w="1790" w:type="dxa"/>
          </w:tcPr>
          <w:p w:rsidR="00000000" w:rsidRDefault="00000000">
            <w:pPr>
              <w:spacing w:after="0"/>
            </w:pPr>
            <w:r>
              <w:t>Permet</w:t>
            </w:r>
          </w:p>
        </w:tc>
        <w:tc>
          <w:tcPr>
            <w:tcW w:w="1260" w:type="dxa"/>
          </w:tcPr>
          <w:p w:rsidR="00000000" w:rsidRDefault="00000000">
            <w:pPr>
              <w:spacing w:after="0"/>
              <w:ind w:right="215"/>
              <w:jc w:val="right"/>
            </w:pPr>
            <w:r>
              <w:t>181.5</w:t>
            </w:r>
          </w:p>
        </w:tc>
        <w:tc>
          <w:tcPr>
            <w:tcW w:w="1260" w:type="dxa"/>
          </w:tcPr>
          <w:p w:rsidR="00000000" w:rsidRDefault="00000000">
            <w:pPr>
              <w:spacing w:after="0"/>
              <w:ind w:right="215"/>
              <w:jc w:val="right"/>
            </w:pPr>
            <w:r>
              <w:t>68.2</w:t>
            </w:r>
          </w:p>
        </w:tc>
        <w:tc>
          <w:tcPr>
            <w:tcW w:w="1260" w:type="dxa"/>
          </w:tcPr>
          <w:p w:rsidR="00000000" w:rsidRDefault="00000000">
            <w:pPr>
              <w:spacing w:after="0"/>
              <w:ind w:right="215"/>
              <w:jc w:val="right"/>
            </w:pPr>
            <w:r>
              <w:t>112.8</w:t>
            </w:r>
          </w:p>
        </w:tc>
        <w:tc>
          <w:tcPr>
            <w:tcW w:w="1260" w:type="dxa"/>
          </w:tcPr>
          <w:p w:rsidR="00000000" w:rsidRDefault="00000000">
            <w:pPr>
              <w:spacing w:after="0"/>
              <w:ind w:right="215"/>
              <w:jc w:val="right"/>
            </w:pPr>
            <w:r>
              <w:t>25.3</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28.</w:t>
            </w:r>
          </w:p>
        </w:tc>
        <w:tc>
          <w:tcPr>
            <w:tcW w:w="1790" w:type="dxa"/>
          </w:tcPr>
          <w:p w:rsidR="00000000" w:rsidRDefault="00000000">
            <w:pPr>
              <w:spacing w:after="0"/>
            </w:pPr>
            <w:r>
              <w:t>Pogradec</w:t>
            </w:r>
          </w:p>
        </w:tc>
        <w:tc>
          <w:tcPr>
            <w:tcW w:w="1260" w:type="dxa"/>
          </w:tcPr>
          <w:p w:rsidR="00000000" w:rsidRDefault="00000000">
            <w:pPr>
              <w:spacing w:after="0"/>
              <w:ind w:right="215"/>
              <w:jc w:val="right"/>
            </w:pPr>
            <w:r>
              <w:t>198.0</w:t>
            </w:r>
          </w:p>
        </w:tc>
        <w:tc>
          <w:tcPr>
            <w:tcW w:w="1260" w:type="dxa"/>
          </w:tcPr>
          <w:p w:rsidR="00000000" w:rsidRDefault="00000000">
            <w:pPr>
              <w:spacing w:after="0"/>
              <w:ind w:right="215"/>
              <w:jc w:val="right"/>
            </w:pPr>
            <w:r>
              <w:t>133.1</w:t>
            </w:r>
          </w:p>
        </w:tc>
        <w:tc>
          <w:tcPr>
            <w:tcW w:w="1260" w:type="dxa"/>
          </w:tcPr>
          <w:p w:rsidR="00000000" w:rsidRDefault="00000000">
            <w:pPr>
              <w:spacing w:after="0"/>
              <w:ind w:right="215"/>
              <w:jc w:val="right"/>
            </w:pPr>
            <w:r>
              <w:t>82.7</w:t>
            </w:r>
          </w:p>
        </w:tc>
        <w:tc>
          <w:tcPr>
            <w:tcW w:w="1260" w:type="dxa"/>
          </w:tcPr>
          <w:p w:rsidR="00000000" w:rsidRDefault="00000000">
            <w:pPr>
              <w:spacing w:after="0"/>
              <w:ind w:right="215"/>
              <w:jc w:val="right"/>
            </w:pPr>
            <w:r>
              <w:t>35.1</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29.</w:t>
            </w:r>
          </w:p>
        </w:tc>
        <w:tc>
          <w:tcPr>
            <w:tcW w:w="1790" w:type="dxa"/>
          </w:tcPr>
          <w:p w:rsidR="00000000" w:rsidRDefault="00000000">
            <w:pPr>
              <w:spacing w:after="0"/>
            </w:pPr>
            <w:r>
              <w:t>Puke</w:t>
            </w:r>
          </w:p>
        </w:tc>
        <w:tc>
          <w:tcPr>
            <w:tcW w:w="1260" w:type="dxa"/>
          </w:tcPr>
          <w:p w:rsidR="00000000" w:rsidRDefault="00000000">
            <w:pPr>
              <w:spacing w:after="0"/>
              <w:ind w:right="215"/>
              <w:jc w:val="right"/>
            </w:pPr>
            <w:r>
              <w:t>153.2</w:t>
            </w:r>
          </w:p>
        </w:tc>
        <w:tc>
          <w:tcPr>
            <w:tcW w:w="1260" w:type="dxa"/>
          </w:tcPr>
          <w:p w:rsidR="00000000" w:rsidRDefault="00000000">
            <w:pPr>
              <w:spacing w:after="0"/>
              <w:ind w:right="215"/>
              <w:jc w:val="right"/>
            </w:pPr>
            <w:r>
              <w:t>69.8</w:t>
            </w:r>
          </w:p>
        </w:tc>
        <w:tc>
          <w:tcPr>
            <w:tcW w:w="1260" w:type="dxa"/>
          </w:tcPr>
          <w:p w:rsidR="00000000" w:rsidRDefault="00000000">
            <w:pPr>
              <w:spacing w:after="0"/>
              <w:ind w:right="215"/>
              <w:jc w:val="right"/>
            </w:pPr>
            <w:r>
              <w:t>123.5</w:t>
            </w:r>
          </w:p>
        </w:tc>
        <w:tc>
          <w:tcPr>
            <w:tcW w:w="1260" w:type="dxa"/>
          </w:tcPr>
          <w:p w:rsidR="00000000" w:rsidRDefault="00000000">
            <w:pPr>
              <w:spacing w:after="0"/>
              <w:ind w:right="215"/>
              <w:jc w:val="right"/>
            </w:pPr>
            <w:r>
              <w:t>4.8</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30.</w:t>
            </w:r>
          </w:p>
        </w:tc>
        <w:tc>
          <w:tcPr>
            <w:tcW w:w="1790" w:type="dxa"/>
          </w:tcPr>
          <w:p w:rsidR="00000000" w:rsidRDefault="00000000">
            <w:pPr>
              <w:spacing w:after="0"/>
            </w:pPr>
            <w:r>
              <w:t>Sarande</w:t>
            </w:r>
          </w:p>
        </w:tc>
        <w:tc>
          <w:tcPr>
            <w:tcW w:w="1260" w:type="dxa"/>
          </w:tcPr>
          <w:p w:rsidR="00000000" w:rsidRDefault="00000000">
            <w:pPr>
              <w:spacing w:after="0"/>
              <w:ind w:right="215"/>
              <w:jc w:val="right"/>
            </w:pPr>
            <w:r>
              <w:t>105.7</w:t>
            </w:r>
          </w:p>
        </w:tc>
        <w:tc>
          <w:tcPr>
            <w:tcW w:w="1260" w:type="dxa"/>
          </w:tcPr>
          <w:p w:rsidR="00000000" w:rsidRDefault="00000000">
            <w:pPr>
              <w:spacing w:after="0"/>
              <w:ind w:right="215"/>
              <w:jc w:val="right"/>
            </w:pPr>
            <w:r>
              <w:t>109.1</w:t>
            </w:r>
          </w:p>
        </w:tc>
        <w:tc>
          <w:tcPr>
            <w:tcW w:w="1260" w:type="dxa"/>
          </w:tcPr>
          <w:p w:rsidR="00000000" w:rsidRDefault="00000000">
            <w:pPr>
              <w:spacing w:after="0"/>
              <w:ind w:right="215"/>
              <w:jc w:val="right"/>
            </w:pPr>
            <w:r>
              <w:t>13.1</w:t>
            </w:r>
          </w:p>
        </w:tc>
        <w:tc>
          <w:tcPr>
            <w:tcW w:w="1260" w:type="dxa"/>
          </w:tcPr>
          <w:p w:rsidR="00000000" w:rsidRDefault="00000000">
            <w:pPr>
              <w:spacing w:after="0"/>
              <w:ind w:right="215"/>
              <w:jc w:val="right"/>
            </w:pPr>
            <w:r>
              <w:t>24.5</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31.</w:t>
            </w:r>
          </w:p>
        </w:tc>
        <w:tc>
          <w:tcPr>
            <w:tcW w:w="1790" w:type="dxa"/>
          </w:tcPr>
          <w:p w:rsidR="00000000" w:rsidRDefault="00000000">
            <w:pPr>
              <w:spacing w:after="0"/>
            </w:pPr>
            <w:r>
              <w:t>Skrapar</w:t>
            </w:r>
          </w:p>
        </w:tc>
        <w:tc>
          <w:tcPr>
            <w:tcW w:w="1260" w:type="dxa"/>
          </w:tcPr>
          <w:p w:rsidR="00000000" w:rsidRDefault="00000000">
            <w:pPr>
              <w:spacing w:after="0"/>
              <w:ind w:right="215"/>
              <w:jc w:val="right"/>
            </w:pPr>
            <w:r>
              <w:t>145.3</w:t>
            </w:r>
          </w:p>
        </w:tc>
        <w:tc>
          <w:tcPr>
            <w:tcW w:w="1260" w:type="dxa"/>
          </w:tcPr>
          <w:p w:rsidR="00000000" w:rsidRDefault="00000000">
            <w:pPr>
              <w:spacing w:after="0"/>
              <w:ind w:right="215"/>
              <w:jc w:val="right"/>
            </w:pPr>
            <w:r>
              <w:t>93.0</w:t>
            </w:r>
          </w:p>
        </w:tc>
        <w:tc>
          <w:tcPr>
            <w:tcW w:w="1260" w:type="dxa"/>
          </w:tcPr>
          <w:p w:rsidR="00000000" w:rsidRDefault="00000000">
            <w:pPr>
              <w:spacing w:after="0"/>
              <w:ind w:right="215"/>
              <w:jc w:val="right"/>
            </w:pPr>
            <w:r>
              <w:t>32.6</w:t>
            </w:r>
          </w:p>
        </w:tc>
        <w:tc>
          <w:tcPr>
            <w:tcW w:w="1260" w:type="dxa"/>
          </w:tcPr>
          <w:p w:rsidR="00000000" w:rsidRDefault="00000000">
            <w:pPr>
              <w:spacing w:after="0"/>
              <w:ind w:right="215"/>
              <w:jc w:val="right"/>
            </w:pPr>
            <w:r>
              <w:t>2.3</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32.</w:t>
            </w:r>
          </w:p>
        </w:tc>
        <w:tc>
          <w:tcPr>
            <w:tcW w:w="1790" w:type="dxa"/>
          </w:tcPr>
          <w:p w:rsidR="00000000" w:rsidRDefault="00000000">
            <w:pPr>
              <w:spacing w:after="0"/>
            </w:pPr>
            <w:r>
              <w:t>Shkoder</w:t>
            </w:r>
          </w:p>
        </w:tc>
        <w:tc>
          <w:tcPr>
            <w:tcW w:w="1260" w:type="dxa"/>
          </w:tcPr>
          <w:p w:rsidR="00000000" w:rsidRDefault="00000000">
            <w:pPr>
              <w:spacing w:after="0"/>
              <w:ind w:right="215"/>
              <w:jc w:val="right"/>
            </w:pPr>
            <w:r>
              <w:t>41.3</w:t>
            </w:r>
          </w:p>
        </w:tc>
        <w:tc>
          <w:tcPr>
            <w:tcW w:w="1260" w:type="dxa"/>
          </w:tcPr>
          <w:p w:rsidR="00000000" w:rsidRDefault="00000000">
            <w:pPr>
              <w:spacing w:after="0"/>
              <w:ind w:right="215"/>
              <w:jc w:val="right"/>
            </w:pPr>
            <w:r>
              <w:t>16.7</w:t>
            </w:r>
          </w:p>
        </w:tc>
        <w:tc>
          <w:tcPr>
            <w:tcW w:w="1260" w:type="dxa"/>
          </w:tcPr>
          <w:p w:rsidR="00000000" w:rsidRDefault="00000000">
            <w:pPr>
              <w:spacing w:after="0"/>
              <w:ind w:right="215"/>
              <w:jc w:val="right"/>
            </w:pPr>
            <w:r>
              <w:t>19.0</w:t>
            </w:r>
          </w:p>
        </w:tc>
        <w:tc>
          <w:tcPr>
            <w:tcW w:w="1260" w:type="dxa"/>
          </w:tcPr>
          <w:p w:rsidR="00000000" w:rsidRDefault="00000000">
            <w:pPr>
              <w:spacing w:after="0"/>
              <w:ind w:right="215"/>
              <w:jc w:val="right"/>
            </w:pPr>
            <w:r>
              <w:t>7.9</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33.</w:t>
            </w:r>
          </w:p>
        </w:tc>
        <w:tc>
          <w:tcPr>
            <w:tcW w:w="1790" w:type="dxa"/>
          </w:tcPr>
          <w:p w:rsidR="00000000" w:rsidRDefault="00000000">
            <w:pPr>
              <w:spacing w:after="0"/>
            </w:pPr>
            <w:r>
              <w:t>Tepelene</w:t>
            </w:r>
          </w:p>
        </w:tc>
        <w:tc>
          <w:tcPr>
            <w:tcW w:w="1260" w:type="dxa"/>
          </w:tcPr>
          <w:p w:rsidR="00000000" w:rsidRDefault="00000000">
            <w:pPr>
              <w:spacing w:after="0"/>
              <w:ind w:right="215"/>
              <w:jc w:val="right"/>
            </w:pPr>
            <w:r>
              <w:t>283.9</w:t>
            </w:r>
          </w:p>
        </w:tc>
        <w:tc>
          <w:tcPr>
            <w:tcW w:w="1260" w:type="dxa"/>
          </w:tcPr>
          <w:p w:rsidR="00000000" w:rsidRDefault="00000000">
            <w:pPr>
              <w:spacing w:after="0"/>
              <w:ind w:right="215"/>
              <w:jc w:val="right"/>
            </w:pPr>
            <w:r>
              <w:t>122.5</w:t>
            </w:r>
          </w:p>
        </w:tc>
        <w:tc>
          <w:tcPr>
            <w:tcW w:w="1260" w:type="dxa"/>
          </w:tcPr>
          <w:p w:rsidR="00000000" w:rsidRDefault="00000000">
            <w:pPr>
              <w:spacing w:after="0"/>
              <w:ind w:right="215"/>
              <w:jc w:val="right"/>
            </w:pPr>
            <w:r>
              <w:t>91.0</w:t>
            </w:r>
          </w:p>
        </w:tc>
        <w:tc>
          <w:tcPr>
            <w:tcW w:w="1260" w:type="dxa"/>
          </w:tcPr>
          <w:p w:rsidR="00000000" w:rsidRDefault="00000000">
            <w:pPr>
              <w:spacing w:after="0"/>
              <w:ind w:right="215"/>
              <w:jc w:val="right"/>
            </w:pPr>
            <w:r>
              <w:t>157.0</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34.</w:t>
            </w:r>
          </w:p>
        </w:tc>
        <w:tc>
          <w:tcPr>
            <w:tcW w:w="1790" w:type="dxa"/>
          </w:tcPr>
          <w:p w:rsidR="00000000" w:rsidRDefault="00000000">
            <w:pPr>
              <w:spacing w:after="0"/>
            </w:pPr>
            <w:r>
              <w:t>Tirane</w:t>
            </w:r>
          </w:p>
        </w:tc>
        <w:tc>
          <w:tcPr>
            <w:tcW w:w="1260" w:type="dxa"/>
          </w:tcPr>
          <w:p w:rsidR="00000000" w:rsidRDefault="00000000">
            <w:pPr>
              <w:spacing w:after="0"/>
              <w:ind w:right="215"/>
              <w:jc w:val="right"/>
            </w:pPr>
            <w:r>
              <w:t>72.9</w:t>
            </w:r>
          </w:p>
        </w:tc>
        <w:tc>
          <w:tcPr>
            <w:tcW w:w="1260" w:type="dxa"/>
          </w:tcPr>
          <w:p w:rsidR="00000000" w:rsidRDefault="00000000">
            <w:pPr>
              <w:spacing w:after="0"/>
              <w:ind w:right="215"/>
              <w:jc w:val="right"/>
            </w:pPr>
            <w:r>
              <w:t>43.4</w:t>
            </w:r>
          </w:p>
        </w:tc>
        <w:tc>
          <w:tcPr>
            <w:tcW w:w="1260" w:type="dxa"/>
          </w:tcPr>
          <w:p w:rsidR="00000000" w:rsidRDefault="00000000">
            <w:pPr>
              <w:spacing w:after="0"/>
              <w:ind w:right="215"/>
              <w:jc w:val="right"/>
            </w:pPr>
            <w:r>
              <w:t>36.8</w:t>
            </w:r>
          </w:p>
        </w:tc>
        <w:tc>
          <w:tcPr>
            <w:tcW w:w="1260" w:type="dxa"/>
          </w:tcPr>
          <w:p w:rsidR="00000000" w:rsidRDefault="00000000">
            <w:pPr>
              <w:spacing w:after="0"/>
              <w:ind w:right="215"/>
              <w:jc w:val="right"/>
            </w:pPr>
            <w:r>
              <w:t>25.6</w:t>
            </w:r>
          </w:p>
        </w:tc>
      </w:tr>
      <w:tr w:rsidR="00000000">
        <w:tblPrEx>
          <w:tblCellMar>
            <w:top w:w="0" w:type="dxa"/>
            <w:bottom w:w="0" w:type="dxa"/>
          </w:tblCellMar>
        </w:tblPrEx>
        <w:trPr>
          <w:cantSplit/>
          <w:jc w:val="center"/>
        </w:trPr>
        <w:tc>
          <w:tcPr>
            <w:tcW w:w="720" w:type="dxa"/>
          </w:tcPr>
          <w:p w:rsidR="00000000" w:rsidRDefault="00000000">
            <w:pPr>
              <w:spacing w:after="0"/>
              <w:ind w:right="113"/>
              <w:jc w:val="right"/>
            </w:pPr>
            <w:r>
              <w:t>35.</w:t>
            </w:r>
          </w:p>
        </w:tc>
        <w:tc>
          <w:tcPr>
            <w:tcW w:w="1790" w:type="dxa"/>
          </w:tcPr>
          <w:p w:rsidR="00000000" w:rsidRDefault="00000000">
            <w:pPr>
              <w:spacing w:after="0"/>
            </w:pPr>
            <w:r>
              <w:t>Tropoje</w:t>
            </w:r>
          </w:p>
        </w:tc>
        <w:tc>
          <w:tcPr>
            <w:tcW w:w="1260" w:type="dxa"/>
          </w:tcPr>
          <w:p w:rsidR="00000000" w:rsidRDefault="00000000">
            <w:pPr>
              <w:spacing w:after="0"/>
              <w:ind w:right="215"/>
              <w:jc w:val="right"/>
            </w:pPr>
            <w:r>
              <w:t>165.2</w:t>
            </w:r>
          </w:p>
        </w:tc>
        <w:tc>
          <w:tcPr>
            <w:tcW w:w="1260" w:type="dxa"/>
          </w:tcPr>
          <w:p w:rsidR="00000000" w:rsidRDefault="00000000">
            <w:pPr>
              <w:spacing w:after="0"/>
              <w:ind w:right="215"/>
              <w:jc w:val="right"/>
            </w:pPr>
            <w:r>
              <w:t>77.2</w:t>
            </w:r>
          </w:p>
        </w:tc>
        <w:tc>
          <w:tcPr>
            <w:tcW w:w="1260" w:type="dxa"/>
          </w:tcPr>
          <w:p w:rsidR="00000000" w:rsidRDefault="00000000">
            <w:pPr>
              <w:spacing w:after="0"/>
              <w:ind w:right="215"/>
              <w:jc w:val="right"/>
            </w:pPr>
            <w:r>
              <w:t>46.7</w:t>
            </w:r>
          </w:p>
        </w:tc>
        <w:tc>
          <w:tcPr>
            <w:tcW w:w="1260" w:type="dxa"/>
          </w:tcPr>
          <w:p w:rsidR="00000000" w:rsidRDefault="00000000">
            <w:pPr>
              <w:spacing w:after="0"/>
              <w:ind w:right="215"/>
              <w:jc w:val="right"/>
            </w:pPr>
            <w:r>
              <w:t>22.1</w:t>
            </w:r>
          </w:p>
        </w:tc>
      </w:tr>
    </w:tbl>
    <w:p w:rsidR="00000000" w:rsidRDefault="00000000">
      <w:pPr>
        <w:pStyle w:val="Heading2"/>
      </w:pPr>
      <w:r>
        <w:t>Table 42</w:t>
      </w:r>
    </w:p>
    <w:p w:rsidR="00000000" w:rsidRDefault="00000000">
      <w:pPr>
        <w:pStyle w:val="Heading2"/>
      </w:pPr>
      <w:r>
        <w:t>Health indicators for 2001</w:t>
      </w:r>
    </w:p>
    <w:tbl>
      <w:tblPr>
        <w:tblW w:w="864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23"/>
        <w:gridCol w:w="1320"/>
        <w:gridCol w:w="1321"/>
        <w:gridCol w:w="1321"/>
        <w:gridCol w:w="1320"/>
        <w:gridCol w:w="1321"/>
        <w:gridCol w:w="1321"/>
      </w:tblGrid>
      <w:tr w:rsidR="00000000">
        <w:trPr>
          <w:trHeight w:val="705"/>
          <w:jc w:val="center"/>
        </w:trPr>
        <w:tc>
          <w:tcPr>
            <w:tcW w:w="737" w:type="dxa"/>
            <w:tcBorders>
              <w:bottom w:val="single" w:sz="4" w:space="0" w:color="auto"/>
            </w:tcBorders>
            <w:noWrap/>
            <w:tcMar>
              <w:top w:w="20" w:type="dxa"/>
              <w:left w:w="20" w:type="dxa"/>
              <w:bottom w:w="0" w:type="dxa"/>
              <w:right w:w="20" w:type="dxa"/>
            </w:tcMar>
          </w:tcPr>
          <w:p w:rsidR="00000000" w:rsidRDefault="00000000">
            <w:pPr>
              <w:pStyle w:val="Header"/>
              <w:tabs>
                <w:tab w:val="clear" w:pos="4320"/>
                <w:tab w:val="clear" w:pos="8640"/>
              </w:tabs>
              <w:spacing w:after="0"/>
              <w:ind w:right="170"/>
              <w:jc w:val="right"/>
              <w:rPr>
                <w:szCs w:val="16"/>
              </w:rPr>
            </w:pPr>
            <w:r>
              <w:rPr>
                <w:szCs w:val="16"/>
              </w:rPr>
              <w:t>No.</w:t>
            </w:r>
          </w:p>
        </w:tc>
        <w:tc>
          <w:tcPr>
            <w:tcW w:w="1346" w:type="dxa"/>
            <w:tcBorders>
              <w:bottom w:val="single" w:sz="4" w:space="0" w:color="auto"/>
            </w:tcBorders>
            <w:noWrap/>
            <w:tcMar>
              <w:top w:w="20" w:type="dxa"/>
              <w:left w:w="20" w:type="dxa"/>
              <w:bottom w:w="0" w:type="dxa"/>
              <w:right w:w="20" w:type="dxa"/>
            </w:tcMar>
          </w:tcPr>
          <w:p w:rsidR="00000000" w:rsidRDefault="00000000">
            <w:pPr>
              <w:spacing w:after="0"/>
              <w:ind w:left="108"/>
              <w:rPr>
                <w:szCs w:val="16"/>
              </w:rPr>
            </w:pPr>
            <w:r>
              <w:rPr>
                <w:szCs w:val="16"/>
              </w:rPr>
              <w:t xml:space="preserve"> Districts</w:t>
            </w:r>
          </w:p>
        </w:tc>
        <w:tc>
          <w:tcPr>
            <w:tcW w:w="1347"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Deaths of children under 1 year</w:t>
            </w:r>
          </w:p>
        </w:tc>
        <w:tc>
          <w:tcPr>
            <w:tcW w:w="1347" w:type="dxa"/>
            <w:tcBorders>
              <w:bottom w:val="single" w:sz="4" w:space="0" w:color="auto"/>
            </w:tcBorders>
            <w:noWrap/>
            <w:tcMar>
              <w:top w:w="20" w:type="dxa"/>
              <w:left w:w="20" w:type="dxa"/>
              <w:bottom w:w="0" w:type="dxa"/>
              <w:right w:w="20" w:type="dxa"/>
            </w:tcMar>
          </w:tcPr>
          <w:p w:rsidR="00000000" w:rsidRDefault="00000000">
            <w:pPr>
              <w:pStyle w:val="Header"/>
              <w:tabs>
                <w:tab w:val="clear" w:pos="4320"/>
                <w:tab w:val="clear" w:pos="8640"/>
              </w:tabs>
              <w:spacing w:after="0"/>
              <w:rPr>
                <w:szCs w:val="16"/>
              </w:rPr>
            </w:pPr>
            <w:r>
              <w:rPr>
                <w:szCs w:val="16"/>
              </w:rPr>
              <w:t xml:space="preserve">   Number</w:t>
            </w:r>
            <w:r>
              <w:rPr>
                <w:szCs w:val="16"/>
              </w:rPr>
              <w:br/>
              <w:t xml:space="preserve">   of births</w:t>
            </w:r>
          </w:p>
        </w:tc>
        <w:tc>
          <w:tcPr>
            <w:tcW w:w="1346"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Deaths of children under 1 year</w:t>
            </w:r>
          </w:p>
        </w:tc>
        <w:tc>
          <w:tcPr>
            <w:tcW w:w="1347" w:type="dxa"/>
            <w:tcBorders>
              <w:bottom w:val="single" w:sz="4" w:space="0" w:color="auto"/>
            </w:tcBorders>
            <w:noWrap/>
            <w:tcMar>
              <w:top w:w="20" w:type="dxa"/>
              <w:left w:w="20" w:type="dxa"/>
              <w:bottom w:w="0" w:type="dxa"/>
              <w:right w:w="20" w:type="dxa"/>
            </w:tcMar>
          </w:tcPr>
          <w:p w:rsidR="00000000" w:rsidRDefault="00000000">
            <w:pPr>
              <w:pStyle w:val="Header"/>
              <w:tabs>
                <w:tab w:val="clear" w:pos="4320"/>
                <w:tab w:val="clear" w:pos="8640"/>
              </w:tabs>
              <w:spacing w:after="0"/>
              <w:rPr>
                <w:szCs w:val="16"/>
              </w:rPr>
            </w:pPr>
            <w:r>
              <w:rPr>
                <w:szCs w:val="16"/>
              </w:rPr>
              <w:t xml:space="preserve"> Number of</w:t>
            </w:r>
            <w:r>
              <w:rPr>
                <w:szCs w:val="16"/>
              </w:rPr>
              <w:br/>
              <w:t xml:space="preserve"> abortions</w:t>
            </w:r>
          </w:p>
        </w:tc>
        <w:tc>
          <w:tcPr>
            <w:tcW w:w="1347"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Population</w:t>
            </w:r>
          </w:p>
        </w:tc>
      </w:tr>
      <w:tr w:rsidR="00000000">
        <w:trPr>
          <w:trHeight w:val="255"/>
          <w:jc w:val="center"/>
        </w:trPr>
        <w:tc>
          <w:tcPr>
            <w:tcW w:w="737"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170"/>
              <w:jc w:val="right"/>
              <w:rPr>
                <w:szCs w:val="16"/>
              </w:rPr>
            </w:pPr>
            <w:r>
              <w:rPr>
                <w:szCs w:val="16"/>
              </w:rPr>
              <w:t>1.</w:t>
            </w:r>
          </w:p>
        </w:tc>
        <w:tc>
          <w:tcPr>
            <w:tcW w:w="1346"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left="108"/>
              <w:rPr>
                <w:szCs w:val="16"/>
              </w:rPr>
            </w:pPr>
            <w:r>
              <w:rPr>
                <w:szCs w:val="16"/>
              </w:rPr>
              <w:t>Berat</w:t>
            </w:r>
          </w:p>
        </w:tc>
        <w:tc>
          <w:tcPr>
            <w:tcW w:w="1347"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510"/>
              <w:jc w:val="right"/>
              <w:rPr>
                <w:szCs w:val="16"/>
              </w:rPr>
            </w:pPr>
            <w:r>
              <w:rPr>
                <w:szCs w:val="16"/>
              </w:rPr>
              <w:t>27</w:t>
            </w:r>
          </w:p>
        </w:tc>
        <w:tc>
          <w:tcPr>
            <w:tcW w:w="1347"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397"/>
              <w:jc w:val="right"/>
              <w:rPr>
                <w:szCs w:val="16"/>
              </w:rPr>
            </w:pPr>
            <w:r>
              <w:rPr>
                <w:szCs w:val="16"/>
              </w:rPr>
              <w:t>2 138</w:t>
            </w:r>
          </w:p>
        </w:tc>
        <w:tc>
          <w:tcPr>
            <w:tcW w:w="1346"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397"/>
              <w:jc w:val="right"/>
              <w:rPr>
                <w:szCs w:val="16"/>
              </w:rPr>
            </w:pPr>
            <w:r>
              <w:rPr>
                <w:szCs w:val="16"/>
              </w:rPr>
              <w:t>12.63</w:t>
            </w:r>
          </w:p>
        </w:tc>
        <w:tc>
          <w:tcPr>
            <w:tcW w:w="1347"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397"/>
              <w:jc w:val="right"/>
              <w:rPr>
                <w:szCs w:val="16"/>
              </w:rPr>
            </w:pPr>
            <w:r>
              <w:rPr>
                <w:szCs w:val="16"/>
              </w:rPr>
              <w:t>295</w:t>
            </w:r>
          </w:p>
        </w:tc>
        <w:tc>
          <w:tcPr>
            <w:tcW w:w="1347"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128 410</w:t>
            </w:r>
          </w:p>
        </w:tc>
      </w:tr>
      <w:tr w:rsidR="00000000">
        <w:trPr>
          <w:trHeight w:val="255"/>
          <w:jc w:val="center"/>
        </w:trPr>
        <w:tc>
          <w:tcPr>
            <w:tcW w:w="737" w:type="dxa"/>
            <w:tcBorders>
              <w:top w:val="nil"/>
            </w:tcBorders>
            <w:noWrap/>
            <w:tcMar>
              <w:top w:w="20" w:type="dxa"/>
              <w:left w:w="20" w:type="dxa"/>
              <w:bottom w:w="0" w:type="dxa"/>
              <w:right w:w="20" w:type="dxa"/>
            </w:tcMar>
            <w:vAlign w:val="bottom"/>
          </w:tcPr>
          <w:p w:rsidR="00000000" w:rsidRDefault="00000000">
            <w:pPr>
              <w:spacing w:after="0"/>
              <w:ind w:right="170"/>
              <w:jc w:val="right"/>
              <w:rPr>
                <w:szCs w:val="16"/>
              </w:rPr>
            </w:pPr>
            <w:r>
              <w:rPr>
                <w:szCs w:val="16"/>
              </w:rPr>
              <w:t>2.</w:t>
            </w:r>
          </w:p>
        </w:tc>
        <w:tc>
          <w:tcPr>
            <w:tcW w:w="1346" w:type="dxa"/>
            <w:tcBorders>
              <w:top w:val="nil"/>
            </w:tcBorders>
            <w:noWrap/>
            <w:tcMar>
              <w:top w:w="20" w:type="dxa"/>
              <w:left w:w="20" w:type="dxa"/>
              <w:bottom w:w="0" w:type="dxa"/>
              <w:right w:w="20" w:type="dxa"/>
            </w:tcMar>
            <w:vAlign w:val="bottom"/>
          </w:tcPr>
          <w:p w:rsidR="00000000" w:rsidRDefault="00000000">
            <w:pPr>
              <w:spacing w:after="0"/>
              <w:ind w:left="108"/>
              <w:rPr>
                <w:szCs w:val="16"/>
              </w:rPr>
            </w:pPr>
            <w:r>
              <w:rPr>
                <w:szCs w:val="16"/>
              </w:rPr>
              <w:t>Bulqize</w:t>
            </w:r>
          </w:p>
        </w:tc>
        <w:tc>
          <w:tcPr>
            <w:tcW w:w="1347" w:type="dxa"/>
            <w:tcBorders>
              <w:top w:val="nil"/>
            </w:tcBorders>
            <w:noWrap/>
            <w:tcMar>
              <w:top w:w="20" w:type="dxa"/>
              <w:left w:w="20" w:type="dxa"/>
              <w:bottom w:w="0" w:type="dxa"/>
              <w:right w:w="20" w:type="dxa"/>
            </w:tcMar>
            <w:vAlign w:val="bottom"/>
          </w:tcPr>
          <w:p w:rsidR="00000000" w:rsidRDefault="00000000">
            <w:pPr>
              <w:spacing w:after="0"/>
              <w:ind w:right="510"/>
              <w:jc w:val="right"/>
              <w:rPr>
                <w:szCs w:val="16"/>
              </w:rPr>
            </w:pPr>
            <w:r>
              <w:rPr>
                <w:szCs w:val="16"/>
              </w:rPr>
              <w:t>29</w:t>
            </w:r>
          </w:p>
        </w:tc>
        <w:tc>
          <w:tcPr>
            <w:tcW w:w="1347" w:type="dxa"/>
            <w:tcBorders>
              <w:top w:val="nil"/>
            </w:tcBorders>
            <w:noWrap/>
            <w:tcMar>
              <w:top w:w="20" w:type="dxa"/>
              <w:left w:w="20" w:type="dxa"/>
              <w:bottom w:w="0" w:type="dxa"/>
              <w:right w:w="20" w:type="dxa"/>
            </w:tcMar>
            <w:vAlign w:val="bottom"/>
          </w:tcPr>
          <w:p w:rsidR="00000000" w:rsidRDefault="00000000">
            <w:pPr>
              <w:spacing w:after="0"/>
              <w:ind w:right="397"/>
              <w:jc w:val="right"/>
              <w:rPr>
                <w:szCs w:val="16"/>
              </w:rPr>
            </w:pPr>
            <w:r>
              <w:rPr>
                <w:szCs w:val="16"/>
              </w:rPr>
              <w:t>1 066</w:t>
            </w:r>
          </w:p>
        </w:tc>
        <w:tc>
          <w:tcPr>
            <w:tcW w:w="1346" w:type="dxa"/>
            <w:tcBorders>
              <w:top w:val="nil"/>
            </w:tcBorders>
            <w:noWrap/>
            <w:tcMar>
              <w:top w:w="20" w:type="dxa"/>
              <w:left w:w="20" w:type="dxa"/>
              <w:bottom w:w="0" w:type="dxa"/>
              <w:right w:w="20" w:type="dxa"/>
            </w:tcMar>
            <w:vAlign w:val="bottom"/>
          </w:tcPr>
          <w:p w:rsidR="00000000" w:rsidRDefault="00000000">
            <w:pPr>
              <w:spacing w:after="0"/>
              <w:ind w:right="397"/>
              <w:jc w:val="right"/>
              <w:rPr>
                <w:szCs w:val="16"/>
              </w:rPr>
            </w:pPr>
            <w:r>
              <w:rPr>
                <w:szCs w:val="16"/>
              </w:rPr>
              <w:t>27.20</w:t>
            </w:r>
          </w:p>
        </w:tc>
        <w:tc>
          <w:tcPr>
            <w:tcW w:w="1347" w:type="dxa"/>
            <w:tcBorders>
              <w:top w:val="nil"/>
            </w:tcBorders>
            <w:noWrap/>
            <w:tcMar>
              <w:top w:w="20" w:type="dxa"/>
              <w:left w:w="20" w:type="dxa"/>
              <w:bottom w:w="0" w:type="dxa"/>
              <w:right w:w="20" w:type="dxa"/>
            </w:tcMar>
            <w:vAlign w:val="bottom"/>
          </w:tcPr>
          <w:p w:rsidR="00000000" w:rsidRDefault="00000000">
            <w:pPr>
              <w:spacing w:after="0"/>
              <w:ind w:right="397"/>
              <w:jc w:val="right"/>
              <w:rPr>
                <w:szCs w:val="16"/>
              </w:rPr>
            </w:pPr>
            <w:r>
              <w:rPr>
                <w:szCs w:val="16"/>
              </w:rPr>
              <w:t>20</w:t>
            </w:r>
          </w:p>
        </w:tc>
        <w:tc>
          <w:tcPr>
            <w:tcW w:w="1347" w:type="dxa"/>
            <w:tcBorders>
              <w:top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42 985</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Delvine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327</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10 859</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4.</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Devoll</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6</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725</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8.28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116</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34 744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5.</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Diber</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23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2 076</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11.08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25</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86 144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6.</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Durres</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54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2 551</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21.17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433</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182 988</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7.</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Elbasan</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70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3 599</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19.45</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475</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224 974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8.</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Gjirokaster</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995</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55 991</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9.</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Gramsh</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20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696</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28.74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93</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35 723</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10.</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Fier</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27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3 789</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7.13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284</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200 154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11.</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Has</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203</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14.78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19 842</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12.</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Kavaje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19</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1 324</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14.35</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86</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78 415</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13.</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Kolonje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246</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4.07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212</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17 179</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14.</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Korce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2 784</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6.11</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238</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143 499</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15.</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Kruje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9</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456</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19.74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11</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64 357</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16.</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Kukes</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540</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64 054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17.</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Kurbin</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1 172</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8.53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54 519</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18.</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Kucove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6</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770</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7.79</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35 571</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19.</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Lezhe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11</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949</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11.59</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94</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68 218</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20.</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Librazhd</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27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1 408</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19.18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43</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72 520</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21.</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Lushnje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152</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144 351</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22.</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Mallakaster</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895</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15.64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39 881</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23.</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M. Madhe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9</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762</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11.81</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3</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36 770</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24.</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Mat</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1 022</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7.83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206</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61 906</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25.</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Mirdite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783</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10.22</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79</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37 055</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26.</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Peqin</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601</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23.29</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23</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32 920</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27.</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Pogradec</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1 240</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10.48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49</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70 900</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28.</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Puke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509</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13.75</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34 454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29.</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Permet</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357</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0</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76</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25 837</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30.</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Sarande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7</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1 200</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5.83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35 235</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31.</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Shkoder</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347</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185 794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32.</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Skrapar</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5</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533</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9.38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16</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29 874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33.</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Tepelene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1</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577</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1.73</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28</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32 465</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34.</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Tirane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45</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6 940</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6.48</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4 368</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523 150</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35.</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Tropoje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r>
              <w:rPr>
                <w:szCs w:val="16"/>
              </w:rPr>
              <w:t>4</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532</w:t>
            </w: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7.52</w:t>
            </w: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28 154</w:t>
            </w:r>
          </w:p>
        </w:tc>
      </w:tr>
      <w:tr w:rsidR="00000000">
        <w:trPr>
          <w:trHeight w:val="255"/>
          <w:jc w:val="center"/>
        </w:trPr>
        <w:tc>
          <w:tcPr>
            <w:tcW w:w="73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36.</w:t>
            </w:r>
          </w:p>
        </w:tc>
        <w:tc>
          <w:tcPr>
            <w:tcW w:w="1346" w:type="dxa"/>
            <w:noWrap/>
            <w:tcMar>
              <w:top w:w="20" w:type="dxa"/>
              <w:left w:w="20" w:type="dxa"/>
              <w:bottom w:w="0" w:type="dxa"/>
              <w:right w:w="20" w:type="dxa"/>
            </w:tcMar>
            <w:vAlign w:val="bottom"/>
          </w:tcPr>
          <w:p w:rsidR="00000000" w:rsidRDefault="00000000">
            <w:pPr>
              <w:spacing w:after="0"/>
              <w:ind w:left="108"/>
              <w:rPr>
                <w:szCs w:val="16"/>
              </w:rPr>
            </w:pPr>
            <w:r>
              <w:rPr>
                <w:szCs w:val="16"/>
              </w:rPr>
              <w:t>Vlore</w:t>
            </w:r>
          </w:p>
        </w:tc>
        <w:tc>
          <w:tcPr>
            <w:tcW w:w="1347" w:type="dxa"/>
            <w:noWrap/>
            <w:tcMar>
              <w:top w:w="20" w:type="dxa"/>
              <w:left w:w="20" w:type="dxa"/>
              <w:bottom w:w="0" w:type="dxa"/>
              <w:right w:w="20" w:type="dxa"/>
            </w:tcMar>
            <w:vAlign w:val="bottom"/>
          </w:tcPr>
          <w:p w:rsidR="00000000" w:rsidRDefault="00000000">
            <w:pPr>
              <w:spacing w:after="0"/>
              <w:ind w:right="510"/>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6" w:type="dxa"/>
            <w:noWrap/>
            <w:tcMar>
              <w:top w:w="20" w:type="dxa"/>
              <w:left w:w="20" w:type="dxa"/>
              <w:bottom w:w="0" w:type="dxa"/>
              <w:right w:w="20" w:type="dxa"/>
            </w:tcMar>
            <w:vAlign w:val="bottom"/>
          </w:tcPr>
          <w:p w:rsidR="00000000" w:rsidRDefault="00000000">
            <w:pPr>
              <w:spacing w:after="0"/>
              <w:ind w:right="397"/>
              <w:jc w:val="right"/>
              <w:rPr>
                <w:szCs w:val="16"/>
              </w:rPr>
            </w:pPr>
          </w:p>
        </w:tc>
        <w:tc>
          <w:tcPr>
            <w:tcW w:w="1347" w:type="dxa"/>
            <w:noWrap/>
            <w:tcMar>
              <w:top w:w="20" w:type="dxa"/>
              <w:left w:w="20" w:type="dxa"/>
              <w:bottom w:w="0" w:type="dxa"/>
              <w:right w:w="20" w:type="dxa"/>
            </w:tcMar>
            <w:vAlign w:val="bottom"/>
          </w:tcPr>
          <w:p w:rsidR="00000000" w:rsidRDefault="00000000">
            <w:pPr>
              <w:spacing w:after="0"/>
              <w:ind w:right="397"/>
              <w:jc w:val="right"/>
              <w:rPr>
                <w:szCs w:val="16"/>
              </w:rPr>
            </w:pPr>
            <w:r>
              <w:rPr>
                <w:szCs w:val="16"/>
              </w:rPr>
              <w:t>1 766</w:t>
            </w:r>
          </w:p>
        </w:tc>
        <w:tc>
          <w:tcPr>
            <w:tcW w:w="1347"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147 267</w:t>
            </w:r>
          </w:p>
        </w:tc>
      </w:tr>
    </w:tbl>
    <w:p w:rsidR="00000000" w:rsidRDefault="00000000">
      <w:pPr>
        <w:pStyle w:val="Heading2"/>
      </w:pPr>
      <w:r>
        <w:t>Table 43</w:t>
      </w:r>
    </w:p>
    <w:p w:rsidR="00000000" w:rsidRDefault="00000000">
      <w:pPr>
        <w:pStyle w:val="Heading2"/>
      </w:pPr>
      <w:r>
        <w:t>Population trends</w:t>
      </w:r>
    </w:p>
    <w:tbl>
      <w:tblPr>
        <w:tblW w:w="8563"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27"/>
        <w:gridCol w:w="1410"/>
        <w:gridCol w:w="1071"/>
        <w:gridCol w:w="1071"/>
        <w:gridCol w:w="1071"/>
        <w:gridCol w:w="1071"/>
        <w:gridCol w:w="1071"/>
        <w:gridCol w:w="1071"/>
      </w:tblGrid>
      <w:tr w:rsidR="00000000">
        <w:trPr>
          <w:trHeight w:val="705"/>
          <w:jc w:val="center"/>
        </w:trPr>
        <w:tc>
          <w:tcPr>
            <w:tcW w:w="727" w:type="dxa"/>
            <w:tcBorders>
              <w:bottom w:val="single" w:sz="4" w:space="0" w:color="auto"/>
            </w:tcBorders>
            <w:noWrap/>
            <w:tcMar>
              <w:top w:w="20" w:type="dxa"/>
              <w:left w:w="20" w:type="dxa"/>
              <w:bottom w:w="0" w:type="dxa"/>
              <w:right w:w="20" w:type="dxa"/>
            </w:tcMar>
          </w:tcPr>
          <w:p w:rsidR="00000000" w:rsidRDefault="00000000">
            <w:pPr>
              <w:spacing w:after="0"/>
              <w:ind w:right="170"/>
              <w:jc w:val="right"/>
              <w:rPr>
                <w:szCs w:val="16"/>
              </w:rPr>
            </w:pPr>
            <w:r>
              <w:rPr>
                <w:szCs w:val="16"/>
              </w:rPr>
              <w:t>No.</w:t>
            </w:r>
          </w:p>
        </w:tc>
        <w:tc>
          <w:tcPr>
            <w:tcW w:w="1410" w:type="dxa"/>
            <w:tcBorders>
              <w:bottom w:val="single" w:sz="4" w:space="0" w:color="auto"/>
            </w:tcBorders>
            <w:noWrap/>
            <w:tcMar>
              <w:top w:w="20" w:type="dxa"/>
              <w:left w:w="20" w:type="dxa"/>
              <w:bottom w:w="0" w:type="dxa"/>
              <w:right w:w="20" w:type="dxa"/>
            </w:tcMar>
          </w:tcPr>
          <w:p w:rsidR="00000000" w:rsidRDefault="00000000">
            <w:pPr>
              <w:spacing w:after="0"/>
              <w:ind w:left="108"/>
              <w:rPr>
                <w:szCs w:val="16"/>
              </w:rPr>
            </w:pPr>
            <w:r>
              <w:rPr>
                <w:szCs w:val="16"/>
              </w:rPr>
              <w:t xml:space="preserve"> Districts</w:t>
            </w:r>
          </w:p>
        </w:tc>
        <w:tc>
          <w:tcPr>
            <w:tcW w:w="1071" w:type="dxa"/>
            <w:tcBorders>
              <w:bottom w:val="single" w:sz="4" w:space="0" w:color="auto"/>
            </w:tcBorders>
            <w:noWrap/>
            <w:tcMar>
              <w:top w:w="20" w:type="dxa"/>
              <w:left w:w="20" w:type="dxa"/>
              <w:bottom w:w="0" w:type="dxa"/>
              <w:right w:w="20" w:type="dxa"/>
            </w:tcMar>
          </w:tcPr>
          <w:p w:rsidR="00000000" w:rsidRDefault="00000000">
            <w:pPr>
              <w:spacing w:after="0"/>
              <w:jc w:val="center"/>
              <w:rPr>
                <w:szCs w:val="16"/>
              </w:rPr>
            </w:pPr>
            <w:r>
              <w:rPr>
                <w:szCs w:val="16"/>
              </w:rPr>
              <w:t>Density of population</w:t>
            </w:r>
          </w:p>
        </w:tc>
        <w:tc>
          <w:tcPr>
            <w:tcW w:w="1071"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Deaths of young mothers</w:t>
            </w:r>
          </w:p>
        </w:tc>
        <w:tc>
          <w:tcPr>
            <w:tcW w:w="1071"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Birth rate</w:t>
            </w:r>
          </w:p>
        </w:tc>
        <w:tc>
          <w:tcPr>
            <w:tcW w:w="1071"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Mortality</w:t>
            </w:r>
          </w:p>
        </w:tc>
        <w:tc>
          <w:tcPr>
            <w:tcW w:w="1071" w:type="dxa"/>
            <w:tcBorders>
              <w:bottom w:val="single" w:sz="4" w:space="0" w:color="auto"/>
            </w:tcBorders>
            <w:tcMar>
              <w:top w:w="20" w:type="dxa"/>
              <w:left w:w="20" w:type="dxa"/>
              <w:bottom w:w="0" w:type="dxa"/>
              <w:right w:w="20" w:type="dxa"/>
            </w:tcMar>
          </w:tcPr>
          <w:p w:rsidR="00000000" w:rsidRDefault="00000000">
            <w:pPr>
              <w:spacing w:after="0"/>
              <w:jc w:val="center"/>
              <w:rPr>
                <w:szCs w:val="16"/>
              </w:rPr>
            </w:pPr>
            <w:r>
              <w:rPr>
                <w:szCs w:val="16"/>
              </w:rPr>
              <w:t>Abortion rate</w:t>
            </w:r>
          </w:p>
        </w:tc>
        <w:tc>
          <w:tcPr>
            <w:tcW w:w="1071" w:type="dxa"/>
            <w:tcBorders>
              <w:bottom w:val="single" w:sz="4" w:space="0" w:color="auto"/>
            </w:tcBorders>
            <w:tcMar>
              <w:top w:w="20" w:type="dxa"/>
              <w:left w:w="20" w:type="dxa"/>
              <w:bottom w:w="0" w:type="dxa"/>
              <w:right w:w="20" w:type="dxa"/>
            </w:tcMar>
          </w:tcPr>
          <w:p w:rsidR="00000000" w:rsidRDefault="00000000">
            <w:pPr>
              <w:pStyle w:val="Header"/>
              <w:tabs>
                <w:tab w:val="clear" w:pos="4320"/>
                <w:tab w:val="clear" w:pos="8640"/>
              </w:tabs>
              <w:spacing w:after="0"/>
              <w:rPr>
                <w:szCs w:val="16"/>
              </w:rPr>
            </w:pPr>
            <w:r>
              <w:rPr>
                <w:szCs w:val="16"/>
              </w:rPr>
              <w:t xml:space="preserve"> Number</w:t>
            </w:r>
            <w:r>
              <w:rPr>
                <w:szCs w:val="16"/>
              </w:rPr>
              <w:br/>
              <w:t xml:space="preserve"> of deaths</w:t>
            </w:r>
          </w:p>
        </w:tc>
      </w:tr>
      <w:tr w:rsidR="00000000">
        <w:trPr>
          <w:trHeight w:val="255"/>
          <w:jc w:val="center"/>
        </w:trPr>
        <w:tc>
          <w:tcPr>
            <w:tcW w:w="727"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170"/>
              <w:jc w:val="right"/>
              <w:rPr>
                <w:szCs w:val="16"/>
              </w:rPr>
            </w:pPr>
            <w:r>
              <w:rPr>
                <w:szCs w:val="16"/>
              </w:rPr>
              <w:t>1.</w:t>
            </w:r>
          </w:p>
        </w:tc>
        <w:tc>
          <w:tcPr>
            <w:tcW w:w="1410"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left="108"/>
              <w:rPr>
                <w:szCs w:val="16"/>
              </w:rPr>
            </w:pPr>
            <w:r>
              <w:rPr>
                <w:szCs w:val="16"/>
              </w:rPr>
              <w:t>Berat</w:t>
            </w:r>
          </w:p>
        </w:tc>
        <w:tc>
          <w:tcPr>
            <w:tcW w:w="1071"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136.7</w:t>
            </w:r>
          </w:p>
        </w:tc>
        <w:tc>
          <w:tcPr>
            <w:tcW w:w="1071"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227"/>
              <w:jc w:val="right"/>
            </w:pPr>
          </w:p>
        </w:tc>
        <w:tc>
          <w:tcPr>
            <w:tcW w:w="1071"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16.65</w:t>
            </w:r>
          </w:p>
        </w:tc>
        <w:tc>
          <w:tcPr>
            <w:tcW w:w="1071"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340"/>
              <w:jc w:val="right"/>
              <w:rPr>
                <w:szCs w:val="16"/>
              </w:rPr>
            </w:pPr>
            <w:r>
              <w:rPr>
                <w:szCs w:val="16"/>
              </w:rPr>
              <w:t>4.32</w:t>
            </w:r>
          </w:p>
        </w:tc>
        <w:tc>
          <w:tcPr>
            <w:tcW w:w="1071"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227"/>
              <w:jc w:val="right"/>
              <w:rPr>
                <w:szCs w:val="16"/>
              </w:rPr>
            </w:pPr>
            <w:r>
              <w:rPr>
                <w:szCs w:val="16"/>
              </w:rPr>
              <w:t>137.98</w:t>
            </w:r>
          </w:p>
        </w:tc>
        <w:tc>
          <w:tcPr>
            <w:tcW w:w="1071" w:type="dxa"/>
            <w:tcBorders>
              <w:top w:val="single" w:sz="4" w:space="0" w:color="auto"/>
              <w:bottom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555</w:t>
            </w:r>
          </w:p>
        </w:tc>
      </w:tr>
      <w:tr w:rsidR="00000000">
        <w:trPr>
          <w:trHeight w:val="255"/>
          <w:jc w:val="center"/>
        </w:trPr>
        <w:tc>
          <w:tcPr>
            <w:tcW w:w="727" w:type="dxa"/>
            <w:tcBorders>
              <w:top w:val="nil"/>
            </w:tcBorders>
            <w:noWrap/>
            <w:tcMar>
              <w:top w:w="20" w:type="dxa"/>
              <w:left w:w="20" w:type="dxa"/>
              <w:bottom w:w="0" w:type="dxa"/>
              <w:right w:w="20" w:type="dxa"/>
            </w:tcMar>
            <w:vAlign w:val="bottom"/>
          </w:tcPr>
          <w:p w:rsidR="00000000" w:rsidRDefault="00000000">
            <w:pPr>
              <w:spacing w:after="0"/>
              <w:ind w:right="170"/>
              <w:jc w:val="right"/>
              <w:rPr>
                <w:szCs w:val="16"/>
              </w:rPr>
            </w:pPr>
            <w:r>
              <w:rPr>
                <w:szCs w:val="16"/>
              </w:rPr>
              <w:t>2.</w:t>
            </w:r>
          </w:p>
        </w:tc>
        <w:tc>
          <w:tcPr>
            <w:tcW w:w="1410" w:type="dxa"/>
            <w:tcBorders>
              <w:top w:val="nil"/>
            </w:tcBorders>
            <w:noWrap/>
            <w:tcMar>
              <w:top w:w="20" w:type="dxa"/>
              <w:left w:w="20" w:type="dxa"/>
              <w:bottom w:w="0" w:type="dxa"/>
              <w:right w:w="20" w:type="dxa"/>
            </w:tcMar>
            <w:vAlign w:val="bottom"/>
          </w:tcPr>
          <w:p w:rsidR="00000000" w:rsidRDefault="00000000">
            <w:pPr>
              <w:spacing w:after="0"/>
              <w:ind w:left="108"/>
              <w:rPr>
                <w:szCs w:val="16"/>
              </w:rPr>
            </w:pPr>
            <w:r>
              <w:rPr>
                <w:szCs w:val="16"/>
              </w:rPr>
              <w:t>Bulqize</w:t>
            </w:r>
          </w:p>
        </w:tc>
        <w:tc>
          <w:tcPr>
            <w:tcW w:w="1071" w:type="dxa"/>
            <w:tcBorders>
              <w:top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91.6</w:t>
            </w:r>
          </w:p>
        </w:tc>
        <w:tc>
          <w:tcPr>
            <w:tcW w:w="1071" w:type="dxa"/>
            <w:tcBorders>
              <w:top w:val="nil"/>
            </w:tcBorders>
            <w:noWrap/>
            <w:tcMar>
              <w:top w:w="20" w:type="dxa"/>
              <w:left w:w="20" w:type="dxa"/>
              <w:bottom w:w="0" w:type="dxa"/>
              <w:right w:w="20" w:type="dxa"/>
            </w:tcMar>
            <w:vAlign w:val="bottom"/>
          </w:tcPr>
          <w:p w:rsidR="00000000" w:rsidRDefault="00000000">
            <w:pPr>
              <w:spacing w:after="0"/>
              <w:ind w:right="227"/>
              <w:jc w:val="right"/>
            </w:pPr>
          </w:p>
        </w:tc>
        <w:tc>
          <w:tcPr>
            <w:tcW w:w="1071" w:type="dxa"/>
            <w:tcBorders>
              <w:top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24.80</w:t>
            </w:r>
          </w:p>
        </w:tc>
        <w:tc>
          <w:tcPr>
            <w:tcW w:w="1071" w:type="dxa"/>
            <w:tcBorders>
              <w:top w:val="nil"/>
            </w:tcBorders>
            <w:noWrap/>
            <w:tcMar>
              <w:top w:w="20" w:type="dxa"/>
              <w:left w:w="20" w:type="dxa"/>
              <w:bottom w:w="0" w:type="dxa"/>
              <w:right w:w="20" w:type="dxa"/>
            </w:tcMar>
            <w:vAlign w:val="bottom"/>
          </w:tcPr>
          <w:p w:rsidR="00000000" w:rsidRDefault="00000000">
            <w:pPr>
              <w:spacing w:after="0"/>
              <w:ind w:right="340"/>
              <w:jc w:val="right"/>
              <w:rPr>
                <w:szCs w:val="16"/>
              </w:rPr>
            </w:pPr>
            <w:r>
              <w:rPr>
                <w:szCs w:val="16"/>
              </w:rPr>
              <w:t>5.35</w:t>
            </w:r>
          </w:p>
        </w:tc>
        <w:tc>
          <w:tcPr>
            <w:tcW w:w="1071" w:type="dxa"/>
            <w:tcBorders>
              <w:top w:val="nil"/>
            </w:tcBorders>
            <w:noWrap/>
            <w:tcMar>
              <w:top w:w="20" w:type="dxa"/>
              <w:left w:w="20" w:type="dxa"/>
              <w:bottom w:w="0" w:type="dxa"/>
              <w:right w:w="20" w:type="dxa"/>
            </w:tcMar>
            <w:vAlign w:val="bottom"/>
          </w:tcPr>
          <w:p w:rsidR="00000000" w:rsidRDefault="00000000">
            <w:pPr>
              <w:spacing w:after="0"/>
              <w:ind w:right="227"/>
              <w:jc w:val="right"/>
              <w:rPr>
                <w:szCs w:val="16"/>
              </w:rPr>
            </w:pPr>
            <w:r>
              <w:rPr>
                <w:szCs w:val="16"/>
              </w:rPr>
              <w:t>18.76</w:t>
            </w:r>
          </w:p>
        </w:tc>
        <w:tc>
          <w:tcPr>
            <w:tcW w:w="1071" w:type="dxa"/>
            <w:tcBorders>
              <w:top w:val="nil"/>
            </w:tcBorders>
            <w:noWrap/>
            <w:tcMar>
              <w:top w:w="20" w:type="dxa"/>
              <w:left w:w="20" w:type="dxa"/>
              <w:bottom w:w="0" w:type="dxa"/>
              <w:right w:w="20" w:type="dxa"/>
            </w:tcMar>
            <w:vAlign w:val="bottom"/>
          </w:tcPr>
          <w:p w:rsidR="00000000" w:rsidRDefault="00000000">
            <w:pPr>
              <w:spacing w:after="0"/>
              <w:ind w:right="284"/>
              <w:jc w:val="right"/>
              <w:rPr>
                <w:szCs w:val="16"/>
              </w:rPr>
            </w:pPr>
            <w:r>
              <w:rPr>
                <w:szCs w:val="16"/>
              </w:rPr>
              <w:t>230</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Delvine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31.2</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30.11</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10.77</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117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4.</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Devoll</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81.1</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20.87</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7.66</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160.00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266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5.</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Diber</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79.1</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24.10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4.33</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12.04</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373</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6.</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Durres</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422.7</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13.94</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0.73</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169.74</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134</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7.</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Elbasan</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163.9</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16.00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4.74</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131.98</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1 067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8.</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Gjirokaster</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49.2</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17.77</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6.64</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7.04</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372</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9.</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Gramsh</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51.4</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19.48</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5.01</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133.62</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179</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10.</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Fier</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254.9</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18.93</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4.95</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74.95</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991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11.</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Has</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50.5</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10.23</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1.71</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24.63</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34</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12.</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Kavaje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189.3</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16.88</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5.82</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64.95</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456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13.</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Kolonje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21.4</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14.32</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6.69</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861.79</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115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14.</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Korce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81.9</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19.40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7.38</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85.49</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1 059</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15.</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Kruje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193.3</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7.09</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5.07</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24.12</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326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16.</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Kukes</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68.3</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0.02</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17.</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Kurbin</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199.4</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21.50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4.82</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263</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18.</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Kucove</w:t>
            </w:r>
          </w:p>
        </w:tc>
        <w:tc>
          <w:tcPr>
            <w:tcW w:w="1071" w:type="dxa"/>
            <w:noWrap/>
            <w:tcMar>
              <w:top w:w="20" w:type="dxa"/>
              <w:left w:w="20" w:type="dxa"/>
              <w:bottom w:w="0" w:type="dxa"/>
              <w:right w:w="20" w:type="dxa"/>
            </w:tcMar>
            <w:vAlign w:val="bottom"/>
          </w:tcPr>
          <w:p w:rsidR="00000000" w:rsidRDefault="00000000">
            <w:pPr>
              <w:spacing w:after="0"/>
              <w:ind w:left="-393" w:right="465"/>
              <w:jc w:val="right"/>
              <w:rPr>
                <w:szCs w:val="16"/>
              </w:rPr>
            </w:pPr>
            <w:r>
              <w:rPr>
                <w:szCs w:val="16"/>
              </w:rPr>
              <w:t>423</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21.65</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5.29</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19.</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Lezhe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142.3</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13.91</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5.35</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99.05</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365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20.</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Librazhd</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70.9</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19.42</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4.25</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30.54</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308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21.</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Lushnje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202.6</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4.64</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670</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22.</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Mallakaster</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101.5</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111.73</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22.44</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4.84</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193</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23.</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M. Madhe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66.3</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20.72</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5.09</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3.94</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24.</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Mat</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101.5</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16.51</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4.47</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201.57</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277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25.</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Mirdite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42.7</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21.13</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5.34</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100.89</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198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26.</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Peqin</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302.9</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166.39</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18.26</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3.98</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38.27</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131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27.</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Pogradec</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97.8</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17.49</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5.71</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39.52</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405</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28.</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Puke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33.3</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196.46</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14.77</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3.11</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107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29.</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Permet</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27.8</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13.82</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5.50</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212.89</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142</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30.</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Sarande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47.1</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34.06</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9.00</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0.83</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317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31.</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Shkoder</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94.2</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2.72</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506</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32.</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Skrapar</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38.5</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17.84</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5.39</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30.02</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161</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33.</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Tepelene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39.7</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17.77</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5.79</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48.53</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34.</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Tirane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422.4</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13.27</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4.58</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629.39</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2 398</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35.</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Tropoje</w:t>
            </w:r>
          </w:p>
        </w:tc>
        <w:tc>
          <w:tcPr>
            <w:tcW w:w="1071" w:type="dxa"/>
            <w:noWrap/>
            <w:tcMar>
              <w:top w:w="20" w:type="dxa"/>
              <w:left w:w="20" w:type="dxa"/>
              <w:bottom w:w="0" w:type="dxa"/>
              <w:right w:w="20" w:type="dxa"/>
            </w:tcMar>
            <w:vAlign w:val="bottom"/>
          </w:tcPr>
          <w:p w:rsidR="00000000" w:rsidRDefault="00000000">
            <w:pPr>
              <w:spacing w:after="0"/>
              <w:ind w:left="-510" w:right="482"/>
              <w:jc w:val="right"/>
              <w:rPr>
                <w:szCs w:val="16"/>
              </w:rPr>
            </w:pPr>
            <w:r>
              <w:rPr>
                <w:szCs w:val="16"/>
              </w:rPr>
              <w:t>27</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18.90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5.22</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147</w:t>
            </w:r>
          </w:p>
        </w:tc>
      </w:tr>
      <w:tr w:rsidR="00000000">
        <w:trPr>
          <w:trHeight w:val="255"/>
          <w:jc w:val="center"/>
        </w:trPr>
        <w:tc>
          <w:tcPr>
            <w:tcW w:w="727" w:type="dxa"/>
            <w:noWrap/>
            <w:tcMar>
              <w:top w:w="20" w:type="dxa"/>
              <w:left w:w="20" w:type="dxa"/>
              <w:bottom w:w="0" w:type="dxa"/>
              <w:right w:w="20" w:type="dxa"/>
            </w:tcMar>
            <w:vAlign w:val="bottom"/>
          </w:tcPr>
          <w:p w:rsidR="00000000" w:rsidRDefault="00000000">
            <w:pPr>
              <w:spacing w:after="0"/>
              <w:ind w:right="170"/>
              <w:jc w:val="right"/>
              <w:rPr>
                <w:szCs w:val="16"/>
              </w:rPr>
            </w:pPr>
            <w:r>
              <w:rPr>
                <w:szCs w:val="16"/>
              </w:rPr>
              <w:t>36.</w:t>
            </w:r>
          </w:p>
        </w:tc>
        <w:tc>
          <w:tcPr>
            <w:tcW w:w="1410" w:type="dxa"/>
            <w:noWrap/>
            <w:tcMar>
              <w:top w:w="20" w:type="dxa"/>
              <w:left w:w="20" w:type="dxa"/>
              <w:bottom w:w="0" w:type="dxa"/>
              <w:right w:w="20" w:type="dxa"/>
            </w:tcMar>
            <w:vAlign w:val="bottom"/>
          </w:tcPr>
          <w:p w:rsidR="00000000" w:rsidRDefault="00000000">
            <w:pPr>
              <w:spacing w:after="0"/>
              <w:ind w:left="108"/>
              <w:rPr>
                <w:szCs w:val="16"/>
              </w:rPr>
            </w:pPr>
            <w:r>
              <w:rPr>
                <w:szCs w:val="16"/>
              </w:rPr>
              <w:t>Vlore</w:t>
            </w: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91.5</w:t>
            </w:r>
          </w:p>
        </w:tc>
        <w:tc>
          <w:tcPr>
            <w:tcW w:w="1071" w:type="dxa"/>
            <w:noWrap/>
            <w:tcMar>
              <w:top w:w="20" w:type="dxa"/>
              <w:left w:w="20" w:type="dxa"/>
              <w:bottom w:w="0" w:type="dxa"/>
              <w:right w:w="20" w:type="dxa"/>
            </w:tcMar>
            <w:vAlign w:val="bottom"/>
          </w:tcPr>
          <w:p w:rsidR="00000000" w:rsidRDefault="00000000">
            <w:pPr>
              <w:spacing w:after="0"/>
              <w:ind w:right="227"/>
              <w:jc w:val="right"/>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0.00</w:t>
            </w:r>
          </w:p>
        </w:tc>
        <w:tc>
          <w:tcPr>
            <w:tcW w:w="1071" w:type="dxa"/>
            <w:noWrap/>
            <w:tcMar>
              <w:top w:w="20" w:type="dxa"/>
              <w:left w:w="20" w:type="dxa"/>
              <w:bottom w:w="0" w:type="dxa"/>
              <w:right w:w="20" w:type="dxa"/>
            </w:tcMar>
            <w:vAlign w:val="bottom"/>
          </w:tcPr>
          <w:p w:rsidR="00000000" w:rsidRDefault="00000000">
            <w:pPr>
              <w:spacing w:after="0"/>
              <w:ind w:right="340"/>
              <w:jc w:val="right"/>
              <w:rPr>
                <w:szCs w:val="16"/>
              </w:rPr>
            </w:pPr>
            <w:r>
              <w:rPr>
                <w:szCs w:val="16"/>
              </w:rPr>
              <w:t>5.62</w:t>
            </w:r>
          </w:p>
        </w:tc>
        <w:tc>
          <w:tcPr>
            <w:tcW w:w="1071" w:type="dxa"/>
            <w:noWrap/>
            <w:tcMar>
              <w:top w:w="20" w:type="dxa"/>
              <w:left w:w="20" w:type="dxa"/>
              <w:bottom w:w="0" w:type="dxa"/>
              <w:right w:w="20" w:type="dxa"/>
            </w:tcMar>
            <w:vAlign w:val="bottom"/>
          </w:tcPr>
          <w:p w:rsidR="00000000" w:rsidRDefault="00000000">
            <w:pPr>
              <w:spacing w:after="0"/>
              <w:ind w:right="227"/>
              <w:jc w:val="right"/>
              <w:rPr>
                <w:szCs w:val="16"/>
              </w:rPr>
            </w:pPr>
          </w:p>
        </w:tc>
        <w:tc>
          <w:tcPr>
            <w:tcW w:w="1071" w:type="dxa"/>
            <w:noWrap/>
            <w:tcMar>
              <w:top w:w="20" w:type="dxa"/>
              <w:left w:w="20" w:type="dxa"/>
              <w:bottom w:w="0" w:type="dxa"/>
              <w:right w:w="20" w:type="dxa"/>
            </w:tcMar>
            <w:vAlign w:val="bottom"/>
          </w:tcPr>
          <w:p w:rsidR="00000000" w:rsidRDefault="00000000">
            <w:pPr>
              <w:spacing w:after="0"/>
              <w:ind w:right="284"/>
              <w:jc w:val="right"/>
              <w:rPr>
                <w:szCs w:val="16"/>
              </w:rPr>
            </w:pPr>
            <w:r>
              <w:rPr>
                <w:szCs w:val="16"/>
              </w:rPr>
              <w:t>828</w:t>
            </w:r>
          </w:p>
        </w:tc>
      </w:tr>
    </w:tbl>
    <w:p w:rsidR="00000000" w:rsidRDefault="00000000"/>
    <w:p w:rsidR="00000000" w:rsidRDefault="00000000">
      <w:pPr>
        <w:pStyle w:val="Heading3"/>
      </w:pPr>
      <w:r>
        <w:t>HIV/AIDS</w:t>
      </w:r>
    </w:p>
    <w:p w:rsidR="00000000" w:rsidRDefault="00000000">
      <w:pPr>
        <w:pStyle w:val="ParaNo"/>
        <w:rPr>
          <w:lang w:val="en-GB"/>
        </w:rPr>
      </w:pPr>
      <w:r>
        <w:rPr>
          <w:lang w:val="en-GB"/>
        </w:rPr>
        <w:t>With 104 diagnosed and reported persons living with HIV/AIDS (PLWHA) as of May 2003, Albania can still be considered a low-prevalence country.  The prevalence of HIV is considered to be less than 0.005 per cent.  Based on the young age of the population, the large proportion of Albanian emigrants (one sixth of Albanian citizens live abroad), the increasing number of intravenous drug users (IDUs), the large number of Albanian girls being trafficked and/or exploited as commercial sex workers abroad, the increasing number of men who have sex with men, the increasing number of other sexually transmitted infections (STIs), etc. to estimate up to a thousand the number of PLWHA.</w:t>
      </w:r>
    </w:p>
    <w:p w:rsidR="00000000" w:rsidRDefault="00000000">
      <w:pPr>
        <w:pStyle w:val="ParaNo"/>
        <w:ind w:left="0" w:firstLine="0"/>
        <w:rPr>
          <w:lang w:val="en-GB"/>
        </w:rPr>
      </w:pPr>
      <w:r>
        <w:rPr>
          <w:lang w:val="en-GB"/>
        </w:rPr>
        <w:t>This estimate seems reliable, taking into account the increasing trend of diagnosed and reported cases during recent years (more than 50 per cent of PLWHA have been diagnosed in the last three years - 10 in 2000, 20 in 2001 and 26 in 2002).</w:t>
      </w:r>
    </w:p>
    <w:p w:rsidR="00000000" w:rsidRDefault="00000000">
      <w:pPr>
        <w:pStyle w:val="ParaNo"/>
        <w:ind w:left="0" w:firstLine="0"/>
        <w:rPr>
          <w:lang w:val="en-GB"/>
        </w:rPr>
      </w:pPr>
      <w:r>
        <w:rPr>
          <w:lang w:val="en-GB"/>
        </w:rPr>
        <w:t>Also, according to a recent report vulnerable situations and high-risk behaviour are common among all groups of the population.  Furthermore, one third of Albanians interviewed in the context of a KABP survey ranked HIV/AIDS as one of the top health problems Albania is facing today.</w:t>
      </w:r>
    </w:p>
    <w:p w:rsidR="00000000" w:rsidRDefault="00000000">
      <w:pPr>
        <w:pStyle w:val="ParaNo"/>
        <w:ind w:left="0" w:firstLine="0"/>
        <w:rPr>
          <w:lang w:val="en-GB"/>
        </w:rPr>
      </w:pPr>
      <w:r>
        <w:rPr>
          <w:lang w:val="en-GB"/>
        </w:rPr>
        <w:t>It is for this reason, that HIV/AIDS was seen as a priority in the context of recently adopted Albanian Public Health and Health Promotion Strategy as well as, especially, in the annual plans of the Albanian Ministry of Health.  The Minister of Health reconfirmed HIV/AIDS as a priority area during the 2003 Annual Meeting at the National Institute of Public Health - the institution where the National Programme of HIV/AIDS/STIs is located.</w:t>
      </w:r>
    </w:p>
    <w:p w:rsidR="00000000" w:rsidRDefault="00000000">
      <w:pPr>
        <w:pStyle w:val="ParaNo"/>
        <w:spacing w:after="0"/>
        <w:ind w:left="0" w:firstLine="0"/>
        <w:rPr>
          <w:lang w:val="en-GB"/>
        </w:rPr>
      </w:pPr>
      <w:r>
        <w:rPr>
          <w:lang w:val="en-GB"/>
        </w:rPr>
        <w:t>A national strategy accompanied with an action plan, funded by UNDP and in collaboration with United Nations theme groups and other agencies, national and international, operating within such fields in Albania is under development.</w:t>
      </w:r>
    </w:p>
    <w:p w:rsidR="00000000" w:rsidRDefault="00000000">
      <w:pPr>
        <w:pStyle w:val="Heading2"/>
        <w:spacing w:before="240"/>
      </w:pPr>
      <w:r>
        <w:t>Figure 2</w:t>
      </w:r>
    </w:p>
    <w:p w:rsidR="00000000" w:rsidRDefault="00000000">
      <w:pPr>
        <w:pStyle w:val="Heading2"/>
        <w:spacing w:after="0"/>
      </w:pPr>
      <w:r>
        <w:t>Number of HIV/AIDS cases by year for the period 1993-2002</w:t>
      </w:r>
    </w:p>
    <w:tbl>
      <w:tblPr>
        <w:tblW w:w="9356"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trPr>
        <w:tc>
          <w:tcPr>
            <w:tcW w:w="9356" w:type="dxa"/>
            <w:tcBorders>
              <w:top w:val="nil"/>
              <w:left w:val="nil"/>
              <w:bottom w:val="nil"/>
              <w:right w:val="nil"/>
            </w:tcBorders>
            <w:vAlign w:val="center"/>
          </w:tcPr>
          <w:p w:rsidR="00000000" w:rsidRDefault="00000000">
            <w:pPr>
              <w:spacing w:after="0"/>
              <w:jc w:val="center"/>
            </w:pPr>
            <w:r>
              <w:object w:dxaOrig="7800" w:dyaOrig="3797">
                <v:shape id="_x0000_i1026" type="#_x0000_t75" style="width:390pt;height:189.75pt" o:ole="">
                  <v:imagedata r:id="rId15" o:title=""/>
                </v:shape>
                <o:OLEObject Type="Embed" ProgID="Excel.Chart.8" ShapeID="_x0000_i1026" DrawAspect="Content" ObjectID="_1394883058" r:id="rId16">
                  <o:FieldCodes>\s</o:FieldCodes>
                </o:OLEObject>
              </w:object>
            </w:r>
          </w:p>
        </w:tc>
      </w:tr>
      <w:tr w:rsidR="00000000">
        <w:tblPrEx>
          <w:tblCellMar>
            <w:top w:w="0" w:type="dxa"/>
            <w:bottom w:w="0" w:type="dxa"/>
          </w:tblCellMar>
        </w:tblPrEx>
        <w:trPr>
          <w:cantSplit/>
        </w:trPr>
        <w:tc>
          <w:tcPr>
            <w:tcW w:w="9356" w:type="dxa"/>
            <w:tcBorders>
              <w:top w:val="nil"/>
              <w:left w:val="nil"/>
              <w:bottom w:val="nil"/>
              <w:right w:val="nil"/>
            </w:tcBorders>
          </w:tcPr>
          <w:p w:rsidR="00000000" w:rsidRDefault="00000000">
            <w:pPr>
              <w:pStyle w:val="Heading2"/>
            </w:pPr>
            <w:r>
              <w:t>Figure 3</w:t>
            </w:r>
          </w:p>
          <w:p w:rsidR="00000000" w:rsidRDefault="00000000">
            <w:pPr>
              <w:pStyle w:val="Heading2"/>
            </w:pPr>
            <w:r>
              <w:t>Distribution of HIV cases by mode of transmission</w:t>
            </w:r>
          </w:p>
        </w:tc>
      </w:tr>
      <w:tr w:rsidR="00000000">
        <w:tblPrEx>
          <w:tblCellMar>
            <w:top w:w="0" w:type="dxa"/>
            <w:bottom w:w="0" w:type="dxa"/>
          </w:tblCellMar>
        </w:tblPrEx>
        <w:trPr>
          <w:cantSplit/>
        </w:trPr>
        <w:tc>
          <w:tcPr>
            <w:tcW w:w="9356" w:type="dxa"/>
            <w:tcBorders>
              <w:top w:val="nil"/>
              <w:left w:val="nil"/>
              <w:bottom w:val="nil"/>
              <w:right w:val="nil"/>
            </w:tcBorders>
          </w:tcPr>
          <w:p w:rsidR="00000000" w:rsidRDefault="00000000">
            <w:pPr>
              <w:jc w:val="center"/>
            </w:pPr>
            <w:r>
              <w:object w:dxaOrig="5784" w:dyaOrig="3614">
                <v:shape id="_x0000_i1027" type="#_x0000_t75" style="width:289.5pt;height:180.75pt" o:ole="" o:bordertopcolor="this" o:borderleftcolor="this" o:borderbottomcolor="this" o:borderrightcolor="this">
                  <v:imagedata r:id="rId17" o:title=""/>
                  <w10:bordertop type="single" width="4"/>
                </v:shape>
                <o:OLEObject Type="Embed" ProgID="Excel.Chart.8" ShapeID="_x0000_i1027" DrawAspect="Content" ObjectID="_1394883059" r:id="rId18">
                  <o:FieldCodes>\s</o:FieldCodes>
                </o:OLEObject>
              </w:object>
            </w:r>
          </w:p>
        </w:tc>
      </w:tr>
      <w:tr w:rsidR="00000000">
        <w:tblPrEx>
          <w:tblCellMar>
            <w:top w:w="0" w:type="dxa"/>
            <w:bottom w:w="0" w:type="dxa"/>
          </w:tblCellMar>
        </w:tblPrEx>
        <w:trPr>
          <w:cantSplit/>
        </w:trPr>
        <w:tc>
          <w:tcPr>
            <w:tcW w:w="9356" w:type="dxa"/>
            <w:tcBorders>
              <w:top w:val="nil"/>
              <w:left w:val="nil"/>
              <w:bottom w:val="nil"/>
              <w:right w:val="nil"/>
            </w:tcBorders>
          </w:tcPr>
          <w:p w:rsidR="00000000" w:rsidRDefault="00000000">
            <w:pPr>
              <w:pStyle w:val="Heading2"/>
            </w:pPr>
            <w:r>
              <w:t>Figure 4</w:t>
            </w:r>
          </w:p>
          <w:p w:rsidR="00000000" w:rsidRDefault="00000000">
            <w:pPr>
              <w:pStyle w:val="Heading2"/>
            </w:pPr>
            <w:r>
              <w:t>Distribution of HIV cases by gender for the period 1993-2003</w:t>
            </w:r>
          </w:p>
        </w:tc>
      </w:tr>
      <w:tr w:rsidR="00000000">
        <w:tblPrEx>
          <w:tblCellMar>
            <w:top w:w="0" w:type="dxa"/>
            <w:bottom w:w="0" w:type="dxa"/>
          </w:tblCellMar>
        </w:tblPrEx>
        <w:trPr>
          <w:cantSplit/>
        </w:trPr>
        <w:tc>
          <w:tcPr>
            <w:tcW w:w="9356" w:type="dxa"/>
            <w:tcBorders>
              <w:top w:val="nil"/>
              <w:bottom w:val="nil"/>
            </w:tcBorders>
          </w:tcPr>
          <w:p w:rsidR="00000000" w:rsidRDefault="00000000">
            <w:pPr>
              <w:jc w:val="center"/>
            </w:pPr>
            <w:r>
              <w:object w:dxaOrig="5160" w:dyaOrig="2790">
                <v:shape id="_x0000_i1028" type="#_x0000_t75" style="width:258pt;height:139.5pt" o:ole="">
                  <v:imagedata r:id="rId19" o:title=""/>
                </v:shape>
                <o:OLEObject Type="Embed" ProgID="Excel.Chart.8" ShapeID="_x0000_i1028" DrawAspect="Content" ObjectID="_1394883060" r:id="rId20">
                  <o:FieldCodes>\s</o:FieldCodes>
                </o:OLEObject>
              </w:object>
            </w:r>
          </w:p>
        </w:tc>
      </w:tr>
    </w:tbl>
    <w:p w:rsidR="00000000" w:rsidRDefault="00000000">
      <w:pPr>
        <w:pStyle w:val="Heading4"/>
        <w:spacing w:before="240"/>
      </w:pPr>
      <w:r>
        <w:t>Situation of STIs</w:t>
      </w:r>
    </w:p>
    <w:p w:rsidR="00000000" w:rsidRDefault="00000000">
      <w:pPr>
        <w:pStyle w:val="ParaNo"/>
        <w:ind w:left="0" w:firstLine="0"/>
        <w:rPr>
          <w:lang w:val="en-GB"/>
        </w:rPr>
      </w:pPr>
      <w:r>
        <w:rPr>
          <w:lang w:val="en-GB"/>
        </w:rPr>
        <w:t>The data on STI incidence and prevalence in Albania are unreliable.  The National AIDS Programme found during its assessment in 2001-2002 that there were significant discrepancies between those diagnosed and cases receiving the treatment, and the reported number of STIs.</w:t>
      </w:r>
    </w:p>
    <w:p w:rsidR="00000000" w:rsidRDefault="00000000">
      <w:pPr>
        <w:pStyle w:val="ParaNo"/>
        <w:ind w:left="0" w:firstLine="0"/>
        <w:rPr>
          <w:lang w:val="en-GB"/>
        </w:rPr>
      </w:pPr>
      <w:r>
        <w:rPr>
          <w:lang w:val="en-GB"/>
        </w:rPr>
        <w:t>It was noticed in one district that one specialist had provided care to five patients with gonorrhoea in a time when the whole district did not report any cases for the same period.</w:t>
      </w:r>
    </w:p>
    <w:p w:rsidR="00000000" w:rsidRDefault="00000000">
      <w:pPr>
        <w:pStyle w:val="ParaNo"/>
        <w:ind w:left="0" w:firstLine="0"/>
        <w:rPr>
          <w:lang w:val="en-GB"/>
        </w:rPr>
      </w:pPr>
      <w:r>
        <w:rPr>
          <w:lang w:val="en-GB"/>
        </w:rPr>
        <w:t>Most of the cases are clinically diagnosed, but even so there are inaccuracies.</w:t>
      </w:r>
    </w:p>
    <w:p w:rsidR="00000000" w:rsidRDefault="00000000">
      <w:pPr>
        <w:pStyle w:val="ParaNo"/>
        <w:ind w:left="0" w:firstLine="0"/>
        <w:rPr>
          <w:lang w:val="en-GB"/>
        </w:rPr>
      </w:pPr>
      <w:r>
        <w:rPr>
          <w:lang w:val="en-GB"/>
        </w:rPr>
        <w:t>Infections due to chlamydia were reported recently.</w:t>
      </w:r>
    </w:p>
    <w:p w:rsidR="00000000" w:rsidRDefault="00000000">
      <w:pPr>
        <w:pStyle w:val="Heading2"/>
      </w:pPr>
      <w:r>
        <w:br w:type="page"/>
        <w:t>Table 44</w:t>
      </w:r>
    </w:p>
    <w:p w:rsidR="00000000" w:rsidRDefault="00000000">
      <w:pPr>
        <w:pStyle w:val="Heading2"/>
      </w:pPr>
      <w:r>
        <w:t>The situation of the main sexually transmitted infections (STIs) in Albania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800000"/>
          <w:insideV w:val="single" w:sz="4" w:space="0" w:color="800000"/>
        </w:tblBorders>
        <w:tblLayout w:type="fixed"/>
        <w:tblLook w:val="01E0" w:firstRow="1" w:lastRow="1" w:firstColumn="1" w:lastColumn="1" w:noHBand="0" w:noVBand="0"/>
      </w:tblPr>
      <w:tblGrid>
        <w:gridCol w:w="1920"/>
        <w:gridCol w:w="7436"/>
      </w:tblGrid>
      <w:tr w:rsidR="00000000">
        <w:tblPrEx>
          <w:tblCellMar>
            <w:top w:w="0" w:type="dxa"/>
            <w:bottom w:w="0" w:type="dxa"/>
          </w:tblCellMar>
        </w:tblPrEx>
        <w:tc>
          <w:tcPr>
            <w:tcW w:w="1920" w:type="dxa"/>
            <w:tcBorders>
              <w:top w:val="single" w:sz="4" w:space="0" w:color="auto"/>
              <w:bottom w:val="nil"/>
              <w:right w:val="single" w:sz="4" w:space="0" w:color="auto"/>
            </w:tcBorders>
          </w:tcPr>
          <w:p w:rsidR="00000000" w:rsidRDefault="00000000">
            <w:pPr>
              <w:pStyle w:val="Header"/>
              <w:tabs>
                <w:tab w:val="clear" w:pos="4320"/>
                <w:tab w:val="clear" w:pos="8640"/>
              </w:tabs>
              <w:spacing w:before="60" w:after="60"/>
              <w:rPr>
                <w:iCs/>
              </w:rPr>
            </w:pPr>
            <w:r>
              <w:br w:type="page"/>
            </w:r>
            <w:r>
              <w:rPr>
                <w:iCs/>
              </w:rPr>
              <w:t>Syphilis</w:t>
            </w:r>
          </w:p>
        </w:tc>
        <w:tc>
          <w:tcPr>
            <w:tcW w:w="7436" w:type="dxa"/>
            <w:tcBorders>
              <w:top w:val="single" w:sz="4" w:space="0" w:color="auto"/>
              <w:left w:val="single" w:sz="4" w:space="0" w:color="auto"/>
              <w:bottom w:val="nil"/>
            </w:tcBorders>
          </w:tcPr>
          <w:p w:rsidR="00000000" w:rsidRDefault="00000000">
            <w:pPr>
              <w:pStyle w:val="Header"/>
              <w:tabs>
                <w:tab w:val="clear" w:pos="4320"/>
                <w:tab w:val="clear" w:pos="8640"/>
              </w:tabs>
              <w:spacing w:before="60" w:after="60"/>
            </w:pPr>
            <w:r>
              <w:t>Primary syphilis was eradicated in Albania in 1970 and the first case reappeared only in 1995.  From 1995 until 2003, a total of approximately 135 patients was diagnosed and reported.</w:t>
            </w:r>
          </w:p>
        </w:tc>
      </w:tr>
      <w:tr w:rsidR="00000000">
        <w:tblPrEx>
          <w:tblCellMar>
            <w:top w:w="0" w:type="dxa"/>
            <w:bottom w:w="0" w:type="dxa"/>
          </w:tblCellMar>
        </w:tblPrEx>
        <w:tc>
          <w:tcPr>
            <w:tcW w:w="1920" w:type="dxa"/>
            <w:tcBorders>
              <w:top w:val="nil"/>
              <w:bottom w:val="nil"/>
              <w:right w:val="single" w:sz="4" w:space="0" w:color="auto"/>
            </w:tcBorders>
          </w:tcPr>
          <w:p w:rsidR="00000000" w:rsidRDefault="00000000">
            <w:pPr>
              <w:spacing w:before="60" w:after="60"/>
              <w:rPr>
                <w:iCs/>
              </w:rPr>
            </w:pPr>
            <w:r>
              <w:rPr>
                <w:iCs/>
              </w:rPr>
              <w:t>Gonorrhoea</w:t>
            </w:r>
          </w:p>
        </w:tc>
        <w:tc>
          <w:tcPr>
            <w:tcW w:w="7436" w:type="dxa"/>
            <w:tcBorders>
              <w:top w:val="nil"/>
              <w:left w:val="single" w:sz="4" w:space="0" w:color="auto"/>
              <w:bottom w:val="nil"/>
            </w:tcBorders>
          </w:tcPr>
          <w:p w:rsidR="00000000" w:rsidRDefault="00000000">
            <w:pPr>
              <w:pStyle w:val="Header"/>
              <w:tabs>
                <w:tab w:val="clear" w:pos="4320"/>
                <w:tab w:val="clear" w:pos="8640"/>
              </w:tabs>
              <w:spacing w:before="60" w:after="60"/>
            </w:pPr>
            <w:r>
              <w:t>Data about the gonorrhoea situation are patchy and incomplete.  The highest annual incidence (with 230 cases) was reported in the year 1982.  After 1990, a number varying from few to 30 is reported annually, but this is due to underreporting.</w:t>
            </w:r>
          </w:p>
        </w:tc>
      </w:tr>
      <w:tr w:rsidR="00000000">
        <w:tblPrEx>
          <w:tblCellMar>
            <w:top w:w="0" w:type="dxa"/>
            <w:bottom w:w="0" w:type="dxa"/>
          </w:tblCellMar>
        </w:tblPrEx>
        <w:tc>
          <w:tcPr>
            <w:tcW w:w="1920" w:type="dxa"/>
            <w:tcBorders>
              <w:top w:val="nil"/>
              <w:bottom w:val="single" w:sz="4" w:space="0" w:color="auto"/>
              <w:right w:val="single" w:sz="4" w:space="0" w:color="auto"/>
            </w:tcBorders>
          </w:tcPr>
          <w:p w:rsidR="00000000" w:rsidRDefault="00000000">
            <w:pPr>
              <w:spacing w:before="60" w:after="60"/>
              <w:rPr>
                <w:iCs/>
              </w:rPr>
            </w:pPr>
            <w:r>
              <w:rPr>
                <w:iCs/>
              </w:rPr>
              <w:t>Trichomoniasis</w:t>
            </w:r>
          </w:p>
        </w:tc>
        <w:tc>
          <w:tcPr>
            <w:tcW w:w="7436" w:type="dxa"/>
            <w:tcBorders>
              <w:top w:val="nil"/>
              <w:left w:val="single" w:sz="4" w:space="0" w:color="auto"/>
            </w:tcBorders>
          </w:tcPr>
          <w:p w:rsidR="00000000" w:rsidRDefault="00000000">
            <w:pPr>
              <w:pStyle w:val="Header"/>
              <w:tabs>
                <w:tab w:val="clear" w:pos="4320"/>
                <w:tab w:val="clear" w:pos="8640"/>
              </w:tabs>
              <w:spacing w:before="60" w:after="60"/>
            </w:pPr>
            <w:r>
              <w:t>There are not good quantitative data for the presence of the infection from trichomonas vaginalis.  Qualitative reports from gynaecologists show that from 50 to 70 per cent of women attending clinics with gynaecological symptoms suffer from trichomoniasis.  Further studies are needed to establish with certainty the situation.</w:t>
            </w:r>
          </w:p>
        </w:tc>
      </w:tr>
    </w:tbl>
    <w:p w:rsidR="00000000" w:rsidRDefault="00000000">
      <w:pPr>
        <w:pStyle w:val="Heading4"/>
        <w:spacing w:before="240"/>
      </w:pPr>
      <w:r>
        <w:t>Biological determinants of HIV/AIDS and STI transmission</w:t>
      </w:r>
    </w:p>
    <w:p w:rsidR="00000000" w:rsidRDefault="00000000">
      <w:pPr>
        <w:pStyle w:val="Heading4"/>
      </w:pPr>
      <w:r>
        <w:t>Sentinel surveys</w:t>
      </w:r>
    </w:p>
    <w:p w:rsidR="00000000" w:rsidRDefault="00000000">
      <w:pPr>
        <w:pStyle w:val="ParaNo"/>
        <w:ind w:left="0" w:firstLine="0"/>
        <w:rPr>
          <w:lang w:val="en-GB"/>
        </w:rPr>
      </w:pPr>
      <w:r>
        <w:rPr>
          <w:lang w:val="en-GB"/>
        </w:rPr>
        <w:t>During the period 1998-2001, three sentinel surveys were conducted among the following population subgroups:</w:t>
      </w:r>
    </w:p>
    <w:p w:rsidR="00000000" w:rsidRDefault="00000000">
      <w:pPr>
        <w:numPr>
          <w:ilvl w:val="0"/>
          <w:numId w:val="205"/>
        </w:numPr>
      </w:pPr>
      <w:r>
        <w:t>Women attending gynaecological clinics with STI-related symptoms and requests for pregnancy interruption (abortion);</w:t>
      </w:r>
    </w:p>
    <w:p w:rsidR="00000000" w:rsidRDefault="00000000">
      <w:pPr>
        <w:numPr>
          <w:ilvl w:val="0"/>
          <w:numId w:val="205"/>
        </w:numPr>
      </w:pPr>
      <w:r>
        <w:t>Drafted recruits;</w:t>
      </w:r>
    </w:p>
    <w:p w:rsidR="00000000" w:rsidRDefault="00000000">
      <w:pPr>
        <w:numPr>
          <w:ilvl w:val="0"/>
          <w:numId w:val="205"/>
        </w:numPr>
      </w:pPr>
      <w:r>
        <w:t>Drug users seeking medical care at the Toxicology Unit of the Central Military Hospital (the only clinic where drug users receive specialized treatment).</w:t>
      </w:r>
    </w:p>
    <w:p w:rsidR="00000000" w:rsidRDefault="00000000">
      <w:pPr>
        <w:pStyle w:val="ParaNo"/>
        <w:ind w:left="0" w:firstLine="0"/>
        <w:rPr>
          <w:lang w:val="en-GB"/>
        </w:rPr>
      </w:pPr>
      <w:r>
        <w:rPr>
          <w:lang w:val="en-GB"/>
        </w:rPr>
        <w:t>No HIV-positive case was diagnosed for the whole period during which the sentinel surveys were conducted and this finding confirmed to a large extent the present epidemiological situation.</w:t>
      </w:r>
    </w:p>
    <w:p w:rsidR="00000000" w:rsidRDefault="00000000">
      <w:pPr>
        <w:pStyle w:val="ParaNo"/>
        <w:ind w:left="0" w:firstLine="0"/>
        <w:rPr>
          <w:lang w:val="en-GB"/>
        </w:rPr>
      </w:pPr>
      <w:r>
        <w:rPr>
          <w:lang w:val="en-GB"/>
        </w:rPr>
        <w:t>The staff of the National AIDS Programme restarted the sentinel survey because of the recent changes in the epidemiological situation (increasing number of diagnosed and reported cases, penetration of infection among the drug users population, etc.) and the following were included:</w:t>
      </w:r>
    </w:p>
    <w:p w:rsidR="00000000" w:rsidRDefault="00000000">
      <w:pPr>
        <w:numPr>
          <w:ilvl w:val="0"/>
          <w:numId w:val="205"/>
        </w:numPr>
      </w:pPr>
      <w:r>
        <w:t>Drug users attending medical care and involved in harm reduction programmes;</w:t>
      </w:r>
    </w:p>
    <w:p w:rsidR="00000000" w:rsidRDefault="00000000">
      <w:pPr>
        <w:numPr>
          <w:ilvl w:val="0"/>
          <w:numId w:val="205"/>
        </w:numPr>
      </w:pPr>
      <w:r>
        <w:t>Trafficked women and children living in shelters all over the country;</w:t>
      </w:r>
    </w:p>
    <w:p w:rsidR="00000000" w:rsidRDefault="00000000">
      <w:pPr>
        <w:numPr>
          <w:ilvl w:val="0"/>
          <w:numId w:val="205"/>
        </w:numPr>
      </w:pPr>
      <w:r>
        <w:br w:type="page"/>
        <w:t>Female sex workers;</w:t>
      </w:r>
    </w:p>
    <w:p w:rsidR="00000000" w:rsidRDefault="00000000">
      <w:pPr>
        <w:numPr>
          <w:ilvl w:val="0"/>
          <w:numId w:val="205"/>
        </w:numPr>
      </w:pPr>
      <w:r>
        <w:t>Laboratory surveillance for syphilis, gonococcus, and chlamydia has been promoted to be established in Tirana, Durres and Vlora.</w:t>
      </w:r>
    </w:p>
    <w:p w:rsidR="00000000" w:rsidRDefault="00000000">
      <w:pPr>
        <w:pStyle w:val="Heading4"/>
      </w:pPr>
      <w:r>
        <w:t>Cross-sectional surveys</w:t>
      </w:r>
    </w:p>
    <w:p w:rsidR="00000000" w:rsidRDefault="00000000">
      <w:pPr>
        <w:pStyle w:val="ParaNo"/>
        <w:ind w:left="0" w:firstLine="0"/>
        <w:rPr>
          <w:lang w:val="en-GB"/>
        </w:rPr>
      </w:pPr>
      <w:r>
        <w:rPr>
          <w:lang w:val="en-GB"/>
        </w:rPr>
        <w:t>Most of the quantitative data related to the behaviour of Albanians come from two cross</w:t>
      </w:r>
      <w:r>
        <w:rPr>
          <w:lang w:val="en-GB"/>
        </w:rPr>
        <w:noBreakHyphen/>
        <w:t>sectional surveys:</w:t>
      </w:r>
    </w:p>
    <w:p w:rsidR="00000000" w:rsidRDefault="00000000">
      <w:pPr>
        <w:numPr>
          <w:ilvl w:val="0"/>
          <w:numId w:val="205"/>
        </w:numPr>
      </w:pPr>
      <w:r>
        <w:t>The Multiple Indicator Cluster Survey (MICS, National Institute of Statistics, 2000);</w:t>
      </w:r>
    </w:p>
    <w:p w:rsidR="00000000" w:rsidRDefault="00000000">
      <w:pPr>
        <w:numPr>
          <w:ilvl w:val="0"/>
          <w:numId w:val="205"/>
        </w:numPr>
      </w:pPr>
      <w:r>
        <w:t>Reproductive and Family-Health-related Issues in Albania - a KABP Survey (International Centre for Migration and Health, 2000).</w:t>
      </w:r>
    </w:p>
    <w:p w:rsidR="00000000" w:rsidRDefault="00000000">
      <w:r>
        <w:t>The findings from these studies show the level of knowledge, attitude, beliefs and practices in relation to HIV/AIDS to be inappropriate (see below).  These studies are not performed on a regular basis and there was also significant bias and misreporting related to the findings of such surveys.</w:t>
      </w:r>
    </w:p>
    <w:p w:rsidR="00000000" w:rsidRDefault="00000000">
      <w:pPr>
        <w:pStyle w:val="ParaNo"/>
        <w:ind w:left="0" w:firstLine="0"/>
        <w:rPr>
          <w:lang w:val="en-GB"/>
        </w:rPr>
      </w:pPr>
      <w:r>
        <w:rPr>
          <w:lang w:val="en-GB"/>
        </w:rPr>
        <w:t xml:space="preserve">Whereas 92 per cent of women interviewed in MICS said they had heard about AIDS, only 53 per cent of those interviewed in the context of KABP said they had.  Sources of information, according to KABP, are, in decreasing order, TV, radio, newspapers and </w:t>
      </w:r>
      <w:r>
        <w:rPr>
          <w:lang w:val="en-GB"/>
        </w:rPr>
        <w:br/>
        <w:t>friends.</w:t>
      </w:r>
    </w:p>
    <w:p w:rsidR="00000000" w:rsidRDefault="00000000">
      <w:pPr>
        <w:pStyle w:val="ParaNo"/>
        <w:ind w:left="0" w:firstLine="0"/>
        <w:rPr>
          <w:lang w:val="en-GB"/>
        </w:rPr>
      </w:pPr>
      <w:r>
        <w:rPr>
          <w:lang w:val="en-GB"/>
        </w:rPr>
        <w:t>However, the level of knowledge seems inadequate.  During MICS, only 25 per cent of women (out of 5,456 interviewed) could correctly identify all three ways of HIV transmission and only 0.2 per cent could correctly identify three misconceptions regarding HIV transmission.  During KABP, 20 per cent of respondents said shaking hands was risky and another 50 per cent that kissing a person with HIV/AIDS constituted a great risk.  Another 83 per cent thought that donating blood was risky for getting HIV/AIDS.</w:t>
      </w:r>
    </w:p>
    <w:p w:rsidR="00000000" w:rsidRDefault="00000000">
      <w:pPr>
        <w:pStyle w:val="Heading4"/>
      </w:pPr>
      <w:r>
        <w:t>Qualitative studies and assessments</w:t>
      </w:r>
    </w:p>
    <w:p w:rsidR="00000000" w:rsidRDefault="00000000">
      <w:pPr>
        <w:pStyle w:val="ParaNo"/>
        <w:ind w:left="0" w:firstLine="0"/>
        <w:rPr>
          <w:lang w:val="en-GB"/>
        </w:rPr>
      </w:pPr>
      <w:r>
        <w:rPr>
          <w:lang w:val="en-GB"/>
        </w:rPr>
        <w:t>There have been some main attempts to perform qualitative studies and/or assessments in Albania:</w:t>
      </w:r>
    </w:p>
    <w:p w:rsidR="00000000" w:rsidRDefault="00000000">
      <w:pPr>
        <w:numPr>
          <w:ilvl w:val="0"/>
          <w:numId w:val="205"/>
        </w:numPr>
      </w:pPr>
      <w:r>
        <w:t>The Rapid Assessment and Response (RAR) with Especially Vulnerable Young People (Institute of Public Health and UNICEF, 2002);</w:t>
      </w:r>
    </w:p>
    <w:p w:rsidR="00000000" w:rsidRDefault="00000000">
      <w:pPr>
        <w:numPr>
          <w:ilvl w:val="0"/>
          <w:numId w:val="205"/>
        </w:numPr>
      </w:pPr>
      <w:r>
        <w:t>The In-Depth Behavioural Qualitative Research with Persons Especially Vulnerable To HIV/AIDS and STDs (Institute of Public Opinion Studies, 2003).</w:t>
      </w:r>
    </w:p>
    <w:p w:rsidR="00000000" w:rsidRDefault="00000000">
      <w:r>
        <w:t>Whereas the final reports of the last study has not yet been produced, the information from RAR represents the only available data.</w:t>
      </w:r>
    </w:p>
    <w:p w:rsidR="00000000" w:rsidRDefault="00000000">
      <w:pPr>
        <w:pStyle w:val="Heading4"/>
      </w:pPr>
      <w:r>
        <w:br w:type="page"/>
        <w:t>Drug users</w:t>
      </w:r>
    </w:p>
    <w:p w:rsidR="00000000" w:rsidRDefault="00000000">
      <w:pPr>
        <w:pStyle w:val="ParaNo"/>
        <w:ind w:left="0" w:firstLine="0"/>
        <w:rPr>
          <w:lang w:val="en-GB"/>
        </w:rPr>
      </w:pPr>
      <w:r>
        <w:rPr>
          <w:lang w:val="en-GB"/>
        </w:rPr>
        <w:t>It has been shown that large numbers of drug users share needles, and they experience severe health problems (including overdose).  Moreover, they have multiple sexual partners (over 50 per cent of the drug users interviewed in Shkodra had 6-10 sex partners last year), do not use condoms and frequently have sex under the influence of drugs.</w:t>
      </w:r>
    </w:p>
    <w:p w:rsidR="00000000" w:rsidRDefault="00000000">
      <w:pPr>
        <w:pStyle w:val="Heading4"/>
      </w:pPr>
      <w:r>
        <w:t>Illicit sex labour</w:t>
      </w:r>
    </w:p>
    <w:p w:rsidR="00000000" w:rsidRDefault="00000000">
      <w:pPr>
        <w:pStyle w:val="ParaNo"/>
        <w:ind w:left="0" w:firstLine="0"/>
        <w:rPr>
          <w:lang w:val="en-GB"/>
        </w:rPr>
      </w:pPr>
      <w:r>
        <w:rPr>
          <w:lang w:val="en-GB"/>
        </w:rPr>
        <w:t>They had low level of awareness about HIV/AIDS and STIs, 90 per cent of them did not always used a condom with clients, 80 per cent of them contracted a sexually transmitted infection in her lifetime, most of them were physically and mentally abused.  They perceive themselves to be at risk for contracting HIV.  A finding from another survey is expected to provide in-depth information about the perceptions and feelings of the representatives of vulnerable and especially vulnerable population groups, underlying causes of vulnerability, etc.</w:t>
      </w:r>
    </w:p>
    <w:p w:rsidR="00000000" w:rsidRDefault="00000000">
      <w:pPr>
        <w:pStyle w:val="Heading4"/>
      </w:pPr>
      <w:r>
        <w:t>Social issues and cultural differences</w:t>
      </w:r>
    </w:p>
    <w:p w:rsidR="00000000" w:rsidRDefault="00000000">
      <w:pPr>
        <w:pStyle w:val="ParaNo"/>
        <w:ind w:left="0" w:firstLine="0"/>
        <w:rPr>
          <w:lang w:val="en-GB"/>
        </w:rPr>
      </w:pPr>
      <w:r>
        <w:rPr>
          <w:lang w:val="en-GB"/>
        </w:rPr>
        <w:t>There are some social and cultural differences between urban and rural areas of the country.  They have not yet been fully studied and exact differences are not fully clear, but one can mention:</w:t>
      </w:r>
    </w:p>
    <w:p w:rsidR="00000000" w:rsidRDefault="00000000">
      <w:pPr>
        <w:numPr>
          <w:ilvl w:val="0"/>
          <w:numId w:val="206"/>
        </w:numPr>
      </w:pPr>
      <w:r>
        <w:t>Extended patriarchal families in some areas;</w:t>
      </w:r>
    </w:p>
    <w:p w:rsidR="00000000" w:rsidRDefault="00000000">
      <w:pPr>
        <w:numPr>
          <w:ilvl w:val="0"/>
          <w:numId w:val="206"/>
        </w:numPr>
      </w:pPr>
      <w:r>
        <w:t>Cases of women rights violation and low socio-economic status of women;</w:t>
      </w:r>
    </w:p>
    <w:p w:rsidR="00000000" w:rsidRDefault="00000000">
      <w:pPr>
        <w:numPr>
          <w:ilvl w:val="0"/>
          <w:numId w:val="206"/>
        </w:numPr>
      </w:pPr>
      <w:r>
        <w:t>Negotiation almost absent in rural areas;</w:t>
      </w:r>
    </w:p>
    <w:p w:rsidR="00000000" w:rsidRDefault="00000000">
      <w:pPr>
        <w:numPr>
          <w:ilvl w:val="0"/>
          <w:numId w:val="206"/>
        </w:numPr>
      </w:pPr>
      <w:r>
        <w:t>Early and arranged marriages (mainly in the rural areas);</w:t>
      </w:r>
    </w:p>
    <w:p w:rsidR="00000000" w:rsidRDefault="00000000">
      <w:pPr>
        <w:numPr>
          <w:ilvl w:val="0"/>
          <w:numId w:val="206"/>
        </w:numPr>
      </w:pPr>
      <w:r>
        <w:t>Rural-urban migration;</w:t>
      </w:r>
    </w:p>
    <w:p w:rsidR="00000000" w:rsidRDefault="00000000">
      <w:pPr>
        <w:numPr>
          <w:ilvl w:val="0"/>
          <w:numId w:val="206"/>
        </w:numPr>
      </w:pPr>
      <w:r>
        <w:t>Premarital and extramarital sex (rural areas having a more punitive attitude towards these phenomena);</w:t>
      </w:r>
    </w:p>
    <w:p w:rsidR="00000000" w:rsidRDefault="00000000">
      <w:pPr>
        <w:numPr>
          <w:ilvl w:val="0"/>
          <w:numId w:val="206"/>
        </w:numPr>
      </w:pPr>
      <w:r>
        <w:t>General levels of knowledge, less appropriate attitudes and practices (being more prominent in the rural parts of the country), etc.</w:t>
      </w:r>
    </w:p>
    <w:p w:rsidR="00000000" w:rsidRDefault="00000000">
      <w:pPr>
        <w:pStyle w:val="Heading3"/>
        <w:rPr>
          <w:b w:val="0"/>
          <w:u w:val="single"/>
        </w:rPr>
      </w:pPr>
      <w:r>
        <w:t>Average life expectancy of Albanian males and females</w:t>
      </w:r>
    </w:p>
    <w:p w:rsidR="00000000" w:rsidRDefault="00000000">
      <w:pPr>
        <w:pStyle w:val="ParaNo"/>
        <w:ind w:left="0" w:firstLine="0"/>
        <w:rPr>
          <w:lang w:val="en-GB"/>
        </w:rPr>
      </w:pPr>
      <w:r>
        <w:rPr>
          <w:lang w:val="en-GB"/>
        </w:rPr>
        <w:t>With regard to the average age, according to the INSTAT calculations for the year 2000, it was 71.5 per cent for males and 78.1 per cent for females, slightly inferior to the European average.</w:t>
      </w:r>
    </w:p>
    <w:p w:rsidR="00000000" w:rsidRDefault="00000000">
      <w:pPr>
        <w:pStyle w:val="Heading3"/>
      </w:pPr>
      <w:r>
        <w:t>Health-care policy</w:t>
      </w:r>
    </w:p>
    <w:p w:rsidR="00000000" w:rsidRDefault="00000000">
      <w:pPr>
        <w:pStyle w:val="ParaNo"/>
        <w:ind w:left="0" w:firstLine="0"/>
        <w:rPr>
          <w:lang w:val="en-GB"/>
        </w:rPr>
      </w:pPr>
      <w:r>
        <w:rPr>
          <w:lang w:val="en-GB"/>
        </w:rPr>
        <w:t>In October 2002, the Ministry of Health launched the 10-year strategy draft of the Albanian health-care system.  In the drafting of such a document, the orientations of WHO for the primary health-care service were taken into consideration.</w:t>
      </w:r>
    </w:p>
    <w:p w:rsidR="00000000" w:rsidRDefault="00000000">
      <w:pPr>
        <w:pStyle w:val="ParaNo"/>
        <w:ind w:left="0" w:firstLine="0"/>
        <w:rPr>
          <w:lang w:val="en-GB"/>
        </w:rPr>
      </w:pPr>
      <w:r>
        <w:rPr>
          <w:lang w:val="en-GB"/>
        </w:rPr>
        <w:t>In the primary health-care service sector the goal is the improvement of access to the basic ambulatory services by filling the health-care map of the KSHP with medicare centres and ambulatory services.</w:t>
      </w:r>
    </w:p>
    <w:p w:rsidR="00000000" w:rsidRDefault="00000000">
      <w:pPr>
        <w:pStyle w:val="ParaNo"/>
        <w:ind w:left="0" w:firstLine="0"/>
        <w:rPr>
          <w:lang w:val="en-GB"/>
        </w:rPr>
      </w:pPr>
      <w:r>
        <w:rPr>
          <w:lang w:val="en-GB"/>
        </w:rPr>
        <w:t>Along with intervention to fill the institutional map, to restructure the infrastructure of the buildings and assets, and motivation and formation of the personnel, etc., objectives include the development of unified protocols and standards for prevention and curative activities as well as information for patients.  KSHP shall be the entering point of the system and play the role of the “goalkeeper” to avoid the treatment of patients directly in hospital institutions whose service has a much higher cost.</w:t>
      </w:r>
    </w:p>
    <w:p w:rsidR="00000000" w:rsidRDefault="00000000">
      <w:pPr>
        <w:pStyle w:val="ParaNo"/>
        <w:ind w:left="0" w:firstLine="0"/>
        <w:rPr>
          <w:lang w:val="en-GB"/>
        </w:rPr>
      </w:pPr>
      <w:r>
        <w:rPr>
          <w:lang w:val="en-GB"/>
        </w:rPr>
        <w:t>By ensuring the role of primary care in the hospital services, so as to limit the use of services with higher costs, the improvement of the distribution and use of material, human and financial resources will be encouraged.</w:t>
      </w:r>
    </w:p>
    <w:p w:rsidR="00000000" w:rsidRDefault="00000000">
      <w:pPr>
        <w:pStyle w:val="ParaNo"/>
        <w:ind w:left="0" w:firstLine="0"/>
        <w:rPr>
          <w:bCs/>
          <w:lang w:val="en-GB"/>
        </w:rPr>
      </w:pPr>
      <w:r>
        <w:rPr>
          <w:lang w:val="en-GB"/>
        </w:rPr>
        <w:t>The drafting of a strategy for the universal iodization of salt is under way and the elimination of iodine insufficiency, as well as the establishment of the national committee on such issue, has led to a collection of laws and ordinances in the contagious diseases field.  The epidemiological situation of the contagious diseases is monitored to keep under control possible epidemics.  Necessary measures have been taken for the unification of the sanitary procedures in ports in compliance with the international regulations.</w:t>
      </w:r>
    </w:p>
    <w:p w:rsidR="00000000" w:rsidRDefault="00000000">
      <w:pPr>
        <w:pStyle w:val="ParaNo"/>
        <w:ind w:left="0" w:firstLine="0"/>
        <w:rPr>
          <w:lang w:val="en-GB"/>
        </w:rPr>
      </w:pPr>
      <w:r>
        <w:rPr>
          <w:lang w:val="en-GB"/>
        </w:rPr>
        <w:t>Complete coverage (100 per cent) of the need for vaccines is assured by the programme EPIT, and for the first time the Ministry of Health has contributed to its financing.  In addition, for 2003 the introduction of a new vaccine (HIB haemophilic) should decrease the diseases and mortality from bronchitis and meningitis, mainly at the younger ages.</w:t>
      </w:r>
    </w:p>
    <w:p w:rsidR="00000000" w:rsidRDefault="00000000">
      <w:pPr>
        <w:pStyle w:val="ParaNo"/>
        <w:ind w:left="0" w:firstLine="0"/>
        <w:rPr>
          <w:lang w:val="en-GB"/>
        </w:rPr>
      </w:pPr>
      <w:r>
        <w:rPr>
          <w:lang w:val="en-GB"/>
        </w:rPr>
        <w:t>In the field of reproductive health, the goal is the improvement of the healthiness of women and children by bringing about the reduction of mortality and diseases of the newborn and mothers.</w:t>
      </w:r>
    </w:p>
    <w:p w:rsidR="00000000" w:rsidRDefault="00000000">
      <w:pPr>
        <w:pStyle w:val="ParaNo"/>
        <w:ind w:left="0" w:firstLine="0"/>
        <w:rPr>
          <w:lang w:val="en-GB"/>
        </w:rPr>
      </w:pPr>
      <w:r>
        <w:rPr>
          <w:lang w:val="en-GB"/>
        </w:rPr>
        <w:t>The situation of the mortality and diseases of pregnant women and children is regularly monitored for the improvement of their nutritional status by prescribing iron and folic acid supplements.  The protocols, standards and necessary documentation for prenatal care in the reproductive health services have been unified and distributed to the consultation centres for pregnant women and a booklet on the treatment of pregnant women and a booklet on mother and child health have been distributed in the 36 districts.  Parliament has passed the law on reproductive health and is in the process of drafting the sub-legal acts for the technical procedures for assisted reproduction and for the organization of the services for mothers and children who benefit from the free treatment.</w:t>
      </w:r>
    </w:p>
    <w:p w:rsidR="00000000" w:rsidRDefault="00000000">
      <w:pPr>
        <w:pStyle w:val="ParaNo"/>
        <w:ind w:left="0" w:firstLine="0"/>
        <w:rPr>
          <w:lang w:val="en-GB"/>
        </w:rPr>
      </w:pPr>
      <w:r>
        <w:rPr>
          <w:lang w:val="en-GB"/>
        </w:rPr>
        <w:t>In collaboration with WHO and other donors, all medicines for the treatment of the patients with tuberculosis are supplied, which makes possible the implementation of the directly observed treatment short course (DOTS) programme all over the country.</w:t>
      </w:r>
    </w:p>
    <w:p w:rsidR="00000000" w:rsidRDefault="00000000">
      <w:pPr>
        <w:pStyle w:val="ParaNo"/>
        <w:ind w:left="0" w:firstLine="0"/>
        <w:rPr>
          <w:lang w:val="en-GB"/>
        </w:rPr>
      </w:pPr>
      <w:r>
        <w:rPr>
          <w:lang w:val="en-GB"/>
        </w:rPr>
        <w:br w:type="page"/>
        <w:t>In the field of mental health, the policy document for the development of reform in the mental health field has been drafted and important steps have been taken in the direction of service to the community.</w:t>
      </w:r>
    </w:p>
    <w:p w:rsidR="00000000" w:rsidRDefault="00000000">
      <w:pPr>
        <w:pStyle w:val="Heading3"/>
      </w:pPr>
      <w:r>
        <w:t xml:space="preserve">Budget of the health-care system </w:t>
      </w:r>
    </w:p>
    <w:p w:rsidR="00000000" w:rsidRDefault="00000000">
      <w:pPr>
        <w:pStyle w:val="ParaNo"/>
        <w:ind w:left="0" w:firstLine="0"/>
        <w:rPr>
          <w:lang w:val="en-GB"/>
        </w:rPr>
      </w:pPr>
      <w:r>
        <w:rPr>
          <w:lang w:val="en-GB"/>
        </w:rPr>
        <w:t>Currently, one of the most important issues for the public health sector in Albania continues to be the form and quantity of its financing.</w:t>
      </w:r>
    </w:p>
    <w:p w:rsidR="00000000" w:rsidRDefault="00000000">
      <w:pPr>
        <w:pStyle w:val="ParaNo"/>
        <w:ind w:left="0" w:firstLine="0"/>
        <w:rPr>
          <w:lang w:val="en-GB"/>
        </w:rPr>
      </w:pPr>
      <w:r>
        <w:rPr>
          <w:lang w:val="en-GB"/>
        </w:rPr>
        <w:t>Such emphasis has found reflection in the engagements of the Government and is shown in political documents of the Ministry of Health and Government, such as the National Strategy for the Economic Development and Midterm Budget Programme for the sectors, where the increase of financing in the public sector in relation to GDP and the overall budget remains one of the significant indicators.</w:t>
      </w:r>
    </w:p>
    <w:p w:rsidR="00000000" w:rsidRDefault="00000000">
      <w:pPr>
        <w:pStyle w:val="ParaNo"/>
        <w:ind w:left="0" w:firstLine="0"/>
        <w:rPr>
          <w:lang w:val="en-GB"/>
        </w:rPr>
      </w:pPr>
      <w:r>
        <w:rPr>
          <w:lang w:val="en-GB"/>
        </w:rPr>
        <w:t>In concrete terms, for the year 2002, the financing of the public health-care sector from the consolidated State budget reached a total of 18 billion leks or 2.7 per cent of GDP.</w:t>
      </w:r>
    </w:p>
    <w:p w:rsidR="00000000" w:rsidRDefault="00000000">
      <w:pPr>
        <w:pStyle w:val="ParaNo"/>
        <w:ind w:left="0" w:firstLine="0"/>
        <w:rPr>
          <w:lang w:val="en-GB"/>
        </w:rPr>
      </w:pPr>
      <w:r>
        <w:rPr>
          <w:lang w:val="en-GB"/>
        </w:rPr>
        <w:t>For the year 2002, such financing reached approximately 9 per cent of the expenses for capital investments and approximately 12 per cent of current expenses.  Such a budget was reconsidered in the middle of 2002 as a result of some changes in the macrofiscal situation, by causing a decrease for the health sector, even though less marked than for other, non</w:t>
      </w:r>
      <w:r>
        <w:rPr>
          <w:lang w:val="en-GB"/>
        </w:rPr>
        <w:noBreakHyphen/>
        <w:t>social sectors.</w:t>
      </w:r>
    </w:p>
    <w:p w:rsidR="00000000" w:rsidRDefault="00000000">
      <w:pPr>
        <w:pStyle w:val="ParaNo"/>
        <w:ind w:left="0" w:firstLine="0"/>
        <w:rPr>
          <w:lang w:val="en-GB"/>
        </w:rPr>
      </w:pPr>
      <w:r>
        <w:rPr>
          <w:lang w:val="en-GB"/>
        </w:rPr>
        <w:t>With regard to financing for the year 2002 of services of primary health care and public health services, it should be emphasized that, in the decentralization process undertaken by the Government, the function of this level of care has been considered as a common power between the central Government (Ministry of Health) and local government.  This latter, as a result of some changes in the allocation procedures from the unconditional grant (a grant which in its major part serves for the financing of the operational services and maintenance of the primary health</w:t>
      </w:r>
      <w:r>
        <w:rPr>
          <w:lang w:val="en-GB"/>
        </w:rPr>
        <w:noBreakHyphen/>
        <w:t>care service), and with a low level of consciousness and sensibility about such issues, realized a sensible lowering of bed-financing with regard to expenses for the operation and maintenance of the health infrastructure.</w:t>
      </w:r>
    </w:p>
    <w:p w:rsidR="00000000" w:rsidRDefault="00000000">
      <w:pPr>
        <w:pStyle w:val="ParaNo"/>
        <w:ind w:left="0" w:firstLine="0"/>
        <w:rPr>
          <w:lang w:val="en-GB"/>
        </w:rPr>
      </w:pPr>
      <w:r>
        <w:rPr>
          <w:lang w:val="en-GB"/>
        </w:rPr>
        <w:t>Nevertheless, 2002 subsidies for such services reached over 31.7 per cent of the total sector subvention, where the major part was expenses for personnel, expenses for capital investments and transfers of the Government to the Insurance Institute for Healthcare for the subvention of the General Practitioner Service and a list of essential medicines for the non</w:t>
      </w:r>
      <w:r>
        <w:rPr>
          <w:lang w:val="en-GB"/>
        </w:rPr>
        <w:noBreakHyphen/>
        <w:t>active population (those not able to contribute to the health-care insurance scheme).</w:t>
      </w:r>
    </w:p>
    <w:p w:rsidR="00000000" w:rsidRDefault="00000000">
      <w:pPr>
        <w:pStyle w:val="ParaNo"/>
        <w:ind w:left="0" w:firstLine="0"/>
        <w:rPr>
          <w:lang w:val="en-GB"/>
        </w:rPr>
      </w:pPr>
      <w:r>
        <w:rPr>
          <w:lang w:val="en-GB"/>
        </w:rPr>
        <w:t>Compared to the subvention of the sector five years ago (1997), the health sector reached a total level of 6.26 billion leks, or approximately 1.8 per cent of GDP, showing a substantial growth of the subventions in 2002.  Compared with other social services, education, which in 1997 reached 3.3 per cent of GDP, in 2002 grew to 3.4 per cent of GDP.</w:t>
      </w:r>
    </w:p>
    <w:p w:rsidR="00000000" w:rsidRDefault="00000000">
      <w:pPr>
        <w:pStyle w:val="ParaNo"/>
        <w:ind w:left="0" w:firstLine="0"/>
        <w:rPr>
          <w:lang w:val="en-GB"/>
        </w:rPr>
      </w:pPr>
      <w:r>
        <w:rPr>
          <w:lang w:val="en-GB"/>
        </w:rPr>
        <w:br w:type="page"/>
        <w:t>The subvention of the health sector 10 years ago (1992) should be considered along with the political situation and consequent macroeconomic situation in the country, which, according to the data, reflected a sharp decrease of the economy, with GDP growth of minus 7.2 per cent and a yearly inflation rate of 226 per cent (the year with the highest increase for the entire period after 1990).</w:t>
      </w:r>
    </w:p>
    <w:p w:rsidR="00000000" w:rsidRDefault="00000000">
      <w:pPr>
        <w:pStyle w:val="ParaNo"/>
        <w:ind w:left="0" w:firstLine="0"/>
        <w:rPr>
          <w:lang w:val="en-GB"/>
        </w:rPr>
      </w:pPr>
      <w:r>
        <w:rPr>
          <w:lang w:val="en-GB"/>
        </w:rPr>
        <w:t>For this period, the total of public expenses in the health sector reached an estimated value of 3.4 per cent of GDP but nevertheless, such spending should be considered with regard to a recessive economy and an instable GDP, and may not serve as a basis for comparisons in the sector.</w:t>
      </w:r>
    </w:p>
    <w:p w:rsidR="00000000" w:rsidRDefault="00000000">
      <w:pPr>
        <w:pStyle w:val="Heading3"/>
      </w:pPr>
      <w:r>
        <w:t>Life and health of children</w:t>
      </w:r>
    </w:p>
    <w:p w:rsidR="00000000" w:rsidRDefault="00000000">
      <w:pPr>
        <w:pStyle w:val="Heading2"/>
      </w:pPr>
      <w:r>
        <w:t>Table 45</w:t>
      </w:r>
    </w:p>
    <w:p w:rsidR="00000000" w:rsidRDefault="00000000">
      <w:pPr>
        <w:pStyle w:val="Heading2"/>
      </w:pPr>
      <w:r>
        <w:t>Infant mortality rate (1993-2001)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0"/>
        <w:gridCol w:w="838"/>
        <w:gridCol w:w="838"/>
        <w:gridCol w:w="839"/>
        <w:gridCol w:w="838"/>
        <w:gridCol w:w="839"/>
        <w:gridCol w:w="838"/>
        <w:gridCol w:w="839"/>
        <w:gridCol w:w="838"/>
        <w:gridCol w:w="839"/>
      </w:tblGrid>
      <w:tr w:rsidR="00000000">
        <w:tblPrEx>
          <w:tblCellMar>
            <w:top w:w="0" w:type="dxa"/>
            <w:bottom w:w="0" w:type="dxa"/>
          </w:tblCellMar>
        </w:tblPrEx>
        <w:tc>
          <w:tcPr>
            <w:tcW w:w="1810" w:type="dxa"/>
            <w:tcBorders>
              <w:bottom w:val="single" w:sz="4" w:space="0" w:color="auto"/>
            </w:tcBorders>
          </w:tcPr>
          <w:p w:rsidR="00000000" w:rsidRDefault="00000000">
            <w:pPr>
              <w:spacing w:before="60" w:after="60"/>
              <w:rPr>
                <w:sz w:val="22"/>
              </w:rPr>
            </w:pPr>
          </w:p>
        </w:tc>
        <w:tc>
          <w:tcPr>
            <w:tcW w:w="838" w:type="dxa"/>
            <w:tcBorders>
              <w:bottom w:val="single" w:sz="4" w:space="0" w:color="auto"/>
            </w:tcBorders>
          </w:tcPr>
          <w:p w:rsidR="00000000" w:rsidRDefault="00000000">
            <w:pPr>
              <w:spacing w:before="60" w:after="60"/>
              <w:jc w:val="center"/>
              <w:rPr>
                <w:sz w:val="22"/>
              </w:rPr>
            </w:pPr>
            <w:r>
              <w:rPr>
                <w:sz w:val="22"/>
                <w:szCs w:val="32"/>
              </w:rPr>
              <w:t>1993</w:t>
            </w:r>
          </w:p>
        </w:tc>
        <w:tc>
          <w:tcPr>
            <w:tcW w:w="838" w:type="dxa"/>
            <w:tcBorders>
              <w:bottom w:val="single" w:sz="4" w:space="0" w:color="auto"/>
            </w:tcBorders>
          </w:tcPr>
          <w:p w:rsidR="00000000" w:rsidRDefault="00000000">
            <w:pPr>
              <w:spacing w:before="60" w:after="60"/>
              <w:jc w:val="center"/>
              <w:rPr>
                <w:sz w:val="22"/>
              </w:rPr>
            </w:pPr>
            <w:r>
              <w:rPr>
                <w:sz w:val="22"/>
              </w:rPr>
              <w:t>1994</w:t>
            </w:r>
          </w:p>
        </w:tc>
        <w:tc>
          <w:tcPr>
            <w:tcW w:w="839" w:type="dxa"/>
            <w:tcBorders>
              <w:bottom w:val="single" w:sz="4" w:space="0" w:color="auto"/>
            </w:tcBorders>
          </w:tcPr>
          <w:p w:rsidR="00000000" w:rsidRDefault="00000000">
            <w:pPr>
              <w:spacing w:before="60" w:after="60"/>
              <w:jc w:val="center"/>
              <w:rPr>
                <w:sz w:val="22"/>
              </w:rPr>
            </w:pPr>
            <w:r>
              <w:rPr>
                <w:sz w:val="22"/>
              </w:rPr>
              <w:t>1995</w:t>
            </w:r>
          </w:p>
        </w:tc>
        <w:tc>
          <w:tcPr>
            <w:tcW w:w="838" w:type="dxa"/>
            <w:tcBorders>
              <w:bottom w:val="single" w:sz="4" w:space="0" w:color="auto"/>
            </w:tcBorders>
          </w:tcPr>
          <w:p w:rsidR="00000000" w:rsidRDefault="00000000">
            <w:pPr>
              <w:spacing w:before="60" w:after="60"/>
              <w:jc w:val="center"/>
              <w:rPr>
                <w:sz w:val="22"/>
              </w:rPr>
            </w:pPr>
            <w:r>
              <w:rPr>
                <w:sz w:val="22"/>
              </w:rPr>
              <w:t>1996</w:t>
            </w:r>
          </w:p>
        </w:tc>
        <w:tc>
          <w:tcPr>
            <w:tcW w:w="839" w:type="dxa"/>
            <w:tcBorders>
              <w:bottom w:val="single" w:sz="4" w:space="0" w:color="auto"/>
            </w:tcBorders>
          </w:tcPr>
          <w:p w:rsidR="00000000" w:rsidRDefault="00000000">
            <w:pPr>
              <w:spacing w:before="60" w:after="60"/>
              <w:jc w:val="center"/>
              <w:rPr>
                <w:sz w:val="22"/>
              </w:rPr>
            </w:pPr>
            <w:r>
              <w:rPr>
                <w:sz w:val="22"/>
              </w:rPr>
              <w:t>1997</w:t>
            </w:r>
          </w:p>
        </w:tc>
        <w:tc>
          <w:tcPr>
            <w:tcW w:w="838" w:type="dxa"/>
            <w:tcBorders>
              <w:bottom w:val="single" w:sz="4" w:space="0" w:color="auto"/>
            </w:tcBorders>
          </w:tcPr>
          <w:p w:rsidR="00000000" w:rsidRDefault="00000000">
            <w:pPr>
              <w:spacing w:before="60" w:after="60"/>
              <w:jc w:val="center"/>
              <w:rPr>
                <w:sz w:val="22"/>
              </w:rPr>
            </w:pPr>
            <w:r>
              <w:rPr>
                <w:sz w:val="22"/>
              </w:rPr>
              <w:t>1998</w:t>
            </w:r>
          </w:p>
        </w:tc>
        <w:tc>
          <w:tcPr>
            <w:tcW w:w="839" w:type="dxa"/>
            <w:tcBorders>
              <w:bottom w:val="single" w:sz="4" w:space="0" w:color="auto"/>
            </w:tcBorders>
          </w:tcPr>
          <w:p w:rsidR="00000000" w:rsidRDefault="00000000">
            <w:pPr>
              <w:spacing w:before="60" w:after="60"/>
              <w:jc w:val="center"/>
              <w:rPr>
                <w:sz w:val="22"/>
              </w:rPr>
            </w:pPr>
            <w:r>
              <w:rPr>
                <w:sz w:val="22"/>
              </w:rPr>
              <w:t>1999</w:t>
            </w:r>
          </w:p>
        </w:tc>
        <w:tc>
          <w:tcPr>
            <w:tcW w:w="838" w:type="dxa"/>
            <w:tcBorders>
              <w:bottom w:val="single" w:sz="4" w:space="0" w:color="auto"/>
            </w:tcBorders>
          </w:tcPr>
          <w:p w:rsidR="00000000" w:rsidRDefault="00000000">
            <w:pPr>
              <w:spacing w:before="60" w:after="60"/>
              <w:jc w:val="center"/>
              <w:rPr>
                <w:sz w:val="22"/>
              </w:rPr>
            </w:pPr>
            <w:r>
              <w:rPr>
                <w:sz w:val="22"/>
              </w:rPr>
              <w:t>2000</w:t>
            </w:r>
          </w:p>
        </w:tc>
        <w:tc>
          <w:tcPr>
            <w:tcW w:w="839" w:type="dxa"/>
            <w:tcBorders>
              <w:bottom w:val="single" w:sz="4" w:space="0" w:color="auto"/>
            </w:tcBorders>
          </w:tcPr>
          <w:p w:rsidR="00000000" w:rsidRDefault="00000000">
            <w:pPr>
              <w:spacing w:before="60" w:after="60"/>
              <w:jc w:val="center"/>
              <w:rPr>
                <w:sz w:val="22"/>
              </w:rPr>
            </w:pPr>
            <w:r>
              <w:rPr>
                <w:sz w:val="22"/>
              </w:rPr>
              <w:t>2001</w:t>
            </w:r>
          </w:p>
        </w:tc>
      </w:tr>
      <w:tr w:rsidR="00000000">
        <w:tblPrEx>
          <w:tblCellMar>
            <w:top w:w="0" w:type="dxa"/>
            <w:bottom w:w="0" w:type="dxa"/>
          </w:tblCellMar>
        </w:tblPrEx>
        <w:tc>
          <w:tcPr>
            <w:tcW w:w="1810" w:type="dxa"/>
            <w:tcBorders>
              <w:bottom w:val="nil"/>
            </w:tcBorders>
          </w:tcPr>
          <w:p w:rsidR="00000000" w:rsidRDefault="00000000">
            <w:pPr>
              <w:pStyle w:val="FootnoteText"/>
              <w:spacing w:after="0"/>
              <w:rPr>
                <w:sz w:val="22"/>
              </w:rPr>
            </w:pPr>
            <w:r>
              <w:rPr>
                <w:sz w:val="22"/>
              </w:rPr>
              <w:t xml:space="preserve">Number of live </w:t>
            </w:r>
            <w:r>
              <w:rPr>
                <w:sz w:val="22"/>
              </w:rPr>
              <w:br/>
              <w:t xml:space="preserve">   births</w:t>
            </w:r>
          </w:p>
        </w:tc>
        <w:tc>
          <w:tcPr>
            <w:tcW w:w="838" w:type="dxa"/>
            <w:tcBorders>
              <w:bottom w:val="nil"/>
            </w:tcBorders>
          </w:tcPr>
          <w:p w:rsidR="00000000" w:rsidRDefault="00000000">
            <w:pPr>
              <w:pStyle w:val="FootnoteText"/>
              <w:spacing w:after="0"/>
              <w:jc w:val="right"/>
              <w:rPr>
                <w:sz w:val="22"/>
              </w:rPr>
            </w:pPr>
            <w:r>
              <w:rPr>
                <w:sz w:val="22"/>
              </w:rPr>
              <w:t>67 730</w:t>
            </w:r>
          </w:p>
        </w:tc>
        <w:tc>
          <w:tcPr>
            <w:tcW w:w="838" w:type="dxa"/>
            <w:tcBorders>
              <w:bottom w:val="nil"/>
            </w:tcBorders>
          </w:tcPr>
          <w:p w:rsidR="00000000" w:rsidRDefault="00000000">
            <w:pPr>
              <w:spacing w:after="0"/>
              <w:jc w:val="right"/>
              <w:rPr>
                <w:sz w:val="22"/>
              </w:rPr>
            </w:pPr>
            <w:r>
              <w:rPr>
                <w:sz w:val="22"/>
              </w:rPr>
              <w:t>72 179</w:t>
            </w:r>
          </w:p>
        </w:tc>
        <w:tc>
          <w:tcPr>
            <w:tcW w:w="839" w:type="dxa"/>
            <w:tcBorders>
              <w:bottom w:val="nil"/>
            </w:tcBorders>
          </w:tcPr>
          <w:p w:rsidR="00000000" w:rsidRDefault="00000000">
            <w:pPr>
              <w:spacing w:after="0"/>
              <w:jc w:val="right"/>
              <w:rPr>
                <w:sz w:val="22"/>
              </w:rPr>
            </w:pPr>
            <w:r>
              <w:rPr>
                <w:sz w:val="22"/>
              </w:rPr>
              <w:t>72 081</w:t>
            </w:r>
          </w:p>
        </w:tc>
        <w:tc>
          <w:tcPr>
            <w:tcW w:w="838" w:type="dxa"/>
            <w:tcBorders>
              <w:bottom w:val="nil"/>
            </w:tcBorders>
          </w:tcPr>
          <w:p w:rsidR="00000000" w:rsidRDefault="00000000">
            <w:pPr>
              <w:spacing w:after="0"/>
              <w:jc w:val="right"/>
              <w:rPr>
                <w:sz w:val="22"/>
              </w:rPr>
            </w:pPr>
            <w:r>
              <w:rPr>
                <w:sz w:val="22"/>
              </w:rPr>
              <w:t>68 358</w:t>
            </w:r>
          </w:p>
        </w:tc>
        <w:tc>
          <w:tcPr>
            <w:tcW w:w="839" w:type="dxa"/>
            <w:tcBorders>
              <w:bottom w:val="nil"/>
            </w:tcBorders>
          </w:tcPr>
          <w:p w:rsidR="00000000" w:rsidRDefault="00000000">
            <w:pPr>
              <w:spacing w:after="0"/>
              <w:jc w:val="right"/>
              <w:rPr>
                <w:sz w:val="22"/>
              </w:rPr>
            </w:pPr>
            <w:r>
              <w:rPr>
                <w:sz w:val="22"/>
              </w:rPr>
              <w:t>61 739</w:t>
            </w:r>
          </w:p>
        </w:tc>
        <w:tc>
          <w:tcPr>
            <w:tcW w:w="838" w:type="dxa"/>
            <w:tcBorders>
              <w:bottom w:val="nil"/>
            </w:tcBorders>
          </w:tcPr>
          <w:p w:rsidR="00000000" w:rsidRDefault="00000000">
            <w:pPr>
              <w:spacing w:after="0"/>
              <w:jc w:val="right"/>
              <w:rPr>
                <w:sz w:val="22"/>
              </w:rPr>
            </w:pPr>
            <w:r>
              <w:rPr>
                <w:sz w:val="22"/>
              </w:rPr>
              <w:t>60 139</w:t>
            </w:r>
          </w:p>
        </w:tc>
        <w:tc>
          <w:tcPr>
            <w:tcW w:w="839" w:type="dxa"/>
            <w:tcBorders>
              <w:bottom w:val="nil"/>
            </w:tcBorders>
          </w:tcPr>
          <w:p w:rsidR="00000000" w:rsidRDefault="00000000">
            <w:pPr>
              <w:spacing w:after="0"/>
              <w:jc w:val="right"/>
              <w:rPr>
                <w:sz w:val="22"/>
              </w:rPr>
            </w:pPr>
            <w:r>
              <w:rPr>
                <w:sz w:val="22"/>
              </w:rPr>
              <w:t>57 948</w:t>
            </w:r>
          </w:p>
        </w:tc>
        <w:tc>
          <w:tcPr>
            <w:tcW w:w="838" w:type="dxa"/>
            <w:tcBorders>
              <w:bottom w:val="nil"/>
            </w:tcBorders>
          </w:tcPr>
          <w:p w:rsidR="00000000" w:rsidRDefault="00000000">
            <w:pPr>
              <w:spacing w:after="0"/>
              <w:jc w:val="right"/>
              <w:rPr>
                <w:sz w:val="22"/>
              </w:rPr>
            </w:pPr>
            <w:r>
              <w:rPr>
                <w:sz w:val="22"/>
              </w:rPr>
              <w:t>53 833</w:t>
            </w:r>
          </w:p>
        </w:tc>
        <w:tc>
          <w:tcPr>
            <w:tcW w:w="839" w:type="dxa"/>
            <w:tcBorders>
              <w:bottom w:val="nil"/>
            </w:tcBorders>
          </w:tcPr>
          <w:p w:rsidR="00000000" w:rsidRDefault="00000000">
            <w:pPr>
              <w:spacing w:after="0"/>
              <w:jc w:val="right"/>
              <w:rPr>
                <w:sz w:val="22"/>
              </w:rPr>
            </w:pPr>
            <w:r>
              <w:rPr>
                <w:sz w:val="22"/>
              </w:rPr>
              <w:t>52 888</w:t>
            </w:r>
          </w:p>
        </w:tc>
      </w:tr>
      <w:tr w:rsidR="00000000">
        <w:tblPrEx>
          <w:tblCellMar>
            <w:top w:w="0" w:type="dxa"/>
            <w:bottom w:w="0" w:type="dxa"/>
          </w:tblCellMar>
        </w:tblPrEx>
        <w:tc>
          <w:tcPr>
            <w:tcW w:w="1810" w:type="dxa"/>
            <w:tcBorders>
              <w:top w:val="nil"/>
              <w:bottom w:val="nil"/>
            </w:tcBorders>
          </w:tcPr>
          <w:p w:rsidR="00000000" w:rsidRDefault="00000000">
            <w:pPr>
              <w:spacing w:after="0"/>
              <w:rPr>
                <w:sz w:val="22"/>
              </w:rPr>
            </w:pPr>
            <w:r>
              <w:rPr>
                <w:sz w:val="22"/>
              </w:rPr>
              <w:t>Number of deaths</w:t>
            </w:r>
          </w:p>
        </w:tc>
        <w:tc>
          <w:tcPr>
            <w:tcW w:w="838" w:type="dxa"/>
            <w:tcBorders>
              <w:top w:val="nil"/>
              <w:bottom w:val="nil"/>
            </w:tcBorders>
          </w:tcPr>
          <w:p w:rsidR="00000000" w:rsidRDefault="00000000">
            <w:pPr>
              <w:spacing w:after="0"/>
              <w:jc w:val="right"/>
              <w:rPr>
                <w:sz w:val="22"/>
              </w:rPr>
            </w:pPr>
            <w:r>
              <w:rPr>
                <w:sz w:val="22"/>
              </w:rPr>
              <w:t>2 401</w:t>
            </w:r>
          </w:p>
        </w:tc>
        <w:tc>
          <w:tcPr>
            <w:tcW w:w="838" w:type="dxa"/>
            <w:tcBorders>
              <w:top w:val="nil"/>
              <w:bottom w:val="nil"/>
            </w:tcBorders>
          </w:tcPr>
          <w:p w:rsidR="00000000" w:rsidRDefault="00000000">
            <w:pPr>
              <w:spacing w:after="0"/>
              <w:jc w:val="right"/>
              <w:rPr>
                <w:sz w:val="22"/>
              </w:rPr>
            </w:pPr>
            <w:r>
              <w:rPr>
                <w:sz w:val="22"/>
              </w:rPr>
              <w:t>2 547</w:t>
            </w:r>
          </w:p>
        </w:tc>
        <w:tc>
          <w:tcPr>
            <w:tcW w:w="839" w:type="dxa"/>
            <w:tcBorders>
              <w:top w:val="nil"/>
              <w:bottom w:val="nil"/>
            </w:tcBorders>
          </w:tcPr>
          <w:p w:rsidR="00000000" w:rsidRDefault="00000000">
            <w:pPr>
              <w:spacing w:after="0"/>
              <w:jc w:val="right"/>
              <w:rPr>
                <w:sz w:val="22"/>
              </w:rPr>
            </w:pPr>
            <w:r>
              <w:rPr>
                <w:sz w:val="22"/>
              </w:rPr>
              <w:t>2 162</w:t>
            </w:r>
          </w:p>
        </w:tc>
        <w:tc>
          <w:tcPr>
            <w:tcW w:w="838" w:type="dxa"/>
            <w:tcBorders>
              <w:top w:val="nil"/>
              <w:bottom w:val="nil"/>
            </w:tcBorders>
          </w:tcPr>
          <w:p w:rsidR="00000000" w:rsidRDefault="00000000">
            <w:pPr>
              <w:spacing w:after="0"/>
              <w:jc w:val="right"/>
              <w:rPr>
                <w:sz w:val="22"/>
              </w:rPr>
            </w:pPr>
            <w:r>
              <w:rPr>
                <w:sz w:val="22"/>
              </w:rPr>
              <w:t>1 762</w:t>
            </w:r>
          </w:p>
        </w:tc>
        <w:tc>
          <w:tcPr>
            <w:tcW w:w="839" w:type="dxa"/>
            <w:tcBorders>
              <w:top w:val="nil"/>
              <w:bottom w:val="nil"/>
            </w:tcBorders>
          </w:tcPr>
          <w:p w:rsidR="00000000" w:rsidRDefault="00000000">
            <w:pPr>
              <w:spacing w:after="0"/>
              <w:jc w:val="right"/>
              <w:rPr>
                <w:sz w:val="22"/>
              </w:rPr>
            </w:pPr>
            <w:r>
              <w:rPr>
                <w:sz w:val="22"/>
              </w:rPr>
              <w:t>1 387</w:t>
            </w:r>
          </w:p>
        </w:tc>
        <w:tc>
          <w:tcPr>
            <w:tcW w:w="838" w:type="dxa"/>
            <w:tcBorders>
              <w:top w:val="nil"/>
              <w:bottom w:val="nil"/>
            </w:tcBorders>
          </w:tcPr>
          <w:p w:rsidR="00000000" w:rsidRDefault="00000000">
            <w:pPr>
              <w:spacing w:after="0"/>
              <w:jc w:val="right"/>
              <w:rPr>
                <w:sz w:val="22"/>
              </w:rPr>
            </w:pPr>
            <w:r>
              <w:rPr>
                <w:sz w:val="22"/>
              </w:rPr>
              <w:t>1 215</w:t>
            </w:r>
          </w:p>
        </w:tc>
        <w:tc>
          <w:tcPr>
            <w:tcW w:w="839" w:type="dxa"/>
            <w:tcBorders>
              <w:top w:val="nil"/>
              <w:bottom w:val="nil"/>
            </w:tcBorders>
          </w:tcPr>
          <w:p w:rsidR="00000000" w:rsidRDefault="00000000">
            <w:pPr>
              <w:spacing w:after="0"/>
              <w:jc w:val="right"/>
              <w:rPr>
                <w:sz w:val="22"/>
              </w:rPr>
            </w:pPr>
            <w:r>
              <w:rPr>
                <w:sz w:val="22"/>
              </w:rPr>
              <w:t>957</w:t>
            </w:r>
          </w:p>
        </w:tc>
        <w:tc>
          <w:tcPr>
            <w:tcW w:w="838" w:type="dxa"/>
            <w:tcBorders>
              <w:top w:val="nil"/>
              <w:bottom w:val="nil"/>
            </w:tcBorders>
          </w:tcPr>
          <w:p w:rsidR="00000000" w:rsidRDefault="00000000">
            <w:pPr>
              <w:spacing w:after="0"/>
              <w:jc w:val="right"/>
              <w:rPr>
                <w:sz w:val="22"/>
              </w:rPr>
            </w:pPr>
            <w:r>
              <w:rPr>
                <w:sz w:val="22"/>
              </w:rPr>
              <w:t>864</w:t>
            </w:r>
          </w:p>
        </w:tc>
        <w:tc>
          <w:tcPr>
            <w:tcW w:w="839" w:type="dxa"/>
            <w:tcBorders>
              <w:top w:val="nil"/>
              <w:bottom w:val="nil"/>
            </w:tcBorders>
          </w:tcPr>
          <w:p w:rsidR="00000000" w:rsidRDefault="00000000">
            <w:pPr>
              <w:spacing w:after="0"/>
              <w:jc w:val="right"/>
              <w:rPr>
                <w:sz w:val="22"/>
              </w:rPr>
            </w:pPr>
            <w:r>
              <w:rPr>
                <w:sz w:val="22"/>
              </w:rPr>
              <w:t>924</w:t>
            </w:r>
          </w:p>
        </w:tc>
      </w:tr>
      <w:tr w:rsidR="00000000">
        <w:tblPrEx>
          <w:tblCellMar>
            <w:top w:w="0" w:type="dxa"/>
            <w:bottom w:w="0" w:type="dxa"/>
          </w:tblCellMar>
        </w:tblPrEx>
        <w:tc>
          <w:tcPr>
            <w:tcW w:w="1810" w:type="dxa"/>
            <w:tcBorders>
              <w:top w:val="nil"/>
              <w:bottom w:val="nil"/>
            </w:tcBorders>
          </w:tcPr>
          <w:p w:rsidR="00000000" w:rsidRDefault="00000000">
            <w:pPr>
              <w:spacing w:after="0"/>
              <w:rPr>
                <w:sz w:val="22"/>
              </w:rPr>
            </w:pPr>
            <w:r>
              <w:rPr>
                <w:sz w:val="22"/>
              </w:rPr>
              <w:t>Infant mortality (per 1 000 births)</w:t>
            </w:r>
          </w:p>
        </w:tc>
        <w:tc>
          <w:tcPr>
            <w:tcW w:w="838" w:type="dxa"/>
            <w:tcBorders>
              <w:top w:val="nil"/>
              <w:bottom w:val="nil"/>
            </w:tcBorders>
          </w:tcPr>
          <w:p w:rsidR="00000000" w:rsidRDefault="00000000">
            <w:pPr>
              <w:spacing w:after="0"/>
              <w:jc w:val="right"/>
              <w:rPr>
                <w:sz w:val="22"/>
              </w:rPr>
            </w:pPr>
            <w:r>
              <w:rPr>
                <w:sz w:val="22"/>
              </w:rPr>
              <w:t>35.4</w:t>
            </w:r>
          </w:p>
        </w:tc>
        <w:tc>
          <w:tcPr>
            <w:tcW w:w="838" w:type="dxa"/>
            <w:tcBorders>
              <w:top w:val="nil"/>
              <w:bottom w:val="nil"/>
            </w:tcBorders>
          </w:tcPr>
          <w:p w:rsidR="00000000" w:rsidRDefault="00000000">
            <w:pPr>
              <w:spacing w:after="0"/>
              <w:ind w:right="57"/>
              <w:jc w:val="right"/>
              <w:rPr>
                <w:sz w:val="22"/>
              </w:rPr>
            </w:pPr>
            <w:r>
              <w:rPr>
                <w:sz w:val="22"/>
              </w:rPr>
              <w:t>28.3</w:t>
            </w:r>
          </w:p>
        </w:tc>
        <w:tc>
          <w:tcPr>
            <w:tcW w:w="839" w:type="dxa"/>
            <w:tcBorders>
              <w:top w:val="nil"/>
              <w:bottom w:val="nil"/>
            </w:tcBorders>
          </w:tcPr>
          <w:p w:rsidR="00000000" w:rsidRDefault="00000000">
            <w:pPr>
              <w:spacing w:after="0"/>
              <w:jc w:val="right"/>
              <w:rPr>
                <w:sz w:val="22"/>
              </w:rPr>
            </w:pPr>
            <w:r>
              <w:rPr>
                <w:sz w:val="22"/>
              </w:rPr>
              <w:t>30.0</w:t>
            </w:r>
          </w:p>
        </w:tc>
        <w:tc>
          <w:tcPr>
            <w:tcW w:w="838" w:type="dxa"/>
            <w:tcBorders>
              <w:top w:val="nil"/>
              <w:bottom w:val="nil"/>
            </w:tcBorders>
          </w:tcPr>
          <w:p w:rsidR="00000000" w:rsidRDefault="00000000">
            <w:pPr>
              <w:spacing w:after="0"/>
              <w:jc w:val="right"/>
              <w:rPr>
                <w:sz w:val="22"/>
              </w:rPr>
            </w:pPr>
            <w:r>
              <w:rPr>
                <w:sz w:val="22"/>
              </w:rPr>
              <w:t>25.8</w:t>
            </w:r>
          </w:p>
        </w:tc>
        <w:tc>
          <w:tcPr>
            <w:tcW w:w="839" w:type="dxa"/>
            <w:tcBorders>
              <w:top w:val="nil"/>
              <w:bottom w:val="nil"/>
            </w:tcBorders>
          </w:tcPr>
          <w:p w:rsidR="00000000" w:rsidRDefault="00000000">
            <w:pPr>
              <w:spacing w:after="0"/>
              <w:jc w:val="right"/>
              <w:rPr>
                <w:sz w:val="22"/>
              </w:rPr>
            </w:pPr>
            <w:r>
              <w:rPr>
                <w:sz w:val="22"/>
              </w:rPr>
              <w:t>22.5</w:t>
            </w:r>
          </w:p>
        </w:tc>
        <w:tc>
          <w:tcPr>
            <w:tcW w:w="838" w:type="dxa"/>
            <w:tcBorders>
              <w:top w:val="nil"/>
              <w:bottom w:val="nil"/>
            </w:tcBorders>
          </w:tcPr>
          <w:p w:rsidR="00000000" w:rsidRDefault="00000000">
            <w:pPr>
              <w:spacing w:after="0"/>
              <w:jc w:val="right"/>
              <w:rPr>
                <w:sz w:val="22"/>
              </w:rPr>
            </w:pPr>
            <w:r>
              <w:rPr>
                <w:sz w:val="22"/>
              </w:rPr>
              <w:t>20.5</w:t>
            </w:r>
          </w:p>
        </w:tc>
        <w:tc>
          <w:tcPr>
            <w:tcW w:w="839" w:type="dxa"/>
            <w:tcBorders>
              <w:top w:val="nil"/>
              <w:bottom w:val="nil"/>
            </w:tcBorders>
          </w:tcPr>
          <w:p w:rsidR="00000000" w:rsidRDefault="00000000">
            <w:pPr>
              <w:spacing w:after="0"/>
              <w:jc w:val="right"/>
              <w:rPr>
                <w:sz w:val="22"/>
              </w:rPr>
            </w:pPr>
            <w:r>
              <w:rPr>
                <w:sz w:val="22"/>
              </w:rPr>
              <w:t>17.5</w:t>
            </w:r>
          </w:p>
        </w:tc>
        <w:tc>
          <w:tcPr>
            <w:tcW w:w="838" w:type="dxa"/>
            <w:tcBorders>
              <w:top w:val="nil"/>
              <w:bottom w:val="nil"/>
            </w:tcBorders>
          </w:tcPr>
          <w:p w:rsidR="00000000" w:rsidRDefault="00000000">
            <w:pPr>
              <w:spacing w:after="0"/>
              <w:jc w:val="right"/>
              <w:rPr>
                <w:sz w:val="22"/>
              </w:rPr>
            </w:pPr>
            <w:r>
              <w:rPr>
                <w:sz w:val="22"/>
              </w:rPr>
              <w:t>16.0</w:t>
            </w:r>
          </w:p>
        </w:tc>
        <w:tc>
          <w:tcPr>
            <w:tcW w:w="839" w:type="dxa"/>
            <w:tcBorders>
              <w:top w:val="nil"/>
              <w:bottom w:val="nil"/>
            </w:tcBorders>
          </w:tcPr>
          <w:p w:rsidR="00000000" w:rsidRDefault="00000000">
            <w:pPr>
              <w:spacing w:after="0"/>
              <w:jc w:val="right"/>
              <w:rPr>
                <w:sz w:val="22"/>
              </w:rPr>
            </w:pPr>
            <w:r>
              <w:rPr>
                <w:sz w:val="22"/>
              </w:rPr>
              <w:t>17.5</w:t>
            </w:r>
          </w:p>
        </w:tc>
      </w:tr>
      <w:tr w:rsidR="00000000">
        <w:tblPrEx>
          <w:tblCellMar>
            <w:top w:w="0" w:type="dxa"/>
            <w:bottom w:w="0" w:type="dxa"/>
          </w:tblCellMar>
        </w:tblPrEx>
        <w:tc>
          <w:tcPr>
            <w:tcW w:w="1810" w:type="dxa"/>
            <w:tcBorders>
              <w:top w:val="nil"/>
            </w:tcBorders>
          </w:tcPr>
          <w:p w:rsidR="00000000" w:rsidRDefault="00000000">
            <w:pPr>
              <w:spacing w:after="0"/>
              <w:rPr>
                <w:sz w:val="22"/>
              </w:rPr>
            </w:pPr>
            <w:r>
              <w:rPr>
                <w:sz w:val="22"/>
              </w:rPr>
              <w:t>Perinatal deaths (per 1 000 births)</w:t>
            </w:r>
          </w:p>
        </w:tc>
        <w:tc>
          <w:tcPr>
            <w:tcW w:w="838" w:type="dxa"/>
            <w:tcBorders>
              <w:top w:val="nil"/>
            </w:tcBorders>
          </w:tcPr>
          <w:p w:rsidR="00000000" w:rsidRDefault="00000000">
            <w:pPr>
              <w:spacing w:after="0"/>
              <w:jc w:val="right"/>
              <w:rPr>
                <w:sz w:val="22"/>
              </w:rPr>
            </w:pPr>
            <w:r>
              <w:rPr>
                <w:sz w:val="22"/>
              </w:rPr>
              <w:t>11.2</w:t>
            </w:r>
          </w:p>
        </w:tc>
        <w:tc>
          <w:tcPr>
            <w:tcW w:w="838" w:type="dxa"/>
            <w:tcBorders>
              <w:top w:val="nil"/>
            </w:tcBorders>
          </w:tcPr>
          <w:p w:rsidR="00000000" w:rsidRDefault="00000000">
            <w:pPr>
              <w:spacing w:after="0"/>
              <w:ind w:right="57"/>
              <w:jc w:val="right"/>
              <w:rPr>
                <w:sz w:val="22"/>
              </w:rPr>
            </w:pPr>
            <w:r>
              <w:rPr>
                <w:sz w:val="22"/>
              </w:rPr>
              <w:t>14.6</w:t>
            </w:r>
          </w:p>
        </w:tc>
        <w:tc>
          <w:tcPr>
            <w:tcW w:w="839" w:type="dxa"/>
            <w:tcBorders>
              <w:top w:val="nil"/>
            </w:tcBorders>
          </w:tcPr>
          <w:p w:rsidR="00000000" w:rsidRDefault="00000000">
            <w:pPr>
              <w:spacing w:after="0"/>
              <w:jc w:val="right"/>
              <w:rPr>
                <w:sz w:val="22"/>
              </w:rPr>
            </w:pPr>
            <w:r>
              <w:rPr>
                <w:sz w:val="22"/>
              </w:rPr>
              <w:t>13.4</w:t>
            </w:r>
          </w:p>
        </w:tc>
        <w:tc>
          <w:tcPr>
            <w:tcW w:w="838" w:type="dxa"/>
            <w:tcBorders>
              <w:top w:val="nil"/>
            </w:tcBorders>
          </w:tcPr>
          <w:p w:rsidR="00000000" w:rsidRDefault="00000000">
            <w:pPr>
              <w:spacing w:after="0"/>
              <w:jc w:val="right"/>
              <w:rPr>
                <w:sz w:val="22"/>
              </w:rPr>
            </w:pPr>
            <w:r>
              <w:rPr>
                <w:sz w:val="22"/>
              </w:rPr>
              <w:t>14.4</w:t>
            </w:r>
          </w:p>
        </w:tc>
        <w:tc>
          <w:tcPr>
            <w:tcW w:w="839" w:type="dxa"/>
            <w:tcBorders>
              <w:top w:val="nil"/>
            </w:tcBorders>
          </w:tcPr>
          <w:p w:rsidR="00000000" w:rsidRDefault="00000000">
            <w:pPr>
              <w:spacing w:after="0"/>
              <w:jc w:val="right"/>
              <w:rPr>
                <w:sz w:val="22"/>
              </w:rPr>
            </w:pPr>
            <w:r>
              <w:rPr>
                <w:sz w:val="22"/>
              </w:rPr>
              <w:t>15.2</w:t>
            </w:r>
          </w:p>
        </w:tc>
        <w:tc>
          <w:tcPr>
            <w:tcW w:w="838" w:type="dxa"/>
            <w:tcBorders>
              <w:top w:val="nil"/>
            </w:tcBorders>
          </w:tcPr>
          <w:p w:rsidR="00000000" w:rsidRDefault="00000000">
            <w:pPr>
              <w:spacing w:after="0"/>
              <w:jc w:val="right"/>
              <w:rPr>
                <w:sz w:val="22"/>
              </w:rPr>
            </w:pPr>
            <w:r>
              <w:rPr>
                <w:sz w:val="22"/>
              </w:rPr>
              <w:t>14.3</w:t>
            </w:r>
          </w:p>
        </w:tc>
        <w:tc>
          <w:tcPr>
            <w:tcW w:w="839" w:type="dxa"/>
            <w:tcBorders>
              <w:top w:val="nil"/>
            </w:tcBorders>
          </w:tcPr>
          <w:p w:rsidR="00000000" w:rsidRDefault="00000000">
            <w:pPr>
              <w:spacing w:after="0"/>
              <w:jc w:val="right"/>
              <w:rPr>
                <w:sz w:val="22"/>
              </w:rPr>
            </w:pPr>
            <w:r>
              <w:rPr>
                <w:sz w:val="22"/>
              </w:rPr>
              <w:t>13.4</w:t>
            </w:r>
          </w:p>
        </w:tc>
        <w:tc>
          <w:tcPr>
            <w:tcW w:w="838" w:type="dxa"/>
            <w:tcBorders>
              <w:top w:val="nil"/>
            </w:tcBorders>
          </w:tcPr>
          <w:p w:rsidR="00000000" w:rsidRDefault="00000000">
            <w:pPr>
              <w:spacing w:after="0"/>
              <w:jc w:val="right"/>
              <w:rPr>
                <w:sz w:val="22"/>
              </w:rPr>
            </w:pPr>
            <w:r>
              <w:rPr>
                <w:sz w:val="22"/>
              </w:rPr>
              <w:t>13.8</w:t>
            </w:r>
          </w:p>
        </w:tc>
        <w:tc>
          <w:tcPr>
            <w:tcW w:w="839" w:type="dxa"/>
            <w:tcBorders>
              <w:top w:val="nil"/>
            </w:tcBorders>
          </w:tcPr>
          <w:p w:rsidR="00000000" w:rsidRDefault="00000000">
            <w:pPr>
              <w:spacing w:after="0"/>
              <w:jc w:val="right"/>
              <w:rPr>
                <w:sz w:val="22"/>
              </w:rPr>
            </w:pPr>
            <w:r>
              <w:rPr>
                <w:sz w:val="22"/>
              </w:rPr>
              <w:t>14.1</w:t>
            </w:r>
          </w:p>
        </w:tc>
      </w:tr>
    </w:tbl>
    <w:p w:rsidR="00000000" w:rsidRDefault="00000000">
      <w:pPr>
        <w:pStyle w:val="Heading2"/>
        <w:spacing w:before="360"/>
      </w:pPr>
      <w:r>
        <w:t>Table 46</w:t>
      </w:r>
    </w:p>
    <w:p w:rsidR="00000000" w:rsidRDefault="00000000">
      <w:pPr>
        <w:pStyle w:val="Heading2"/>
      </w:pPr>
      <w:r>
        <w:t>Births and abortions (1994-2001)</w:t>
      </w:r>
    </w:p>
    <w:tbl>
      <w:tblPr>
        <w:tblW w:w="6837" w:type="dxa"/>
        <w:jc w:val="center"/>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1276"/>
        <w:gridCol w:w="1417"/>
        <w:gridCol w:w="2868"/>
      </w:tblGrid>
      <w:tr w:rsidR="00000000">
        <w:trPr>
          <w:trHeight w:val="315"/>
          <w:jc w:val="center"/>
        </w:trPr>
        <w:tc>
          <w:tcPr>
            <w:tcW w:w="1276" w:type="dxa"/>
            <w:tcBorders>
              <w:bottom w:val="single" w:sz="4" w:space="0" w:color="auto"/>
            </w:tcBorders>
            <w:noWrap/>
            <w:tcMar>
              <w:top w:w="17" w:type="dxa"/>
              <w:left w:w="17" w:type="dxa"/>
              <w:bottom w:w="0" w:type="dxa"/>
              <w:right w:w="17" w:type="dxa"/>
            </w:tcMar>
            <w:vAlign w:val="bottom"/>
          </w:tcPr>
          <w:p w:rsidR="00000000" w:rsidRDefault="00000000">
            <w:pPr>
              <w:spacing w:after="0"/>
              <w:jc w:val="center"/>
            </w:pPr>
            <w:r>
              <w:t>Years</w:t>
            </w:r>
          </w:p>
        </w:tc>
        <w:tc>
          <w:tcPr>
            <w:tcW w:w="1276" w:type="dxa"/>
            <w:tcBorders>
              <w:bottom w:val="single" w:sz="4" w:space="0" w:color="auto"/>
            </w:tcBorders>
            <w:noWrap/>
            <w:tcMar>
              <w:top w:w="17" w:type="dxa"/>
              <w:left w:w="17" w:type="dxa"/>
              <w:bottom w:w="0" w:type="dxa"/>
              <w:right w:w="17" w:type="dxa"/>
            </w:tcMar>
            <w:vAlign w:val="bottom"/>
          </w:tcPr>
          <w:p w:rsidR="00000000" w:rsidRDefault="00000000">
            <w:pPr>
              <w:spacing w:after="0"/>
              <w:jc w:val="center"/>
            </w:pPr>
            <w:r>
              <w:t>Births</w:t>
            </w:r>
          </w:p>
        </w:tc>
        <w:tc>
          <w:tcPr>
            <w:tcW w:w="1417" w:type="dxa"/>
            <w:tcBorders>
              <w:bottom w:val="single" w:sz="4" w:space="0" w:color="auto"/>
            </w:tcBorders>
            <w:noWrap/>
            <w:tcMar>
              <w:top w:w="17" w:type="dxa"/>
              <w:left w:w="17" w:type="dxa"/>
              <w:bottom w:w="0" w:type="dxa"/>
              <w:right w:w="17" w:type="dxa"/>
            </w:tcMar>
            <w:vAlign w:val="bottom"/>
          </w:tcPr>
          <w:p w:rsidR="00000000" w:rsidRDefault="00000000">
            <w:pPr>
              <w:spacing w:after="0"/>
              <w:jc w:val="center"/>
            </w:pPr>
            <w:r>
              <w:t>Abortions</w:t>
            </w:r>
          </w:p>
        </w:tc>
        <w:tc>
          <w:tcPr>
            <w:tcW w:w="2868" w:type="dxa"/>
            <w:tcBorders>
              <w:bottom w:val="single" w:sz="4" w:space="0" w:color="auto"/>
            </w:tcBorders>
            <w:noWrap/>
            <w:tcMar>
              <w:top w:w="17" w:type="dxa"/>
              <w:left w:w="17" w:type="dxa"/>
              <w:bottom w:w="0" w:type="dxa"/>
              <w:right w:w="17" w:type="dxa"/>
            </w:tcMar>
            <w:vAlign w:val="bottom"/>
          </w:tcPr>
          <w:p w:rsidR="00000000" w:rsidRDefault="00000000">
            <w:pPr>
              <w:spacing w:after="0"/>
              <w:jc w:val="center"/>
            </w:pPr>
            <w:r>
              <w:t>Abortions per 1 000 births</w:t>
            </w:r>
          </w:p>
        </w:tc>
      </w:tr>
      <w:tr w:rsidR="00000000">
        <w:trPr>
          <w:trHeight w:val="315"/>
          <w:jc w:val="center"/>
        </w:trPr>
        <w:tc>
          <w:tcPr>
            <w:tcW w:w="1276" w:type="dxa"/>
            <w:tcBorders>
              <w:bottom w:val="nil"/>
            </w:tcBorders>
            <w:noWrap/>
            <w:tcMar>
              <w:top w:w="17" w:type="dxa"/>
              <w:left w:w="17" w:type="dxa"/>
              <w:bottom w:w="0" w:type="dxa"/>
              <w:right w:w="17" w:type="dxa"/>
            </w:tcMar>
            <w:vAlign w:val="bottom"/>
          </w:tcPr>
          <w:p w:rsidR="00000000" w:rsidRDefault="00000000">
            <w:pPr>
              <w:spacing w:after="0"/>
              <w:jc w:val="center"/>
            </w:pPr>
            <w:r>
              <w:t>1994</w:t>
            </w:r>
          </w:p>
        </w:tc>
        <w:tc>
          <w:tcPr>
            <w:tcW w:w="1276" w:type="dxa"/>
            <w:tcBorders>
              <w:bottom w:val="nil"/>
            </w:tcBorders>
            <w:noWrap/>
            <w:tcMar>
              <w:top w:w="17" w:type="dxa"/>
              <w:left w:w="17" w:type="dxa"/>
              <w:bottom w:w="0" w:type="dxa"/>
              <w:right w:w="17" w:type="dxa"/>
            </w:tcMar>
            <w:vAlign w:val="bottom"/>
          </w:tcPr>
          <w:p w:rsidR="00000000" w:rsidRDefault="00000000">
            <w:pPr>
              <w:spacing w:after="0"/>
              <w:jc w:val="center"/>
            </w:pPr>
            <w:r>
              <w:t>72 197</w:t>
            </w:r>
          </w:p>
        </w:tc>
        <w:tc>
          <w:tcPr>
            <w:tcW w:w="1417" w:type="dxa"/>
            <w:tcBorders>
              <w:bottom w:val="nil"/>
            </w:tcBorders>
            <w:noWrap/>
            <w:tcMar>
              <w:top w:w="17" w:type="dxa"/>
              <w:left w:w="17" w:type="dxa"/>
              <w:bottom w:w="0" w:type="dxa"/>
              <w:right w:w="17" w:type="dxa"/>
            </w:tcMar>
            <w:vAlign w:val="bottom"/>
          </w:tcPr>
          <w:p w:rsidR="00000000" w:rsidRDefault="00000000">
            <w:pPr>
              <w:spacing w:after="0"/>
              <w:jc w:val="center"/>
            </w:pPr>
            <w:r>
              <w:t>31 622</w:t>
            </w:r>
          </w:p>
        </w:tc>
        <w:tc>
          <w:tcPr>
            <w:tcW w:w="2868" w:type="dxa"/>
            <w:tcBorders>
              <w:bottom w:val="nil"/>
            </w:tcBorders>
            <w:noWrap/>
            <w:tcMar>
              <w:top w:w="17" w:type="dxa"/>
              <w:left w:w="17" w:type="dxa"/>
              <w:bottom w:w="0" w:type="dxa"/>
              <w:right w:w="17" w:type="dxa"/>
            </w:tcMar>
            <w:vAlign w:val="bottom"/>
          </w:tcPr>
          <w:p w:rsidR="00000000" w:rsidRDefault="00000000">
            <w:pPr>
              <w:spacing w:after="0"/>
              <w:jc w:val="center"/>
            </w:pPr>
            <w:r>
              <w:t>438</w:t>
            </w:r>
          </w:p>
        </w:tc>
      </w:tr>
      <w:tr w:rsidR="00000000">
        <w:trPr>
          <w:trHeight w:val="315"/>
          <w:jc w:val="center"/>
        </w:trPr>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1995</w:t>
            </w:r>
          </w:p>
        </w:tc>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72 082</w:t>
            </w:r>
          </w:p>
        </w:tc>
        <w:tc>
          <w:tcPr>
            <w:tcW w:w="1417" w:type="dxa"/>
            <w:tcBorders>
              <w:top w:val="nil"/>
              <w:bottom w:val="nil"/>
            </w:tcBorders>
            <w:noWrap/>
            <w:tcMar>
              <w:top w:w="17" w:type="dxa"/>
              <w:left w:w="17" w:type="dxa"/>
              <w:bottom w:w="0" w:type="dxa"/>
              <w:right w:w="17" w:type="dxa"/>
            </w:tcMar>
            <w:vAlign w:val="bottom"/>
          </w:tcPr>
          <w:p w:rsidR="00000000" w:rsidRDefault="00000000">
            <w:pPr>
              <w:spacing w:after="0"/>
              <w:jc w:val="center"/>
            </w:pPr>
            <w:r>
              <w:t>31 874</w:t>
            </w:r>
          </w:p>
        </w:tc>
        <w:tc>
          <w:tcPr>
            <w:tcW w:w="2868" w:type="dxa"/>
            <w:tcBorders>
              <w:top w:val="nil"/>
              <w:bottom w:val="nil"/>
            </w:tcBorders>
            <w:noWrap/>
            <w:tcMar>
              <w:top w:w="17" w:type="dxa"/>
              <w:left w:w="17" w:type="dxa"/>
              <w:bottom w:w="0" w:type="dxa"/>
              <w:right w:w="17" w:type="dxa"/>
            </w:tcMar>
            <w:vAlign w:val="bottom"/>
          </w:tcPr>
          <w:p w:rsidR="00000000" w:rsidRDefault="00000000">
            <w:pPr>
              <w:spacing w:after="0"/>
              <w:jc w:val="center"/>
            </w:pPr>
            <w:r>
              <w:t>442</w:t>
            </w:r>
          </w:p>
        </w:tc>
      </w:tr>
      <w:tr w:rsidR="00000000">
        <w:trPr>
          <w:trHeight w:val="315"/>
          <w:jc w:val="center"/>
        </w:trPr>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1996</w:t>
            </w:r>
          </w:p>
        </w:tc>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68 358</w:t>
            </w:r>
          </w:p>
        </w:tc>
        <w:tc>
          <w:tcPr>
            <w:tcW w:w="1417" w:type="dxa"/>
            <w:tcBorders>
              <w:top w:val="nil"/>
              <w:bottom w:val="nil"/>
            </w:tcBorders>
            <w:noWrap/>
            <w:tcMar>
              <w:top w:w="17" w:type="dxa"/>
              <w:left w:w="17" w:type="dxa"/>
              <w:bottom w:w="0" w:type="dxa"/>
              <w:right w:w="17" w:type="dxa"/>
            </w:tcMar>
            <w:vAlign w:val="bottom"/>
          </w:tcPr>
          <w:p w:rsidR="00000000" w:rsidRDefault="00000000">
            <w:pPr>
              <w:spacing w:after="0"/>
              <w:jc w:val="center"/>
            </w:pPr>
            <w:r>
              <w:t>32 538</w:t>
            </w:r>
          </w:p>
        </w:tc>
        <w:tc>
          <w:tcPr>
            <w:tcW w:w="2868" w:type="dxa"/>
            <w:tcBorders>
              <w:top w:val="nil"/>
              <w:bottom w:val="nil"/>
            </w:tcBorders>
            <w:noWrap/>
            <w:tcMar>
              <w:top w:w="17" w:type="dxa"/>
              <w:left w:w="17" w:type="dxa"/>
              <w:bottom w:w="0" w:type="dxa"/>
              <w:right w:w="17" w:type="dxa"/>
            </w:tcMar>
            <w:vAlign w:val="bottom"/>
          </w:tcPr>
          <w:p w:rsidR="00000000" w:rsidRDefault="00000000">
            <w:pPr>
              <w:spacing w:after="0"/>
              <w:jc w:val="center"/>
            </w:pPr>
            <w:r>
              <w:t>476</w:t>
            </w:r>
          </w:p>
        </w:tc>
      </w:tr>
      <w:tr w:rsidR="00000000">
        <w:trPr>
          <w:trHeight w:val="315"/>
          <w:jc w:val="center"/>
        </w:trPr>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1997</w:t>
            </w:r>
          </w:p>
        </w:tc>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61 739</w:t>
            </w:r>
          </w:p>
        </w:tc>
        <w:tc>
          <w:tcPr>
            <w:tcW w:w="1417" w:type="dxa"/>
            <w:tcBorders>
              <w:top w:val="nil"/>
              <w:bottom w:val="nil"/>
            </w:tcBorders>
            <w:noWrap/>
            <w:tcMar>
              <w:top w:w="17" w:type="dxa"/>
              <w:left w:w="17" w:type="dxa"/>
              <w:bottom w:w="0" w:type="dxa"/>
              <w:right w:w="17" w:type="dxa"/>
            </w:tcMar>
            <w:vAlign w:val="bottom"/>
          </w:tcPr>
          <w:p w:rsidR="00000000" w:rsidRDefault="00000000">
            <w:pPr>
              <w:spacing w:after="0"/>
              <w:jc w:val="center"/>
            </w:pPr>
            <w:r>
              <w:t>22 103</w:t>
            </w:r>
          </w:p>
        </w:tc>
        <w:tc>
          <w:tcPr>
            <w:tcW w:w="2868" w:type="dxa"/>
            <w:tcBorders>
              <w:top w:val="nil"/>
              <w:bottom w:val="nil"/>
            </w:tcBorders>
            <w:noWrap/>
            <w:tcMar>
              <w:top w:w="17" w:type="dxa"/>
              <w:left w:w="17" w:type="dxa"/>
              <w:bottom w:w="0" w:type="dxa"/>
              <w:right w:w="17" w:type="dxa"/>
            </w:tcMar>
            <w:vAlign w:val="bottom"/>
          </w:tcPr>
          <w:p w:rsidR="00000000" w:rsidRDefault="00000000">
            <w:pPr>
              <w:spacing w:after="0"/>
              <w:jc w:val="center"/>
            </w:pPr>
            <w:r>
              <w:t>358</w:t>
            </w:r>
          </w:p>
        </w:tc>
      </w:tr>
      <w:tr w:rsidR="00000000">
        <w:trPr>
          <w:trHeight w:val="315"/>
          <w:jc w:val="center"/>
        </w:trPr>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1998</w:t>
            </w:r>
          </w:p>
        </w:tc>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60 139</w:t>
            </w:r>
          </w:p>
        </w:tc>
        <w:tc>
          <w:tcPr>
            <w:tcW w:w="1417" w:type="dxa"/>
            <w:tcBorders>
              <w:top w:val="nil"/>
              <w:bottom w:val="nil"/>
            </w:tcBorders>
            <w:noWrap/>
            <w:tcMar>
              <w:top w:w="17" w:type="dxa"/>
              <w:left w:w="17" w:type="dxa"/>
              <w:bottom w:w="0" w:type="dxa"/>
              <w:right w:w="17" w:type="dxa"/>
            </w:tcMar>
            <w:vAlign w:val="bottom"/>
          </w:tcPr>
          <w:p w:rsidR="00000000" w:rsidRDefault="00000000">
            <w:pPr>
              <w:spacing w:after="0"/>
              <w:jc w:val="center"/>
            </w:pPr>
            <w:r>
              <w:t>18 944</w:t>
            </w:r>
          </w:p>
        </w:tc>
        <w:tc>
          <w:tcPr>
            <w:tcW w:w="2868" w:type="dxa"/>
            <w:tcBorders>
              <w:top w:val="nil"/>
              <w:bottom w:val="nil"/>
            </w:tcBorders>
            <w:noWrap/>
            <w:tcMar>
              <w:top w:w="17" w:type="dxa"/>
              <w:left w:w="17" w:type="dxa"/>
              <w:bottom w:w="0" w:type="dxa"/>
              <w:right w:w="17" w:type="dxa"/>
            </w:tcMar>
            <w:vAlign w:val="bottom"/>
          </w:tcPr>
          <w:p w:rsidR="00000000" w:rsidRDefault="00000000">
            <w:pPr>
              <w:spacing w:after="0"/>
              <w:jc w:val="center"/>
            </w:pPr>
            <w:r>
              <w:t>315</w:t>
            </w:r>
          </w:p>
        </w:tc>
      </w:tr>
      <w:tr w:rsidR="00000000">
        <w:trPr>
          <w:trHeight w:val="315"/>
          <w:jc w:val="center"/>
        </w:trPr>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1999</w:t>
            </w:r>
          </w:p>
        </w:tc>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57 948</w:t>
            </w:r>
          </w:p>
        </w:tc>
        <w:tc>
          <w:tcPr>
            <w:tcW w:w="1417" w:type="dxa"/>
            <w:tcBorders>
              <w:top w:val="nil"/>
              <w:bottom w:val="nil"/>
            </w:tcBorders>
            <w:noWrap/>
            <w:tcMar>
              <w:top w:w="17" w:type="dxa"/>
              <w:left w:w="17" w:type="dxa"/>
              <w:bottom w:w="0" w:type="dxa"/>
              <w:right w:w="17" w:type="dxa"/>
            </w:tcMar>
            <w:vAlign w:val="bottom"/>
          </w:tcPr>
          <w:p w:rsidR="00000000" w:rsidRDefault="00000000">
            <w:pPr>
              <w:spacing w:after="0"/>
              <w:jc w:val="center"/>
            </w:pPr>
            <w:r>
              <w:t>19 930</w:t>
            </w:r>
          </w:p>
        </w:tc>
        <w:tc>
          <w:tcPr>
            <w:tcW w:w="2868" w:type="dxa"/>
            <w:tcBorders>
              <w:top w:val="nil"/>
              <w:bottom w:val="nil"/>
            </w:tcBorders>
            <w:noWrap/>
            <w:tcMar>
              <w:top w:w="17" w:type="dxa"/>
              <w:left w:w="17" w:type="dxa"/>
              <w:bottom w:w="0" w:type="dxa"/>
              <w:right w:w="17" w:type="dxa"/>
            </w:tcMar>
            <w:vAlign w:val="bottom"/>
          </w:tcPr>
          <w:p w:rsidR="00000000" w:rsidRDefault="00000000">
            <w:pPr>
              <w:spacing w:after="0"/>
              <w:jc w:val="center"/>
            </w:pPr>
            <w:r>
              <w:t>344</w:t>
            </w:r>
          </w:p>
        </w:tc>
      </w:tr>
      <w:tr w:rsidR="00000000">
        <w:trPr>
          <w:trHeight w:val="315"/>
          <w:jc w:val="center"/>
        </w:trPr>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2000</w:t>
            </w:r>
          </w:p>
        </w:tc>
        <w:tc>
          <w:tcPr>
            <w:tcW w:w="1276" w:type="dxa"/>
            <w:tcBorders>
              <w:top w:val="nil"/>
              <w:bottom w:val="nil"/>
            </w:tcBorders>
            <w:noWrap/>
            <w:tcMar>
              <w:top w:w="17" w:type="dxa"/>
              <w:left w:w="17" w:type="dxa"/>
              <w:bottom w:w="0" w:type="dxa"/>
              <w:right w:w="17" w:type="dxa"/>
            </w:tcMar>
            <w:vAlign w:val="bottom"/>
          </w:tcPr>
          <w:p w:rsidR="00000000" w:rsidRDefault="00000000">
            <w:pPr>
              <w:spacing w:after="0"/>
              <w:jc w:val="center"/>
            </w:pPr>
            <w:r>
              <w:t>50 007</w:t>
            </w:r>
          </w:p>
        </w:tc>
        <w:tc>
          <w:tcPr>
            <w:tcW w:w="1417" w:type="dxa"/>
            <w:tcBorders>
              <w:top w:val="nil"/>
              <w:bottom w:val="nil"/>
            </w:tcBorders>
            <w:noWrap/>
            <w:tcMar>
              <w:top w:w="17" w:type="dxa"/>
              <w:left w:w="17" w:type="dxa"/>
              <w:bottom w:w="0" w:type="dxa"/>
              <w:right w:w="17" w:type="dxa"/>
            </w:tcMar>
            <w:vAlign w:val="bottom"/>
          </w:tcPr>
          <w:p w:rsidR="00000000" w:rsidRDefault="00000000">
            <w:pPr>
              <w:spacing w:after="0"/>
              <w:jc w:val="center"/>
            </w:pPr>
            <w:r>
              <w:t>21 004</w:t>
            </w:r>
          </w:p>
        </w:tc>
        <w:tc>
          <w:tcPr>
            <w:tcW w:w="2868" w:type="dxa"/>
            <w:tcBorders>
              <w:top w:val="nil"/>
              <w:bottom w:val="nil"/>
            </w:tcBorders>
            <w:noWrap/>
            <w:tcMar>
              <w:top w:w="17" w:type="dxa"/>
              <w:left w:w="17" w:type="dxa"/>
              <w:bottom w:w="0" w:type="dxa"/>
              <w:right w:w="17" w:type="dxa"/>
            </w:tcMar>
            <w:vAlign w:val="bottom"/>
          </w:tcPr>
          <w:p w:rsidR="00000000" w:rsidRDefault="00000000">
            <w:pPr>
              <w:spacing w:after="0"/>
              <w:jc w:val="center"/>
            </w:pPr>
            <w:r>
              <w:t>419</w:t>
            </w:r>
          </w:p>
        </w:tc>
      </w:tr>
      <w:tr w:rsidR="00000000">
        <w:trPr>
          <w:trHeight w:val="315"/>
          <w:jc w:val="center"/>
        </w:trPr>
        <w:tc>
          <w:tcPr>
            <w:tcW w:w="1276" w:type="dxa"/>
            <w:tcBorders>
              <w:top w:val="nil"/>
            </w:tcBorders>
            <w:noWrap/>
            <w:tcMar>
              <w:top w:w="17" w:type="dxa"/>
              <w:left w:w="17" w:type="dxa"/>
              <w:bottom w:w="0" w:type="dxa"/>
              <w:right w:w="17" w:type="dxa"/>
            </w:tcMar>
            <w:vAlign w:val="bottom"/>
          </w:tcPr>
          <w:p w:rsidR="00000000" w:rsidRDefault="00000000">
            <w:pPr>
              <w:spacing w:after="0"/>
              <w:jc w:val="center"/>
            </w:pPr>
            <w:r>
              <w:t>2001</w:t>
            </w:r>
          </w:p>
        </w:tc>
        <w:tc>
          <w:tcPr>
            <w:tcW w:w="1276" w:type="dxa"/>
            <w:tcBorders>
              <w:top w:val="nil"/>
            </w:tcBorders>
            <w:noWrap/>
            <w:tcMar>
              <w:top w:w="17" w:type="dxa"/>
              <w:left w:w="17" w:type="dxa"/>
              <w:bottom w:w="0" w:type="dxa"/>
              <w:right w:w="17" w:type="dxa"/>
            </w:tcMar>
            <w:vAlign w:val="bottom"/>
          </w:tcPr>
          <w:p w:rsidR="00000000" w:rsidRDefault="00000000">
            <w:pPr>
              <w:spacing w:after="0"/>
              <w:jc w:val="center"/>
            </w:pPr>
            <w:r>
              <w:t>52 715</w:t>
            </w:r>
          </w:p>
        </w:tc>
        <w:tc>
          <w:tcPr>
            <w:tcW w:w="1417" w:type="dxa"/>
            <w:tcBorders>
              <w:top w:val="nil"/>
            </w:tcBorders>
            <w:noWrap/>
            <w:tcMar>
              <w:top w:w="17" w:type="dxa"/>
              <w:left w:w="17" w:type="dxa"/>
              <w:bottom w:w="0" w:type="dxa"/>
              <w:right w:w="17" w:type="dxa"/>
            </w:tcMar>
            <w:vAlign w:val="bottom"/>
          </w:tcPr>
          <w:p w:rsidR="00000000" w:rsidRDefault="00000000">
            <w:pPr>
              <w:spacing w:after="0"/>
              <w:jc w:val="center"/>
            </w:pPr>
            <w:r>
              <w:t>17 125</w:t>
            </w:r>
          </w:p>
        </w:tc>
        <w:tc>
          <w:tcPr>
            <w:tcW w:w="2868" w:type="dxa"/>
            <w:tcBorders>
              <w:top w:val="nil"/>
            </w:tcBorders>
            <w:noWrap/>
            <w:tcMar>
              <w:top w:w="17" w:type="dxa"/>
              <w:left w:w="17" w:type="dxa"/>
              <w:bottom w:w="0" w:type="dxa"/>
              <w:right w:w="17" w:type="dxa"/>
            </w:tcMar>
            <w:vAlign w:val="bottom"/>
          </w:tcPr>
          <w:p w:rsidR="00000000" w:rsidRDefault="00000000">
            <w:pPr>
              <w:spacing w:after="0"/>
              <w:jc w:val="center"/>
            </w:pPr>
            <w:r>
              <w:t>325</w:t>
            </w:r>
          </w:p>
        </w:tc>
      </w:tr>
    </w:tbl>
    <w:p w:rsidR="00000000" w:rsidRDefault="00000000">
      <w:pPr>
        <w:pStyle w:val="Heading2"/>
        <w:spacing w:before="240"/>
      </w:pPr>
    </w:p>
    <w:p w:rsidR="00000000" w:rsidRDefault="00000000">
      <w:pPr>
        <w:pStyle w:val="Heading2"/>
      </w:pPr>
      <w:r>
        <w:br w:type="page"/>
        <w:t>Table 47</w:t>
      </w:r>
    </w:p>
    <w:p w:rsidR="00000000" w:rsidRDefault="00000000">
      <w:pPr>
        <w:pStyle w:val="Heading2"/>
      </w:pPr>
      <w:r>
        <w:t>Percentage of infants immunized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71"/>
        <w:gridCol w:w="772"/>
        <w:gridCol w:w="772"/>
        <w:gridCol w:w="772"/>
        <w:gridCol w:w="771"/>
        <w:gridCol w:w="772"/>
        <w:gridCol w:w="772"/>
        <w:gridCol w:w="772"/>
        <w:gridCol w:w="772"/>
      </w:tblGrid>
      <w:tr w:rsidR="00000000">
        <w:tblPrEx>
          <w:tblCellMar>
            <w:top w:w="0" w:type="dxa"/>
            <w:bottom w:w="0" w:type="dxa"/>
          </w:tblCellMar>
        </w:tblPrEx>
        <w:tc>
          <w:tcPr>
            <w:tcW w:w="2410" w:type="dxa"/>
            <w:tcBorders>
              <w:bottom w:val="single" w:sz="4" w:space="0" w:color="auto"/>
            </w:tcBorders>
            <w:vAlign w:val="center"/>
          </w:tcPr>
          <w:p w:rsidR="00000000" w:rsidRDefault="00000000">
            <w:pPr>
              <w:spacing w:after="0"/>
              <w:jc w:val="center"/>
              <w:rPr>
                <w:szCs w:val="28"/>
              </w:rPr>
            </w:pPr>
            <w:r>
              <w:br w:type="page"/>
            </w:r>
            <w:r>
              <w:rPr>
                <w:szCs w:val="32"/>
              </w:rPr>
              <w:t>Item</w:t>
            </w:r>
          </w:p>
        </w:tc>
        <w:tc>
          <w:tcPr>
            <w:tcW w:w="771" w:type="dxa"/>
            <w:tcBorders>
              <w:bottom w:val="single" w:sz="4" w:space="0" w:color="auto"/>
            </w:tcBorders>
            <w:vAlign w:val="center"/>
          </w:tcPr>
          <w:p w:rsidR="00000000" w:rsidRDefault="00000000">
            <w:pPr>
              <w:spacing w:after="0"/>
              <w:jc w:val="center"/>
              <w:rPr>
                <w:szCs w:val="28"/>
              </w:rPr>
            </w:pPr>
            <w:r>
              <w:rPr>
                <w:szCs w:val="28"/>
              </w:rPr>
              <w:t>1993</w:t>
            </w:r>
          </w:p>
        </w:tc>
        <w:tc>
          <w:tcPr>
            <w:tcW w:w="772" w:type="dxa"/>
            <w:tcBorders>
              <w:bottom w:val="single" w:sz="4" w:space="0" w:color="auto"/>
            </w:tcBorders>
            <w:vAlign w:val="center"/>
          </w:tcPr>
          <w:p w:rsidR="00000000" w:rsidRDefault="00000000">
            <w:pPr>
              <w:spacing w:after="0"/>
              <w:jc w:val="center"/>
              <w:rPr>
                <w:szCs w:val="28"/>
              </w:rPr>
            </w:pPr>
            <w:r>
              <w:rPr>
                <w:szCs w:val="28"/>
              </w:rPr>
              <w:t>1994</w:t>
            </w:r>
          </w:p>
        </w:tc>
        <w:tc>
          <w:tcPr>
            <w:tcW w:w="772" w:type="dxa"/>
            <w:tcBorders>
              <w:bottom w:val="single" w:sz="4" w:space="0" w:color="auto"/>
            </w:tcBorders>
            <w:vAlign w:val="center"/>
          </w:tcPr>
          <w:p w:rsidR="00000000" w:rsidRDefault="00000000">
            <w:pPr>
              <w:spacing w:after="0"/>
              <w:jc w:val="center"/>
              <w:rPr>
                <w:szCs w:val="28"/>
              </w:rPr>
            </w:pPr>
            <w:r>
              <w:rPr>
                <w:szCs w:val="28"/>
              </w:rPr>
              <w:t>1995</w:t>
            </w:r>
          </w:p>
        </w:tc>
        <w:tc>
          <w:tcPr>
            <w:tcW w:w="772" w:type="dxa"/>
            <w:tcBorders>
              <w:bottom w:val="single" w:sz="4" w:space="0" w:color="auto"/>
            </w:tcBorders>
            <w:vAlign w:val="center"/>
          </w:tcPr>
          <w:p w:rsidR="00000000" w:rsidRDefault="00000000">
            <w:pPr>
              <w:spacing w:after="0"/>
              <w:jc w:val="center"/>
              <w:rPr>
                <w:szCs w:val="28"/>
              </w:rPr>
            </w:pPr>
            <w:r>
              <w:rPr>
                <w:szCs w:val="28"/>
              </w:rPr>
              <w:t>1996</w:t>
            </w:r>
          </w:p>
        </w:tc>
        <w:tc>
          <w:tcPr>
            <w:tcW w:w="771" w:type="dxa"/>
            <w:tcBorders>
              <w:bottom w:val="single" w:sz="4" w:space="0" w:color="auto"/>
            </w:tcBorders>
            <w:vAlign w:val="center"/>
          </w:tcPr>
          <w:p w:rsidR="00000000" w:rsidRDefault="00000000">
            <w:pPr>
              <w:spacing w:after="0"/>
              <w:jc w:val="center"/>
              <w:rPr>
                <w:szCs w:val="28"/>
              </w:rPr>
            </w:pPr>
            <w:r>
              <w:rPr>
                <w:szCs w:val="28"/>
              </w:rPr>
              <w:t>1997</w:t>
            </w:r>
          </w:p>
        </w:tc>
        <w:tc>
          <w:tcPr>
            <w:tcW w:w="772" w:type="dxa"/>
            <w:tcBorders>
              <w:bottom w:val="single" w:sz="4" w:space="0" w:color="auto"/>
            </w:tcBorders>
            <w:vAlign w:val="center"/>
          </w:tcPr>
          <w:p w:rsidR="00000000" w:rsidRDefault="00000000">
            <w:pPr>
              <w:spacing w:after="0"/>
              <w:jc w:val="center"/>
              <w:rPr>
                <w:szCs w:val="28"/>
              </w:rPr>
            </w:pPr>
            <w:r>
              <w:rPr>
                <w:szCs w:val="28"/>
              </w:rPr>
              <w:t>1998</w:t>
            </w:r>
          </w:p>
        </w:tc>
        <w:tc>
          <w:tcPr>
            <w:tcW w:w="772" w:type="dxa"/>
            <w:tcBorders>
              <w:bottom w:val="single" w:sz="4" w:space="0" w:color="auto"/>
            </w:tcBorders>
            <w:vAlign w:val="center"/>
          </w:tcPr>
          <w:p w:rsidR="00000000" w:rsidRDefault="00000000">
            <w:pPr>
              <w:spacing w:after="0"/>
              <w:jc w:val="center"/>
              <w:rPr>
                <w:szCs w:val="28"/>
              </w:rPr>
            </w:pPr>
            <w:r>
              <w:rPr>
                <w:szCs w:val="28"/>
              </w:rPr>
              <w:t>1999</w:t>
            </w:r>
          </w:p>
        </w:tc>
        <w:tc>
          <w:tcPr>
            <w:tcW w:w="772" w:type="dxa"/>
            <w:tcBorders>
              <w:bottom w:val="single" w:sz="4" w:space="0" w:color="auto"/>
            </w:tcBorders>
            <w:vAlign w:val="center"/>
          </w:tcPr>
          <w:p w:rsidR="00000000" w:rsidRDefault="00000000">
            <w:pPr>
              <w:spacing w:after="0"/>
              <w:jc w:val="center"/>
              <w:rPr>
                <w:szCs w:val="28"/>
              </w:rPr>
            </w:pPr>
            <w:r>
              <w:rPr>
                <w:szCs w:val="28"/>
              </w:rPr>
              <w:t>2000</w:t>
            </w:r>
          </w:p>
        </w:tc>
        <w:tc>
          <w:tcPr>
            <w:tcW w:w="772" w:type="dxa"/>
            <w:tcBorders>
              <w:bottom w:val="single" w:sz="4" w:space="0" w:color="auto"/>
            </w:tcBorders>
            <w:vAlign w:val="center"/>
          </w:tcPr>
          <w:p w:rsidR="00000000" w:rsidRDefault="00000000">
            <w:pPr>
              <w:spacing w:after="0"/>
              <w:jc w:val="center"/>
              <w:rPr>
                <w:szCs w:val="28"/>
              </w:rPr>
            </w:pPr>
            <w:r>
              <w:rPr>
                <w:szCs w:val="28"/>
              </w:rPr>
              <w:t>2001</w:t>
            </w:r>
          </w:p>
        </w:tc>
      </w:tr>
      <w:tr w:rsidR="00000000">
        <w:tblPrEx>
          <w:tblCellMar>
            <w:top w:w="0" w:type="dxa"/>
            <w:bottom w:w="0" w:type="dxa"/>
          </w:tblCellMar>
        </w:tblPrEx>
        <w:tc>
          <w:tcPr>
            <w:tcW w:w="2410" w:type="dxa"/>
            <w:tcBorders>
              <w:bottom w:val="nil"/>
            </w:tcBorders>
            <w:vAlign w:val="bottom"/>
          </w:tcPr>
          <w:p w:rsidR="00000000" w:rsidRDefault="00000000">
            <w:pPr>
              <w:pStyle w:val="Header"/>
              <w:tabs>
                <w:tab w:val="clear" w:pos="4320"/>
                <w:tab w:val="clear" w:pos="8640"/>
              </w:tabs>
              <w:spacing w:after="0"/>
              <w:rPr>
                <w:szCs w:val="32"/>
              </w:rPr>
            </w:pPr>
            <w:r>
              <w:rPr>
                <w:szCs w:val="32"/>
              </w:rPr>
              <w:t xml:space="preserve">Infants immunized  </w:t>
            </w:r>
            <w:r>
              <w:rPr>
                <w:szCs w:val="32"/>
              </w:rPr>
              <w:br/>
              <w:t xml:space="preserve">   against tuberculosis</w:t>
            </w:r>
          </w:p>
        </w:tc>
        <w:tc>
          <w:tcPr>
            <w:tcW w:w="771" w:type="dxa"/>
            <w:tcBorders>
              <w:bottom w:val="nil"/>
            </w:tcBorders>
          </w:tcPr>
          <w:p w:rsidR="00000000" w:rsidRDefault="00000000">
            <w:pPr>
              <w:spacing w:after="0"/>
              <w:ind w:right="-113"/>
              <w:jc w:val="center"/>
              <w:rPr>
                <w:szCs w:val="28"/>
              </w:rPr>
            </w:pPr>
            <w:r>
              <w:rPr>
                <w:szCs w:val="28"/>
              </w:rPr>
              <w:t>82.0</w:t>
            </w:r>
          </w:p>
        </w:tc>
        <w:tc>
          <w:tcPr>
            <w:tcW w:w="772" w:type="dxa"/>
            <w:tcBorders>
              <w:bottom w:val="nil"/>
            </w:tcBorders>
          </w:tcPr>
          <w:p w:rsidR="00000000" w:rsidRDefault="00000000">
            <w:pPr>
              <w:spacing w:after="0"/>
              <w:ind w:right="-113"/>
              <w:jc w:val="center"/>
              <w:rPr>
                <w:szCs w:val="28"/>
              </w:rPr>
            </w:pPr>
            <w:r>
              <w:rPr>
                <w:szCs w:val="28"/>
              </w:rPr>
              <w:t>87.0</w:t>
            </w:r>
          </w:p>
        </w:tc>
        <w:tc>
          <w:tcPr>
            <w:tcW w:w="772" w:type="dxa"/>
            <w:tcBorders>
              <w:bottom w:val="nil"/>
            </w:tcBorders>
          </w:tcPr>
          <w:p w:rsidR="00000000" w:rsidRDefault="00000000">
            <w:pPr>
              <w:spacing w:after="0"/>
              <w:ind w:right="57"/>
              <w:jc w:val="right"/>
              <w:rPr>
                <w:szCs w:val="28"/>
              </w:rPr>
            </w:pPr>
            <w:r>
              <w:rPr>
                <w:szCs w:val="28"/>
              </w:rPr>
              <w:t>97.0</w:t>
            </w:r>
          </w:p>
        </w:tc>
        <w:tc>
          <w:tcPr>
            <w:tcW w:w="772" w:type="dxa"/>
            <w:tcBorders>
              <w:bottom w:val="nil"/>
            </w:tcBorders>
          </w:tcPr>
          <w:p w:rsidR="00000000" w:rsidRDefault="00000000">
            <w:pPr>
              <w:spacing w:after="0"/>
              <w:ind w:right="57"/>
              <w:jc w:val="right"/>
              <w:rPr>
                <w:szCs w:val="28"/>
              </w:rPr>
            </w:pPr>
            <w:r>
              <w:rPr>
                <w:szCs w:val="28"/>
              </w:rPr>
              <w:t>94.0</w:t>
            </w:r>
          </w:p>
        </w:tc>
        <w:tc>
          <w:tcPr>
            <w:tcW w:w="771" w:type="dxa"/>
            <w:tcBorders>
              <w:bottom w:val="nil"/>
            </w:tcBorders>
          </w:tcPr>
          <w:p w:rsidR="00000000" w:rsidRDefault="00000000">
            <w:pPr>
              <w:spacing w:after="0"/>
              <w:ind w:right="-57"/>
              <w:jc w:val="center"/>
              <w:rPr>
                <w:szCs w:val="28"/>
              </w:rPr>
            </w:pPr>
            <w:r>
              <w:rPr>
                <w:szCs w:val="28"/>
              </w:rPr>
              <w:t>94.0</w:t>
            </w:r>
          </w:p>
        </w:tc>
        <w:tc>
          <w:tcPr>
            <w:tcW w:w="772" w:type="dxa"/>
            <w:tcBorders>
              <w:bottom w:val="nil"/>
            </w:tcBorders>
          </w:tcPr>
          <w:p w:rsidR="00000000" w:rsidRDefault="00000000">
            <w:pPr>
              <w:spacing w:after="0"/>
              <w:ind w:right="57"/>
              <w:jc w:val="right"/>
              <w:rPr>
                <w:szCs w:val="28"/>
              </w:rPr>
            </w:pPr>
            <w:r>
              <w:rPr>
                <w:szCs w:val="28"/>
              </w:rPr>
              <w:t>87.0</w:t>
            </w:r>
          </w:p>
        </w:tc>
        <w:tc>
          <w:tcPr>
            <w:tcW w:w="772" w:type="dxa"/>
            <w:tcBorders>
              <w:bottom w:val="nil"/>
            </w:tcBorders>
          </w:tcPr>
          <w:p w:rsidR="00000000" w:rsidRDefault="00000000">
            <w:pPr>
              <w:spacing w:after="0"/>
              <w:ind w:right="57"/>
              <w:jc w:val="right"/>
              <w:rPr>
                <w:szCs w:val="28"/>
              </w:rPr>
            </w:pPr>
            <w:r>
              <w:rPr>
                <w:szCs w:val="28"/>
              </w:rPr>
              <w:t>83.0</w:t>
            </w:r>
          </w:p>
        </w:tc>
        <w:tc>
          <w:tcPr>
            <w:tcW w:w="772" w:type="dxa"/>
            <w:tcBorders>
              <w:bottom w:val="nil"/>
            </w:tcBorders>
          </w:tcPr>
          <w:p w:rsidR="00000000" w:rsidRDefault="00000000">
            <w:pPr>
              <w:spacing w:after="0"/>
              <w:ind w:right="57"/>
              <w:jc w:val="right"/>
            </w:pPr>
            <w:r>
              <w:rPr>
                <w:szCs w:val="28"/>
              </w:rPr>
              <w:t>85.0</w:t>
            </w:r>
          </w:p>
        </w:tc>
        <w:tc>
          <w:tcPr>
            <w:tcW w:w="772" w:type="dxa"/>
            <w:tcBorders>
              <w:bottom w:val="nil"/>
            </w:tcBorders>
          </w:tcPr>
          <w:p w:rsidR="00000000" w:rsidRDefault="00000000">
            <w:pPr>
              <w:spacing w:after="0"/>
              <w:ind w:right="57"/>
              <w:jc w:val="right"/>
              <w:rPr>
                <w:szCs w:val="28"/>
              </w:rPr>
            </w:pPr>
            <w:r>
              <w:rPr>
                <w:szCs w:val="28"/>
              </w:rPr>
              <w:t>91.0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405"/>
        </w:trPr>
        <w:tc>
          <w:tcPr>
            <w:tcW w:w="241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pStyle w:val="Header"/>
              <w:tabs>
                <w:tab w:val="clear" w:pos="4320"/>
                <w:tab w:val="clear" w:pos="8640"/>
              </w:tabs>
              <w:spacing w:after="0"/>
              <w:ind w:left="103"/>
              <w:rPr>
                <w:szCs w:val="32"/>
              </w:rPr>
            </w:pPr>
            <w:r>
              <w:rPr>
                <w:szCs w:val="32"/>
              </w:rPr>
              <w:t xml:space="preserve">Infants immunized </w:t>
            </w:r>
            <w:r>
              <w:rPr>
                <w:szCs w:val="32"/>
              </w:rPr>
              <w:br/>
              <w:t xml:space="preserve">   against diphtheria</w:t>
            </w:r>
          </w:p>
        </w:tc>
        <w:tc>
          <w:tcPr>
            <w:tcW w:w="771"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99.0</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96.3</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97.0</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98.0</w:t>
            </w:r>
          </w:p>
        </w:tc>
        <w:tc>
          <w:tcPr>
            <w:tcW w:w="771"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57"/>
              <w:jc w:val="center"/>
              <w:rPr>
                <w:szCs w:val="28"/>
              </w:rPr>
            </w:pPr>
            <w:r>
              <w:rPr>
                <w:szCs w:val="28"/>
              </w:rPr>
              <w:t>98.6</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57"/>
              <w:jc w:val="center"/>
              <w:rPr>
                <w:szCs w:val="28"/>
              </w:rPr>
            </w:pPr>
            <w:r>
              <w:rPr>
                <w:szCs w:val="28"/>
              </w:rPr>
              <w:t>96.0</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57"/>
              <w:jc w:val="center"/>
              <w:rPr>
                <w:szCs w:val="28"/>
              </w:rPr>
            </w:pPr>
            <w:r>
              <w:rPr>
                <w:szCs w:val="28"/>
              </w:rPr>
              <w:t>97.0</w:t>
            </w:r>
          </w:p>
        </w:tc>
        <w:tc>
          <w:tcPr>
            <w:tcW w:w="772" w:type="dxa"/>
            <w:tcBorders>
              <w:left w:val="single" w:sz="4" w:space="0" w:color="auto"/>
              <w:right w:val="single" w:sz="4" w:space="0" w:color="auto"/>
            </w:tcBorders>
          </w:tcPr>
          <w:p w:rsidR="00000000" w:rsidRDefault="00000000">
            <w:pPr>
              <w:spacing w:after="0"/>
              <w:ind w:right="-57"/>
              <w:jc w:val="center"/>
              <w:rPr>
                <w:szCs w:val="28"/>
              </w:rPr>
            </w:pPr>
            <w:r>
              <w:rPr>
                <w:szCs w:val="28"/>
              </w:rPr>
              <w:t>95.0</w:t>
            </w:r>
          </w:p>
        </w:tc>
        <w:tc>
          <w:tcPr>
            <w:tcW w:w="772" w:type="dxa"/>
            <w:tcBorders>
              <w:left w:val="single" w:sz="4" w:space="0" w:color="auto"/>
              <w:right w:val="single" w:sz="4" w:space="0" w:color="auto"/>
            </w:tcBorders>
          </w:tcPr>
          <w:p w:rsidR="00000000" w:rsidRDefault="00000000">
            <w:pPr>
              <w:spacing w:after="0"/>
              <w:ind w:right="-57"/>
              <w:jc w:val="center"/>
              <w:rPr>
                <w:szCs w:val="28"/>
              </w:rPr>
            </w:pPr>
            <w:r>
              <w:rPr>
                <w:szCs w:val="28"/>
              </w:rPr>
              <w:t>96.7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405"/>
        </w:trPr>
        <w:tc>
          <w:tcPr>
            <w:tcW w:w="241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left="103"/>
              <w:rPr>
                <w:szCs w:val="32"/>
              </w:rPr>
            </w:pPr>
            <w:r>
              <w:rPr>
                <w:szCs w:val="32"/>
              </w:rPr>
              <w:t xml:space="preserve">Infants immunized </w:t>
            </w:r>
            <w:r>
              <w:rPr>
                <w:szCs w:val="32"/>
              </w:rPr>
              <w:br/>
              <w:t xml:space="preserve">   against tetanus</w:t>
            </w:r>
          </w:p>
        </w:tc>
        <w:tc>
          <w:tcPr>
            <w:tcW w:w="771"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99.0</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96.3</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97.0</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113"/>
              <w:jc w:val="center"/>
              <w:rPr>
                <w:szCs w:val="28"/>
              </w:rPr>
            </w:pPr>
            <w:r>
              <w:rPr>
                <w:szCs w:val="28"/>
              </w:rPr>
              <w:t>98.0</w:t>
            </w:r>
          </w:p>
        </w:tc>
        <w:tc>
          <w:tcPr>
            <w:tcW w:w="771"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57"/>
              <w:jc w:val="center"/>
              <w:rPr>
                <w:szCs w:val="28"/>
              </w:rPr>
            </w:pPr>
            <w:r>
              <w:rPr>
                <w:szCs w:val="28"/>
              </w:rPr>
              <w:t>98.6</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57"/>
              <w:jc w:val="center"/>
              <w:rPr>
                <w:szCs w:val="28"/>
              </w:rPr>
            </w:pPr>
            <w:r>
              <w:rPr>
                <w:szCs w:val="28"/>
              </w:rPr>
              <w:t>96.0</w:t>
            </w:r>
          </w:p>
        </w:tc>
        <w:tc>
          <w:tcPr>
            <w:tcW w:w="772"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0"/>
              <w:ind w:right="-57"/>
              <w:jc w:val="center"/>
              <w:rPr>
                <w:szCs w:val="28"/>
              </w:rPr>
            </w:pPr>
            <w:r>
              <w:rPr>
                <w:szCs w:val="28"/>
              </w:rPr>
              <w:t>97.0</w:t>
            </w:r>
          </w:p>
        </w:tc>
        <w:tc>
          <w:tcPr>
            <w:tcW w:w="772" w:type="dxa"/>
            <w:tcBorders>
              <w:left w:val="single" w:sz="4" w:space="0" w:color="auto"/>
              <w:right w:val="single" w:sz="4" w:space="0" w:color="auto"/>
            </w:tcBorders>
          </w:tcPr>
          <w:p w:rsidR="00000000" w:rsidRDefault="00000000">
            <w:pPr>
              <w:spacing w:after="0"/>
              <w:ind w:right="-57"/>
              <w:jc w:val="center"/>
              <w:rPr>
                <w:szCs w:val="28"/>
              </w:rPr>
            </w:pPr>
            <w:r>
              <w:rPr>
                <w:szCs w:val="28"/>
              </w:rPr>
              <w:t>95.0</w:t>
            </w:r>
          </w:p>
        </w:tc>
        <w:tc>
          <w:tcPr>
            <w:tcW w:w="772" w:type="dxa"/>
            <w:tcBorders>
              <w:left w:val="single" w:sz="4" w:space="0" w:color="auto"/>
              <w:right w:val="single" w:sz="4" w:space="0" w:color="auto"/>
            </w:tcBorders>
          </w:tcPr>
          <w:p w:rsidR="00000000" w:rsidRDefault="00000000">
            <w:pPr>
              <w:spacing w:after="0"/>
              <w:ind w:right="-57"/>
              <w:jc w:val="center"/>
              <w:rPr>
                <w:szCs w:val="28"/>
              </w:rPr>
            </w:pPr>
            <w:r>
              <w:rPr>
                <w:szCs w:val="28"/>
              </w:rPr>
              <w:t>96.7</w:t>
            </w: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rPr>
                <w:szCs w:val="32"/>
              </w:rPr>
            </w:pPr>
            <w:r>
              <w:rPr>
                <w:szCs w:val="32"/>
              </w:rPr>
              <w:t xml:space="preserve">Infants immunized </w:t>
            </w:r>
            <w:r>
              <w:rPr>
                <w:szCs w:val="32"/>
              </w:rPr>
              <w:br/>
              <w:t xml:space="preserve">   against pertussis</w:t>
            </w:r>
          </w:p>
        </w:tc>
        <w:tc>
          <w:tcPr>
            <w:tcW w:w="771" w:type="dxa"/>
            <w:tcBorders>
              <w:top w:val="nil"/>
              <w:bottom w:val="nil"/>
            </w:tcBorders>
          </w:tcPr>
          <w:p w:rsidR="00000000" w:rsidRDefault="00000000">
            <w:pPr>
              <w:spacing w:after="0"/>
              <w:ind w:right="-113"/>
              <w:jc w:val="center"/>
              <w:rPr>
                <w:szCs w:val="28"/>
              </w:rPr>
            </w:pPr>
            <w:r>
              <w:rPr>
                <w:szCs w:val="28"/>
              </w:rPr>
              <w:t>99.0</w:t>
            </w:r>
          </w:p>
        </w:tc>
        <w:tc>
          <w:tcPr>
            <w:tcW w:w="772" w:type="dxa"/>
            <w:tcBorders>
              <w:top w:val="nil"/>
              <w:bottom w:val="nil"/>
            </w:tcBorders>
          </w:tcPr>
          <w:p w:rsidR="00000000" w:rsidRDefault="00000000">
            <w:pPr>
              <w:spacing w:after="0"/>
              <w:ind w:right="57"/>
              <w:jc w:val="right"/>
              <w:rPr>
                <w:szCs w:val="28"/>
              </w:rPr>
            </w:pPr>
            <w:r>
              <w:rPr>
                <w:szCs w:val="28"/>
              </w:rPr>
              <w:t>96.3</w:t>
            </w:r>
          </w:p>
        </w:tc>
        <w:tc>
          <w:tcPr>
            <w:tcW w:w="772" w:type="dxa"/>
            <w:tcBorders>
              <w:top w:val="nil"/>
              <w:bottom w:val="nil"/>
            </w:tcBorders>
          </w:tcPr>
          <w:p w:rsidR="00000000" w:rsidRDefault="00000000">
            <w:pPr>
              <w:spacing w:after="0"/>
              <w:ind w:right="57"/>
              <w:jc w:val="right"/>
              <w:rPr>
                <w:szCs w:val="28"/>
              </w:rPr>
            </w:pPr>
            <w:r>
              <w:rPr>
                <w:szCs w:val="28"/>
              </w:rPr>
              <w:t>97.0</w:t>
            </w:r>
          </w:p>
        </w:tc>
        <w:tc>
          <w:tcPr>
            <w:tcW w:w="772" w:type="dxa"/>
            <w:tcBorders>
              <w:top w:val="nil"/>
              <w:bottom w:val="nil"/>
            </w:tcBorders>
          </w:tcPr>
          <w:p w:rsidR="00000000" w:rsidRDefault="00000000">
            <w:pPr>
              <w:spacing w:after="0"/>
              <w:ind w:right="57"/>
              <w:jc w:val="right"/>
              <w:rPr>
                <w:szCs w:val="28"/>
              </w:rPr>
            </w:pPr>
            <w:r>
              <w:rPr>
                <w:szCs w:val="28"/>
              </w:rPr>
              <w:t>98.0</w:t>
            </w:r>
          </w:p>
        </w:tc>
        <w:tc>
          <w:tcPr>
            <w:tcW w:w="771" w:type="dxa"/>
            <w:tcBorders>
              <w:top w:val="nil"/>
              <w:bottom w:val="nil"/>
            </w:tcBorders>
          </w:tcPr>
          <w:p w:rsidR="00000000" w:rsidRDefault="00000000">
            <w:pPr>
              <w:spacing w:after="0"/>
              <w:ind w:right="-57"/>
              <w:jc w:val="center"/>
              <w:rPr>
                <w:szCs w:val="28"/>
              </w:rPr>
            </w:pPr>
            <w:r>
              <w:rPr>
                <w:szCs w:val="28"/>
              </w:rPr>
              <w:t>98.6</w:t>
            </w:r>
          </w:p>
        </w:tc>
        <w:tc>
          <w:tcPr>
            <w:tcW w:w="772" w:type="dxa"/>
            <w:tcBorders>
              <w:top w:val="nil"/>
              <w:bottom w:val="nil"/>
            </w:tcBorders>
          </w:tcPr>
          <w:p w:rsidR="00000000" w:rsidRDefault="00000000">
            <w:pPr>
              <w:spacing w:after="0"/>
              <w:ind w:right="57"/>
              <w:jc w:val="right"/>
              <w:rPr>
                <w:szCs w:val="28"/>
              </w:rPr>
            </w:pPr>
            <w:r>
              <w:rPr>
                <w:szCs w:val="28"/>
              </w:rPr>
              <w:t>96.0</w:t>
            </w:r>
          </w:p>
        </w:tc>
        <w:tc>
          <w:tcPr>
            <w:tcW w:w="772" w:type="dxa"/>
            <w:tcBorders>
              <w:top w:val="nil"/>
              <w:bottom w:val="nil"/>
            </w:tcBorders>
          </w:tcPr>
          <w:p w:rsidR="00000000" w:rsidRDefault="00000000">
            <w:pPr>
              <w:spacing w:after="0"/>
              <w:ind w:right="57"/>
              <w:jc w:val="right"/>
              <w:rPr>
                <w:szCs w:val="28"/>
              </w:rPr>
            </w:pPr>
            <w:r>
              <w:rPr>
                <w:szCs w:val="28"/>
              </w:rPr>
              <w:t>97.0</w:t>
            </w:r>
          </w:p>
        </w:tc>
        <w:tc>
          <w:tcPr>
            <w:tcW w:w="772" w:type="dxa"/>
            <w:tcBorders>
              <w:top w:val="nil"/>
              <w:bottom w:val="nil"/>
            </w:tcBorders>
          </w:tcPr>
          <w:p w:rsidR="00000000" w:rsidRDefault="00000000">
            <w:pPr>
              <w:spacing w:after="0"/>
              <w:ind w:right="57"/>
              <w:jc w:val="right"/>
              <w:rPr>
                <w:szCs w:val="28"/>
              </w:rPr>
            </w:pPr>
            <w:r>
              <w:rPr>
                <w:szCs w:val="28"/>
              </w:rPr>
              <w:t>95.0</w:t>
            </w:r>
          </w:p>
        </w:tc>
        <w:tc>
          <w:tcPr>
            <w:tcW w:w="772" w:type="dxa"/>
            <w:tcBorders>
              <w:top w:val="nil"/>
              <w:bottom w:val="nil"/>
            </w:tcBorders>
          </w:tcPr>
          <w:p w:rsidR="00000000" w:rsidRDefault="00000000">
            <w:pPr>
              <w:spacing w:after="0"/>
              <w:ind w:right="57"/>
              <w:jc w:val="right"/>
              <w:rPr>
                <w:szCs w:val="28"/>
              </w:rPr>
            </w:pPr>
            <w:r>
              <w:rPr>
                <w:szCs w:val="28"/>
              </w:rPr>
              <w:t>97.0</w:t>
            </w: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rPr>
                <w:szCs w:val="32"/>
              </w:rPr>
            </w:pPr>
            <w:r>
              <w:rPr>
                <w:szCs w:val="32"/>
              </w:rPr>
              <w:t xml:space="preserve">Infants immunized </w:t>
            </w:r>
            <w:r>
              <w:rPr>
                <w:szCs w:val="32"/>
              </w:rPr>
              <w:br/>
              <w:t xml:space="preserve">   against measles</w:t>
            </w:r>
          </w:p>
        </w:tc>
        <w:tc>
          <w:tcPr>
            <w:tcW w:w="771" w:type="dxa"/>
            <w:tcBorders>
              <w:top w:val="nil"/>
              <w:bottom w:val="nil"/>
            </w:tcBorders>
          </w:tcPr>
          <w:p w:rsidR="00000000" w:rsidRDefault="00000000">
            <w:pPr>
              <w:spacing w:after="0"/>
              <w:ind w:right="-113"/>
              <w:jc w:val="center"/>
              <w:rPr>
                <w:szCs w:val="28"/>
              </w:rPr>
            </w:pPr>
            <w:r>
              <w:rPr>
                <w:szCs w:val="28"/>
              </w:rPr>
              <w:t>76.0</w:t>
            </w:r>
          </w:p>
        </w:tc>
        <w:tc>
          <w:tcPr>
            <w:tcW w:w="772" w:type="dxa"/>
            <w:tcBorders>
              <w:top w:val="nil"/>
              <w:bottom w:val="nil"/>
            </w:tcBorders>
          </w:tcPr>
          <w:p w:rsidR="00000000" w:rsidRDefault="00000000">
            <w:pPr>
              <w:spacing w:after="0"/>
              <w:ind w:right="57"/>
              <w:jc w:val="right"/>
              <w:rPr>
                <w:szCs w:val="28"/>
              </w:rPr>
            </w:pPr>
            <w:r>
              <w:rPr>
                <w:szCs w:val="28"/>
              </w:rPr>
              <w:t>81.2</w:t>
            </w:r>
          </w:p>
        </w:tc>
        <w:tc>
          <w:tcPr>
            <w:tcW w:w="772" w:type="dxa"/>
            <w:tcBorders>
              <w:top w:val="nil"/>
              <w:bottom w:val="nil"/>
            </w:tcBorders>
          </w:tcPr>
          <w:p w:rsidR="00000000" w:rsidRDefault="00000000">
            <w:pPr>
              <w:spacing w:after="0"/>
              <w:ind w:right="57"/>
              <w:jc w:val="right"/>
              <w:rPr>
                <w:szCs w:val="28"/>
              </w:rPr>
            </w:pPr>
            <w:r>
              <w:rPr>
                <w:szCs w:val="28"/>
              </w:rPr>
              <w:t>91.0</w:t>
            </w:r>
          </w:p>
        </w:tc>
        <w:tc>
          <w:tcPr>
            <w:tcW w:w="772" w:type="dxa"/>
            <w:tcBorders>
              <w:top w:val="nil"/>
              <w:bottom w:val="nil"/>
            </w:tcBorders>
          </w:tcPr>
          <w:p w:rsidR="00000000" w:rsidRDefault="00000000">
            <w:pPr>
              <w:spacing w:after="0"/>
              <w:ind w:right="57"/>
              <w:jc w:val="right"/>
              <w:rPr>
                <w:szCs w:val="28"/>
              </w:rPr>
            </w:pPr>
            <w:r>
              <w:rPr>
                <w:szCs w:val="28"/>
              </w:rPr>
              <w:t>92.0</w:t>
            </w:r>
          </w:p>
        </w:tc>
        <w:tc>
          <w:tcPr>
            <w:tcW w:w="771" w:type="dxa"/>
            <w:tcBorders>
              <w:top w:val="nil"/>
              <w:bottom w:val="nil"/>
            </w:tcBorders>
          </w:tcPr>
          <w:p w:rsidR="00000000" w:rsidRDefault="00000000">
            <w:pPr>
              <w:spacing w:after="0"/>
              <w:ind w:right="-57"/>
              <w:jc w:val="center"/>
              <w:rPr>
                <w:szCs w:val="28"/>
              </w:rPr>
            </w:pPr>
            <w:r>
              <w:rPr>
                <w:szCs w:val="28"/>
              </w:rPr>
              <w:t>95.0</w:t>
            </w:r>
          </w:p>
        </w:tc>
        <w:tc>
          <w:tcPr>
            <w:tcW w:w="772" w:type="dxa"/>
            <w:tcBorders>
              <w:top w:val="nil"/>
              <w:bottom w:val="nil"/>
            </w:tcBorders>
          </w:tcPr>
          <w:p w:rsidR="00000000" w:rsidRDefault="00000000">
            <w:pPr>
              <w:spacing w:after="0"/>
              <w:ind w:right="57"/>
              <w:jc w:val="right"/>
              <w:rPr>
                <w:szCs w:val="28"/>
              </w:rPr>
            </w:pPr>
            <w:r>
              <w:rPr>
                <w:szCs w:val="28"/>
              </w:rPr>
              <w:t>90.0</w:t>
            </w:r>
          </w:p>
        </w:tc>
        <w:tc>
          <w:tcPr>
            <w:tcW w:w="772" w:type="dxa"/>
            <w:tcBorders>
              <w:top w:val="nil"/>
              <w:bottom w:val="nil"/>
            </w:tcBorders>
          </w:tcPr>
          <w:p w:rsidR="00000000" w:rsidRDefault="00000000">
            <w:pPr>
              <w:spacing w:after="0"/>
              <w:ind w:right="57"/>
              <w:jc w:val="right"/>
              <w:rPr>
                <w:szCs w:val="28"/>
              </w:rPr>
            </w:pPr>
            <w:r>
              <w:rPr>
                <w:szCs w:val="28"/>
              </w:rPr>
              <w:t>91.0</w:t>
            </w:r>
          </w:p>
        </w:tc>
        <w:tc>
          <w:tcPr>
            <w:tcW w:w="772" w:type="dxa"/>
            <w:tcBorders>
              <w:top w:val="nil"/>
              <w:bottom w:val="nil"/>
            </w:tcBorders>
          </w:tcPr>
          <w:p w:rsidR="00000000" w:rsidRDefault="00000000">
            <w:pPr>
              <w:spacing w:after="0"/>
              <w:ind w:right="57"/>
              <w:jc w:val="right"/>
              <w:rPr>
                <w:szCs w:val="28"/>
              </w:rPr>
            </w:pPr>
            <w:r>
              <w:rPr>
                <w:szCs w:val="28"/>
              </w:rPr>
              <w:t>92.0</w:t>
            </w:r>
          </w:p>
        </w:tc>
        <w:tc>
          <w:tcPr>
            <w:tcW w:w="772" w:type="dxa"/>
            <w:tcBorders>
              <w:top w:val="nil"/>
              <w:bottom w:val="nil"/>
            </w:tcBorders>
          </w:tcPr>
          <w:p w:rsidR="00000000" w:rsidRDefault="00000000">
            <w:pPr>
              <w:spacing w:after="0"/>
              <w:ind w:right="57"/>
              <w:jc w:val="right"/>
              <w:rPr>
                <w:szCs w:val="28"/>
              </w:rPr>
            </w:pPr>
            <w:r>
              <w:rPr>
                <w:szCs w:val="28"/>
              </w:rPr>
              <w:t>95.0</w:t>
            </w:r>
          </w:p>
        </w:tc>
      </w:tr>
      <w:tr w:rsidR="00000000">
        <w:tblPrEx>
          <w:tblCellMar>
            <w:top w:w="0" w:type="dxa"/>
            <w:bottom w:w="0" w:type="dxa"/>
          </w:tblCellMar>
        </w:tblPrEx>
        <w:tc>
          <w:tcPr>
            <w:tcW w:w="2410" w:type="dxa"/>
            <w:tcBorders>
              <w:top w:val="nil"/>
            </w:tcBorders>
            <w:vAlign w:val="bottom"/>
          </w:tcPr>
          <w:p w:rsidR="00000000" w:rsidRDefault="00000000">
            <w:pPr>
              <w:spacing w:after="0"/>
              <w:rPr>
                <w:szCs w:val="32"/>
              </w:rPr>
            </w:pPr>
            <w:r>
              <w:rPr>
                <w:szCs w:val="32"/>
              </w:rPr>
              <w:t xml:space="preserve">Infants immunized </w:t>
            </w:r>
            <w:r>
              <w:rPr>
                <w:szCs w:val="32"/>
              </w:rPr>
              <w:br/>
              <w:t xml:space="preserve">   against poliomyelitis</w:t>
            </w:r>
          </w:p>
        </w:tc>
        <w:tc>
          <w:tcPr>
            <w:tcW w:w="771" w:type="dxa"/>
            <w:tcBorders>
              <w:top w:val="nil"/>
            </w:tcBorders>
          </w:tcPr>
          <w:p w:rsidR="00000000" w:rsidRDefault="00000000">
            <w:pPr>
              <w:spacing w:after="0"/>
              <w:ind w:right="-113"/>
              <w:jc w:val="center"/>
              <w:rPr>
                <w:szCs w:val="28"/>
              </w:rPr>
            </w:pPr>
            <w:r>
              <w:rPr>
                <w:szCs w:val="28"/>
              </w:rPr>
              <w:t>97.0</w:t>
            </w:r>
          </w:p>
        </w:tc>
        <w:tc>
          <w:tcPr>
            <w:tcW w:w="772" w:type="dxa"/>
            <w:tcBorders>
              <w:top w:val="nil"/>
            </w:tcBorders>
          </w:tcPr>
          <w:p w:rsidR="00000000" w:rsidRDefault="00000000">
            <w:pPr>
              <w:spacing w:after="0"/>
              <w:ind w:right="57"/>
              <w:jc w:val="right"/>
              <w:rPr>
                <w:szCs w:val="28"/>
              </w:rPr>
            </w:pPr>
            <w:r>
              <w:rPr>
                <w:szCs w:val="28"/>
              </w:rPr>
              <w:t>97.0</w:t>
            </w:r>
          </w:p>
        </w:tc>
        <w:tc>
          <w:tcPr>
            <w:tcW w:w="772" w:type="dxa"/>
            <w:tcBorders>
              <w:top w:val="nil"/>
            </w:tcBorders>
          </w:tcPr>
          <w:p w:rsidR="00000000" w:rsidRDefault="00000000">
            <w:pPr>
              <w:spacing w:after="0"/>
              <w:ind w:right="57"/>
              <w:jc w:val="right"/>
              <w:rPr>
                <w:szCs w:val="28"/>
              </w:rPr>
            </w:pPr>
            <w:r>
              <w:rPr>
                <w:szCs w:val="28"/>
              </w:rPr>
              <w:t>98.0</w:t>
            </w:r>
          </w:p>
        </w:tc>
        <w:tc>
          <w:tcPr>
            <w:tcW w:w="772" w:type="dxa"/>
            <w:tcBorders>
              <w:top w:val="nil"/>
            </w:tcBorders>
          </w:tcPr>
          <w:p w:rsidR="00000000" w:rsidRDefault="00000000">
            <w:pPr>
              <w:spacing w:after="0"/>
              <w:ind w:right="57"/>
              <w:jc w:val="right"/>
              <w:rPr>
                <w:szCs w:val="28"/>
              </w:rPr>
            </w:pPr>
            <w:r>
              <w:rPr>
                <w:szCs w:val="28"/>
              </w:rPr>
              <w:t>99.6</w:t>
            </w:r>
          </w:p>
        </w:tc>
        <w:tc>
          <w:tcPr>
            <w:tcW w:w="771" w:type="dxa"/>
            <w:tcBorders>
              <w:top w:val="nil"/>
            </w:tcBorders>
          </w:tcPr>
          <w:p w:rsidR="00000000" w:rsidRDefault="00000000">
            <w:pPr>
              <w:spacing w:after="0"/>
              <w:ind w:right="-57"/>
              <w:jc w:val="center"/>
              <w:rPr>
                <w:szCs w:val="28"/>
              </w:rPr>
            </w:pPr>
            <w:r>
              <w:rPr>
                <w:szCs w:val="28"/>
              </w:rPr>
              <w:t>99.9</w:t>
            </w:r>
          </w:p>
        </w:tc>
        <w:tc>
          <w:tcPr>
            <w:tcW w:w="772" w:type="dxa"/>
            <w:tcBorders>
              <w:top w:val="nil"/>
            </w:tcBorders>
          </w:tcPr>
          <w:p w:rsidR="00000000" w:rsidRDefault="00000000">
            <w:pPr>
              <w:spacing w:after="0"/>
              <w:ind w:right="57"/>
              <w:jc w:val="right"/>
              <w:rPr>
                <w:szCs w:val="28"/>
              </w:rPr>
            </w:pPr>
            <w:r>
              <w:rPr>
                <w:szCs w:val="28"/>
              </w:rPr>
              <w:t>97.0</w:t>
            </w:r>
          </w:p>
        </w:tc>
        <w:tc>
          <w:tcPr>
            <w:tcW w:w="772" w:type="dxa"/>
            <w:tcBorders>
              <w:top w:val="nil"/>
            </w:tcBorders>
          </w:tcPr>
          <w:p w:rsidR="00000000" w:rsidRDefault="00000000">
            <w:pPr>
              <w:spacing w:after="0"/>
              <w:ind w:right="57"/>
              <w:jc w:val="right"/>
              <w:rPr>
                <w:szCs w:val="28"/>
              </w:rPr>
            </w:pPr>
            <w:r>
              <w:rPr>
                <w:szCs w:val="28"/>
              </w:rPr>
              <w:t>97.0</w:t>
            </w:r>
          </w:p>
        </w:tc>
        <w:tc>
          <w:tcPr>
            <w:tcW w:w="772" w:type="dxa"/>
            <w:tcBorders>
              <w:top w:val="nil"/>
            </w:tcBorders>
          </w:tcPr>
          <w:p w:rsidR="00000000" w:rsidRDefault="00000000">
            <w:pPr>
              <w:spacing w:after="0"/>
              <w:ind w:right="57"/>
              <w:jc w:val="right"/>
            </w:pPr>
            <w:r>
              <w:rPr>
                <w:szCs w:val="28"/>
              </w:rPr>
              <w:t>96.0</w:t>
            </w:r>
          </w:p>
        </w:tc>
        <w:tc>
          <w:tcPr>
            <w:tcW w:w="772" w:type="dxa"/>
            <w:tcBorders>
              <w:top w:val="nil"/>
            </w:tcBorders>
          </w:tcPr>
          <w:p w:rsidR="00000000" w:rsidRDefault="00000000">
            <w:pPr>
              <w:spacing w:after="0"/>
              <w:ind w:right="57"/>
              <w:jc w:val="right"/>
              <w:rPr>
                <w:szCs w:val="28"/>
              </w:rPr>
            </w:pPr>
            <w:r>
              <w:rPr>
                <w:szCs w:val="28"/>
              </w:rPr>
              <w:t>96.0</w:t>
            </w:r>
          </w:p>
        </w:tc>
      </w:tr>
    </w:tbl>
    <w:p w:rsidR="00000000" w:rsidRDefault="00000000">
      <w:pPr>
        <w:spacing w:before="240"/>
        <w:rPr>
          <w:bCs/>
        </w:rPr>
      </w:pPr>
      <w:r>
        <w:rPr>
          <w:b/>
        </w:rPr>
        <w:tab/>
      </w:r>
      <w:r>
        <w:rPr>
          <w:bCs/>
          <w:i/>
          <w:iCs/>
        </w:rPr>
        <w:t>Source</w:t>
      </w:r>
      <w:r>
        <w:rPr>
          <w:bCs/>
        </w:rPr>
        <w:t>:  INSTAT.</w:t>
      </w:r>
    </w:p>
    <w:p w:rsidR="00000000" w:rsidRDefault="00000000">
      <w:pPr>
        <w:pStyle w:val="Heading3"/>
      </w:pPr>
      <w:r>
        <w:t>Living environment - water supply</w:t>
      </w:r>
    </w:p>
    <w:p w:rsidR="00000000" w:rsidRDefault="00000000">
      <w:pPr>
        <w:pStyle w:val="ParaNo"/>
        <w:ind w:left="0" w:firstLine="0"/>
        <w:rPr>
          <w:lang w:val="en-GB"/>
        </w:rPr>
      </w:pPr>
      <w:r>
        <w:rPr>
          <w:lang w:val="en-GB"/>
        </w:rPr>
        <w:t>In Albania, more than 45 per cent of the population use potable water from an aqueduct in their homes.  Approximately 20 per cent have a water tap near their home and 16 per cent a public tap (MICS, UNICEF).  In the city, 90 per cent of the population have potable water from the aqueduct in their home.  In rural areas only 20 per cent obtain water from an aqueduct, 26 per cent have taps outside the houses and 25 per cent use water from public taps.  This study showed that approximately 97 per cent of the families have secure access to potable water, regardless of seasons and areas.</w:t>
      </w:r>
    </w:p>
    <w:p w:rsidR="00000000" w:rsidRDefault="00000000">
      <w:pPr>
        <w:pStyle w:val="ParaNo"/>
        <w:ind w:left="0" w:firstLine="0"/>
        <w:rPr>
          <w:lang w:val="en-GB"/>
        </w:rPr>
      </w:pPr>
      <w:r>
        <w:rPr>
          <w:lang w:val="en-GB"/>
        </w:rPr>
        <w:t>From a study conducted in some rural areas of the country during 2002, it appears that 80 per cent of families obtain potable water from the aqueduct or covered wells.  Approximately 18 per cent of these families obtain water from a public tap (common), and 20 per cent of the population obtain water from cavities or uncontrolled surface waters (rivers, reservoirs, etc.).</w:t>
      </w:r>
    </w:p>
    <w:p w:rsidR="00000000" w:rsidRDefault="00000000">
      <w:pPr>
        <w:pStyle w:val="ParaNo"/>
        <w:ind w:left="0" w:firstLine="0"/>
        <w:rPr>
          <w:lang w:val="en-GB"/>
        </w:rPr>
      </w:pPr>
      <w:r>
        <w:rPr>
          <w:lang w:val="en-GB"/>
        </w:rPr>
        <w:t>In rural areas that were subject of the study, approximately 94 per cent of the families declare that they have sufficient access to potable water during winter, while during summer such percentage falls to 68 per cent.</w:t>
      </w:r>
    </w:p>
    <w:p w:rsidR="00000000" w:rsidRDefault="00000000">
      <w:pPr>
        <w:pStyle w:val="ParaNo"/>
        <w:ind w:left="0" w:firstLine="0"/>
        <w:rPr>
          <w:lang w:val="en-GB"/>
        </w:rPr>
      </w:pPr>
      <w:r>
        <w:rPr>
          <w:lang w:val="en-GB"/>
        </w:rPr>
        <w:t>Ninety per cent of Albanian families live in houses with proper sewage systems, where there are septic holes with good sanitary conditions.  For the rural areas such figure reaches 84 per cent.  While in the city, 95 per cent of houses are connected to the sewage system, in the rural areas such figure reaches only 37 per cent.  The remaining part utilizes septic holes, and in over 15 per cent of the case such holes are improper (open) or do not exist at all.</w:t>
      </w:r>
    </w:p>
    <w:p w:rsidR="00000000" w:rsidRDefault="00000000">
      <w:pPr>
        <w:pStyle w:val="ParaNo"/>
        <w:ind w:left="0" w:firstLine="0"/>
        <w:rPr>
          <w:lang w:val="en-GB"/>
        </w:rPr>
      </w:pPr>
      <w:r>
        <w:rPr>
          <w:lang w:val="en-GB"/>
        </w:rPr>
        <w:br w:type="page"/>
        <w:t>Albania has many natural water sources.  Situated in the southern part of Europe on the shores of the Mediterranean, its climate is characterized by a warm summer, and a mild and humid winter.  The water quantity in the country is considerable and there are many underground sources with high quality from a perceptual and physiochemical point of view.  As a matter of fact, in the major part of the country, the quality of the underground natural waters is in compliance with the standards of WHO and international regulations, making unnecessary any treatment other than chlorification.</w:t>
      </w:r>
    </w:p>
    <w:p w:rsidR="00000000" w:rsidRDefault="00000000">
      <w:pPr>
        <w:pStyle w:val="ParaNo"/>
        <w:ind w:left="0" w:firstLine="0"/>
        <w:rPr>
          <w:lang w:val="en-GB"/>
        </w:rPr>
      </w:pPr>
      <w:r>
        <w:rPr>
          <w:lang w:val="en-GB"/>
        </w:rPr>
        <w:t>For the above reasons, Albania depends totally on underground waters for its potable water supply except for the capital, where half of the quantity of potable water is obtained by the treatment of surface waters.</w:t>
      </w:r>
    </w:p>
    <w:p w:rsidR="00000000" w:rsidRDefault="00000000">
      <w:pPr>
        <w:pStyle w:val="ParaNo"/>
        <w:ind w:left="0" w:firstLine="0"/>
        <w:rPr>
          <w:lang w:val="en-GB"/>
        </w:rPr>
      </w:pPr>
      <w:r>
        <w:rPr>
          <w:lang w:val="en-GB"/>
        </w:rPr>
        <w:t>The hydrographical reservoir of Albania reaches a total size of 43,305 km, of which only 28,748 km or 67 per cent, are inside Albanian boundaries.  The country is surrounded by various rivers, part of six main reservoirs, a number of natural lakes, etc.</w:t>
      </w:r>
    </w:p>
    <w:p w:rsidR="00000000" w:rsidRDefault="00000000">
      <w:pPr>
        <w:pStyle w:val="ParaNo"/>
        <w:ind w:left="0" w:firstLine="0"/>
        <w:rPr>
          <w:lang w:val="en-GB"/>
        </w:rPr>
      </w:pPr>
      <w:r>
        <w:rPr>
          <w:lang w:val="en-GB"/>
        </w:rPr>
        <w:t>The situation of the sewage system in Albania is in a critical state, considering the excessive wear on the network, massive losses, abusive connections, uncontrolled migration towards urban areas and lack of maintenance caused by the lack of funds.  The potable water supply coverage varies from 90 per cent in urban areas to 50 per cent in rural areas.  On average, water is available only for three to four hours per day, and in certain areas even less.</w:t>
      </w:r>
    </w:p>
    <w:p w:rsidR="00000000" w:rsidRDefault="00000000">
      <w:pPr>
        <w:pStyle w:val="ParaNo"/>
        <w:ind w:left="0" w:firstLine="0"/>
        <w:rPr>
          <w:lang w:val="en-GB"/>
        </w:rPr>
      </w:pPr>
      <w:r>
        <w:rPr>
          <w:lang w:val="en-GB"/>
        </w:rPr>
        <w:t>In rural areas, where the water supply is not available, the population uses for the most part natural resources and house wells.  Currently, the potable water infrastructure covers most urban areas.  The average pressure in the transmission pipes is less than one bar, while in high buildings the water ascends with water pumps installed wherever there are buildings higher than two floors.</w:t>
      </w:r>
    </w:p>
    <w:p w:rsidR="00000000" w:rsidRDefault="00000000">
      <w:pPr>
        <w:pStyle w:val="ParaNo"/>
        <w:ind w:left="0" w:firstLine="0"/>
        <w:rPr>
          <w:lang w:val="en-GB"/>
        </w:rPr>
      </w:pPr>
      <w:r>
        <w:rPr>
          <w:lang w:val="en-GB"/>
        </w:rPr>
        <w:t>Water coverage in urban areas was greater during the 1980s than today.  This situation is caused by the massive migration of the population to the urban areas and vicinities, which are much less covered by such utilities.  Such a process has meant a decrease of the water supply for urban areas.  The need for the construction and improvement of water utilities in such areas is very urgent, to decrease the differentiation with the central urban areas.</w:t>
      </w:r>
    </w:p>
    <w:p w:rsidR="00000000" w:rsidRDefault="00000000">
      <w:pPr>
        <w:pStyle w:val="ParaNo"/>
        <w:ind w:left="0" w:firstLine="0"/>
        <w:rPr>
          <w:lang w:val="en-GB"/>
        </w:rPr>
      </w:pPr>
      <w:r>
        <w:rPr>
          <w:lang w:val="en-GB"/>
        </w:rPr>
        <w:t>Water coverage in rural areas is another controversial issue.  Traditionally, for such areas less attention has been shown, also owing to the low number of aqueducts in such areas.  Where the water supply facilities do not exist, the rural population in the majority of cases uses the water supply from natural resources and home wells.</w:t>
      </w:r>
    </w:p>
    <w:p w:rsidR="00000000" w:rsidRDefault="00000000">
      <w:pPr>
        <w:pStyle w:val="ParaNo"/>
        <w:ind w:left="0" w:firstLine="0"/>
        <w:rPr>
          <w:lang w:val="en-GB"/>
        </w:rPr>
      </w:pPr>
      <w:r>
        <w:rPr>
          <w:lang w:val="en-GB"/>
        </w:rPr>
        <w:t>As a result of the ease of tapping underground waters, they have often been used inappropriately for industry and plant-watering.  It is estimated that 21 per cent of the underground waters goes to ineffective practices of watering.  In some areas of Albania there is rapid destruction of underground resources, and such a tendency appears likely to continue during the next decade.  Migration towards urban areas has increased the difficulties on water resources in some lower areas, where the scale of water obtainment is continuously growing.</w:t>
      </w:r>
    </w:p>
    <w:p w:rsidR="00000000" w:rsidRDefault="00000000">
      <w:pPr>
        <w:pStyle w:val="ParaNo"/>
        <w:ind w:left="0" w:firstLine="0"/>
        <w:rPr>
          <w:lang w:val="en-GB"/>
        </w:rPr>
      </w:pPr>
      <w:r>
        <w:rPr>
          <w:lang w:val="en-GB"/>
        </w:rPr>
        <w:br w:type="page"/>
        <w:t>Coverage by the sewage system in urban areas is approximately the same as for the water supply system, while only a small proportion of the rural areas has sewage systems.  The old sewage systems are increasing the risk of the potable water contamination.  Currently there is no treatment plant for sewage in Albania and the dispersions of the sewage is done untreated in the water systems and delicate ecological systems, creating great concern regarding many environmental issues.</w:t>
      </w:r>
    </w:p>
    <w:p w:rsidR="00000000" w:rsidRDefault="00000000">
      <w:pPr>
        <w:pStyle w:val="ParaNo"/>
        <w:ind w:left="0" w:firstLine="0"/>
        <w:rPr>
          <w:lang w:val="en-GB"/>
        </w:rPr>
      </w:pPr>
      <w:r>
        <w:rPr>
          <w:lang w:val="en-GB"/>
        </w:rPr>
        <w:t>The sewage network is even more worn out than the system for potable water.  This state is the result of the lack of continuous maintenance, along with infrastructure and technology that have not improved.  Urban areas have in large part sewage systems that discharge near the surface of water systems.  Sewage is blocked in many ways causing discharges in/out of the network and contamination of potable waters.</w:t>
      </w:r>
    </w:p>
    <w:p w:rsidR="00000000" w:rsidRDefault="00000000">
      <w:pPr>
        <w:pStyle w:val="ParaNo"/>
        <w:ind w:left="0" w:firstLine="0"/>
        <w:rPr>
          <w:lang w:val="en-GB"/>
        </w:rPr>
      </w:pPr>
      <w:r>
        <w:rPr>
          <w:lang w:val="en-GB"/>
        </w:rPr>
        <w:t>In urban areas there has been negligence in the construction of the aqueduct and sewage infrastructure by placing them near each other with no respect for technical regulations.  In many cases the sewage pipes are constructed over the aqueduct pipes, facilitating the introduction of sewage into them when there is no water in the system.</w:t>
      </w:r>
    </w:p>
    <w:p w:rsidR="00000000" w:rsidRDefault="00000000">
      <w:pPr>
        <w:pStyle w:val="ParaNo"/>
        <w:ind w:left="0" w:firstLine="0"/>
        <w:rPr>
          <w:lang w:val="en-GB"/>
        </w:rPr>
      </w:pPr>
      <w:r>
        <w:rPr>
          <w:lang w:val="en-GB"/>
        </w:rPr>
        <w:t>In the majority of rural areas there are individual sewage systems, mainly simple septic holes without discharge pipes.  The peasants, without any technical criteria, construct them and as a result many problems are caused.</w:t>
      </w:r>
    </w:p>
    <w:p w:rsidR="00000000" w:rsidRDefault="00000000">
      <w:pPr>
        <w:pStyle w:val="ParaNo"/>
        <w:ind w:left="0" w:firstLine="0"/>
        <w:rPr>
          <w:lang w:val="en-GB"/>
        </w:rPr>
      </w:pPr>
      <w:r>
        <w:rPr>
          <w:lang w:val="en-GB"/>
        </w:rPr>
        <w:t>From the 37 Directories of Public Health (DPH), samples of potable water are taken at the source and at the final points as well, which are examined in the labs of the district.  The examination is done from a physiochemical point of view, checking the state of residual chlorine.  Data from the examination is sent by the fifth day of each month to DPH, where the data is gathered and is drafted the bulletin of the potable water.  The bulletin is sent to the Ministry of Territory Adjustment and Tourism and Local Government of each district to intervene in the cases when the quality of water does not comply with standards.</w:t>
      </w:r>
    </w:p>
    <w:p w:rsidR="00000000" w:rsidRDefault="00000000">
      <w:pPr>
        <w:pStyle w:val="ParaNo"/>
        <w:ind w:left="0" w:firstLine="0"/>
        <w:rPr>
          <w:lang w:val="en-GB"/>
        </w:rPr>
      </w:pPr>
      <w:r>
        <w:rPr>
          <w:lang w:val="en-GB"/>
        </w:rPr>
        <w:t>The standards for effluents in Albania were determined in 1974.  The Ministry of Health assured such standards were temporary, but they never became permanent.  Currently, the Environment Ministry is drafting new standards, in compliance with the European directives of 1991 regarding effluent from the urban sewage system.</w:t>
      </w:r>
    </w:p>
    <w:p w:rsidR="00000000" w:rsidRDefault="00000000">
      <w:pPr>
        <w:pStyle w:val="Heading2"/>
      </w:pPr>
      <w:r>
        <w:t>Prevention of diseases</w:t>
      </w:r>
    </w:p>
    <w:p w:rsidR="00000000" w:rsidRDefault="00000000">
      <w:pPr>
        <w:pStyle w:val="Heading4"/>
      </w:pPr>
      <w:r>
        <w:t>Immunization of children against diphtheria, tetanus, polio and tuberculosis (urban/rural and gender breakdown</w:t>
      </w:r>
    </w:p>
    <w:p w:rsidR="00000000" w:rsidRDefault="00000000">
      <w:pPr>
        <w:pStyle w:val="ParaNo"/>
        <w:ind w:left="0" w:firstLine="0"/>
        <w:rPr>
          <w:lang w:val="en-GB"/>
        </w:rPr>
      </w:pPr>
      <w:r>
        <w:rPr>
          <w:lang w:val="en-GB"/>
        </w:rPr>
        <w:t>During 2002, in the framework of the programme of immunization (including children from 0 to 14 years) the national programme for the vaccination of females of reproductive age (16-35 years) was implemented and successfully terminated, including vaccines against German measles and measles.</w:t>
      </w:r>
    </w:p>
    <w:p w:rsidR="00000000" w:rsidRDefault="00000000">
      <w:pPr>
        <w:pStyle w:val="ParaNo"/>
        <w:ind w:left="0" w:firstLine="0"/>
        <w:rPr>
          <w:lang w:val="en-GB"/>
        </w:rPr>
      </w:pPr>
      <w:r>
        <w:rPr>
          <w:lang w:val="en-GB"/>
        </w:rPr>
        <w:br w:type="page"/>
        <w:t>With regard to the programme for routine vaccination, the table below shows the vaccine coverage for the basal doses of antigens on the national calendar of vaccination.  Such coverage is demonstrated at the district and national levels.  The table shows the very good performance of the vaccination programme in relation to the reported vaccine programme.  At the same time, the final results of a national study on the cold chain of vaccines and their efficiency in the distribution system from the central depot of vaccines (PHI) to the vaccination points has been satisfactory.</w:t>
      </w:r>
    </w:p>
    <w:p w:rsidR="00000000" w:rsidRDefault="00000000">
      <w:pPr>
        <w:pStyle w:val="ParaNo"/>
        <w:ind w:left="0" w:firstLine="0"/>
        <w:rPr>
          <w:lang w:val="en-GB"/>
        </w:rPr>
      </w:pPr>
      <w:r>
        <w:rPr>
          <w:lang w:val="en-GB"/>
        </w:rPr>
        <w:t>One of the main issues evidenced during the year 2002 has been the precise determination of the proper age groups for all antigens.  The free movement of the population in some cases, especially in big urban areas, may not be immediately reflected in the constitutive registers of vaccination in the medicare centres of such areas.</w:t>
      </w:r>
    </w:p>
    <w:p w:rsidR="00000000" w:rsidRDefault="00000000">
      <w:pPr>
        <w:pStyle w:val="ParaNo"/>
        <w:ind w:left="0" w:firstLine="0"/>
        <w:rPr>
          <w:lang w:val="en-GB"/>
        </w:rPr>
      </w:pPr>
      <w:r>
        <w:rPr>
          <w:lang w:val="en-GB"/>
        </w:rPr>
        <w:t>In a national seminar with the vaccination staff from the whole country, during March 2003, the above issues were discussed and recommendations were made.  The periodical reports on vaccine coverage as well as continuous supervision shall serve to monitor routinely any problems and to determine specific recommendations in various regions of the country.</w:t>
      </w:r>
    </w:p>
    <w:p w:rsidR="00000000" w:rsidRDefault="00000000">
      <w:pPr>
        <w:pStyle w:val="Heading2"/>
      </w:pPr>
      <w:r>
        <w:t>Table 48</w:t>
      </w:r>
    </w:p>
    <w:p w:rsidR="00000000" w:rsidRDefault="00000000">
      <w:pPr>
        <w:pStyle w:val="Heading2"/>
      </w:pPr>
      <w:r>
        <w:t>Data for the year 2002:  vaccinations to 1 year of age</w:t>
      </w:r>
    </w:p>
    <w:tbl>
      <w:tblPr>
        <w:tblW w:w="9303"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01"/>
        <w:gridCol w:w="1418"/>
        <w:gridCol w:w="1679"/>
        <w:gridCol w:w="1439"/>
        <w:gridCol w:w="1396"/>
        <w:gridCol w:w="1670"/>
      </w:tblGrid>
      <w:tr w:rsidR="00000000">
        <w:trPr>
          <w:trHeight w:val="255"/>
        </w:trPr>
        <w:tc>
          <w:tcPr>
            <w:tcW w:w="1701" w:type="dxa"/>
            <w:tcBorders>
              <w:top w:val="single" w:sz="4" w:space="0" w:color="auto"/>
              <w:bottom w:val="single" w:sz="4" w:space="0" w:color="auto"/>
            </w:tcBorders>
          </w:tcPr>
          <w:p w:rsidR="00000000" w:rsidRDefault="00000000">
            <w:pPr>
              <w:spacing w:after="0"/>
              <w:jc w:val="center"/>
              <w:rPr>
                <w:sz w:val="22"/>
                <w:szCs w:val="12"/>
              </w:rPr>
            </w:pPr>
            <w:r>
              <w:rPr>
                <w:sz w:val="22"/>
              </w:rPr>
              <w:br w:type="page"/>
            </w:r>
            <w:r>
              <w:rPr>
                <w:sz w:val="22"/>
              </w:rPr>
              <w:br w:type="page"/>
            </w:r>
            <w:r>
              <w:rPr>
                <w:sz w:val="22"/>
              </w:rPr>
              <w:br w:type="page"/>
            </w:r>
            <w:r>
              <w:rPr>
                <w:sz w:val="22"/>
              </w:rPr>
              <w:br w:type="page"/>
            </w:r>
            <w:r>
              <w:rPr>
                <w:sz w:val="22"/>
                <w:szCs w:val="16"/>
              </w:rPr>
              <w:t>Calendar</w:t>
            </w:r>
          </w:p>
        </w:tc>
        <w:tc>
          <w:tcPr>
            <w:tcW w:w="1418"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after="0"/>
              <w:jc w:val="center"/>
              <w:rPr>
                <w:sz w:val="22"/>
                <w:szCs w:val="12"/>
              </w:rPr>
            </w:pPr>
            <w:r>
              <w:rPr>
                <w:sz w:val="22"/>
                <w:szCs w:val="12"/>
              </w:rPr>
              <w:t>Birth</w:t>
            </w:r>
          </w:p>
        </w:tc>
        <w:tc>
          <w:tcPr>
            <w:tcW w:w="1679"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pStyle w:val="Header"/>
              <w:tabs>
                <w:tab w:val="clear" w:pos="4320"/>
                <w:tab w:val="clear" w:pos="8640"/>
              </w:tabs>
              <w:spacing w:after="0"/>
              <w:jc w:val="center"/>
              <w:rPr>
                <w:sz w:val="22"/>
                <w:szCs w:val="12"/>
              </w:rPr>
            </w:pPr>
            <w:r>
              <w:rPr>
                <w:sz w:val="22"/>
                <w:szCs w:val="12"/>
              </w:rPr>
              <w:t>4 months</w:t>
            </w:r>
          </w:p>
        </w:tc>
        <w:tc>
          <w:tcPr>
            <w:tcW w:w="1439"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after="0"/>
              <w:jc w:val="center"/>
              <w:rPr>
                <w:sz w:val="22"/>
                <w:szCs w:val="12"/>
              </w:rPr>
            </w:pPr>
            <w:r>
              <w:rPr>
                <w:sz w:val="22"/>
                <w:szCs w:val="12"/>
              </w:rPr>
              <w:t>6 months</w:t>
            </w:r>
          </w:p>
        </w:tc>
        <w:tc>
          <w:tcPr>
            <w:tcW w:w="1396"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after="0"/>
              <w:jc w:val="center"/>
              <w:rPr>
                <w:sz w:val="22"/>
                <w:szCs w:val="12"/>
              </w:rPr>
            </w:pPr>
            <w:r>
              <w:rPr>
                <w:sz w:val="22"/>
                <w:szCs w:val="12"/>
              </w:rPr>
              <w:t>6 months</w:t>
            </w:r>
          </w:p>
        </w:tc>
        <w:tc>
          <w:tcPr>
            <w:tcW w:w="1670"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after="0"/>
              <w:jc w:val="center"/>
              <w:rPr>
                <w:sz w:val="22"/>
                <w:szCs w:val="12"/>
              </w:rPr>
            </w:pPr>
            <w:r>
              <w:rPr>
                <w:sz w:val="22"/>
                <w:szCs w:val="12"/>
              </w:rPr>
              <w:t>12 months</w:t>
            </w:r>
          </w:p>
        </w:tc>
      </w:tr>
      <w:tr w:rsidR="00000000">
        <w:trPr>
          <w:cantSplit/>
        </w:trPr>
        <w:tc>
          <w:tcPr>
            <w:tcW w:w="1701" w:type="dxa"/>
            <w:tcBorders>
              <w:top w:val="single" w:sz="4" w:space="0" w:color="auto"/>
            </w:tcBorders>
          </w:tcPr>
          <w:p w:rsidR="00000000" w:rsidRDefault="00000000">
            <w:pPr>
              <w:spacing w:after="0"/>
              <w:rPr>
                <w:sz w:val="22"/>
              </w:rPr>
            </w:pPr>
            <w:r>
              <w:rPr>
                <w:sz w:val="22"/>
              </w:rPr>
              <w:t>Districts</w:t>
            </w:r>
          </w:p>
        </w:tc>
        <w:tc>
          <w:tcPr>
            <w:tcW w:w="1418" w:type="dxa"/>
            <w:tcBorders>
              <w:top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ind w:left="108"/>
              <w:rPr>
                <w:sz w:val="22"/>
              </w:rPr>
            </w:pPr>
            <w:r>
              <w:rPr>
                <w:sz w:val="22"/>
              </w:rPr>
              <w:t>Tuberculoses (BCG)</w:t>
            </w:r>
          </w:p>
        </w:tc>
        <w:tc>
          <w:tcPr>
            <w:tcW w:w="1679" w:type="dxa"/>
            <w:tcBorders>
              <w:top w:val="single" w:sz="4" w:space="0" w:color="auto"/>
            </w:tcBorders>
            <w:tcMar>
              <w:top w:w="15" w:type="dxa"/>
              <w:left w:w="15" w:type="dxa"/>
              <w:bottom w:w="0" w:type="dxa"/>
              <w:right w:w="15" w:type="dxa"/>
            </w:tcMar>
          </w:tcPr>
          <w:p w:rsidR="00000000" w:rsidRDefault="00000000">
            <w:pPr>
              <w:spacing w:after="0"/>
              <w:ind w:left="108"/>
              <w:rPr>
                <w:sz w:val="22"/>
              </w:rPr>
            </w:pPr>
            <w:r>
              <w:rPr>
                <w:sz w:val="22"/>
              </w:rPr>
              <w:t>Viral Hepatitis B (Third dose)</w:t>
            </w:r>
          </w:p>
        </w:tc>
        <w:tc>
          <w:tcPr>
            <w:tcW w:w="1439" w:type="dxa"/>
            <w:tcBorders>
              <w:top w:val="single" w:sz="4" w:space="0" w:color="auto"/>
            </w:tcBorders>
            <w:tcMar>
              <w:top w:w="15" w:type="dxa"/>
              <w:left w:w="15" w:type="dxa"/>
              <w:bottom w:w="0" w:type="dxa"/>
              <w:right w:w="15" w:type="dxa"/>
            </w:tcMar>
          </w:tcPr>
          <w:p w:rsidR="00000000" w:rsidRDefault="00000000">
            <w:pPr>
              <w:spacing w:after="60"/>
              <w:ind w:left="108"/>
              <w:rPr>
                <w:sz w:val="22"/>
                <w:szCs w:val="16"/>
              </w:rPr>
            </w:pPr>
            <w:r>
              <w:rPr>
                <w:sz w:val="22"/>
                <w:szCs w:val="16"/>
              </w:rPr>
              <w:t xml:space="preserve">Diphtheria, Tetanus, Pertussis </w:t>
            </w:r>
            <w:r>
              <w:rPr>
                <w:sz w:val="22"/>
              </w:rPr>
              <w:t>(Dose III)</w:t>
            </w:r>
          </w:p>
        </w:tc>
        <w:tc>
          <w:tcPr>
            <w:tcW w:w="1396" w:type="dxa"/>
            <w:tcBorders>
              <w:top w:val="single" w:sz="4" w:space="0" w:color="auto"/>
            </w:tcBorders>
            <w:tcMar>
              <w:top w:w="15" w:type="dxa"/>
              <w:left w:w="15" w:type="dxa"/>
              <w:bottom w:w="0" w:type="dxa"/>
              <w:right w:w="15" w:type="dxa"/>
            </w:tcMar>
          </w:tcPr>
          <w:p w:rsidR="00000000" w:rsidRDefault="00000000">
            <w:pPr>
              <w:spacing w:after="0"/>
              <w:ind w:left="108"/>
              <w:rPr>
                <w:sz w:val="22"/>
              </w:rPr>
            </w:pPr>
            <w:r>
              <w:rPr>
                <w:sz w:val="22"/>
              </w:rPr>
              <w:t>Poliomyelitis (Dose III)</w:t>
            </w:r>
          </w:p>
        </w:tc>
        <w:tc>
          <w:tcPr>
            <w:tcW w:w="1670" w:type="dxa"/>
            <w:tcBorders>
              <w:top w:val="single" w:sz="4" w:space="0" w:color="auto"/>
            </w:tcBorders>
            <w:tcMar>
              <w:top w:w="15" w:type="dxa"/>
              <w:left w:w="15" w:type="dxa"/>
              <w:bottom w:w="0" w:type="dxa"/>
              <w:right w:w="15" w:type="dxa"/>
            </w:tcMar>
          </w:tcPr>
          <w:p w:rsidR="00000000" w:rsidRDefault="00000000">
            <w:pPr>
              <w:spacing w:after="0"/>
              <w:ind w:left="108"/>
              <w:rPr>
                <w:sz w:val="22"/>
              </w:rPr>
            </w:pPr>
            <w:r>
              <w:rPr>
                <w:sz w:val="22"/>
              </w:rPr>
              <w:t>Measles-rubella (Dose I)</w:t>
            </w:r>
          </w:p>
        </w:tc>
      </w:tr>
      <w:tr w:rsidR="00000000">
        <w:trPr>
          <w:cantSplit/>
        </w:trPr>
        <w:tc>
          <w:tcPr>
            <w:tcW w:w="1701" w:type="dxa"/>
          </w:tcPr>
          <w:p w:rsidR="00000000" w:rsidRDefault="00000000">
            <w:pPr>
              <w:spacing w:after="0"/>
              <w:rPr>
                <w:sz w:val="22"/>
                <w:szCs w:val="18"/>
              </w:rPr>
            </w:pPr>
            <w:r>
              <w:rPr>
                <w:sz w:val="22"/>
              </w:rPr>
              <w:t>Albania (2002)</w:t>
            </w:r>
          </w:p>
        </w:tc>
        <w:tc>
          <w:tcPr>
            <w:tcW w:w="1418" w:type="dxa"/>
            <w:noWrap/>
            <w:tcMar>
              <w:top w:w="15" w:type="dxa"/>
              <w:left w:w="15" w:type="dxa"/>
              <w:bottom w:w="0" w:type="dxa"/>
              <w:right w:w="15" w:type="dxa"/>
            </w:tcMar>
            <w:vAlign w:val="bottom"/>
          </w:tcPr>
          <w:p w:rsidR="00000000" w:rsidRDefault="00000000">
            <w:pPr>
              <w:spacing w:after="0"/>
              <w:ind w:left="108"/>
              <w:rPr>
                <w:sz w:val="22"/>
                <w:szCs w:val="18"/>
              </w:rPr>
            </w:pPr>
            <w:r>
              <w:rPr>
                <w:sz w:val="22"/>
                <w:szCs w:val="18"/>
              </w:rPr>
              <w:t>94 per cent coverage</w:t>
            </w:r>
          </w:p>
        </w:tc>
        <w:tc>
          <w:tcPr>
            <w:tcW w:w="1679" w:type="dxa"/>
            <w:noWrap/>
            <w:tcMar>
              <w:top w:w="15" w:type="dxa"/>
              <w:left w:w="15" w:type="dxa"/>
              <w:bottom w:w="0" w:type="dxa"/>
              <w:right w:w="15" w:type="dxa"/>
            </w:tcMar>
            <w:vAlign w:val="bottom"/>
          </w:tcPr>
          <w:p w:rsidR="00000000" w:rsidRDefault="00000000">
            <w:pPr>
              <w:spacing w:after="0"/>
              <w:ind w:left="108"/>
              <w:rPr>
                <w:sz w:val="22"/>
                <w:szCs w:val="18"/>
              </w:rPr>
            </w:pPr>
            <w:r>
              <w:rPr>
                <w:sz w:val="22"/>
                <w:szCs w:val="18"/>
              </w:rPr>
              <w:t>96 per cent coverage</w:t>
            </w:r>
          </w:p>
        </w:tc>
        <w:tc>
          <w:tcPr>
            <w:tcW w:w="1439" w:type="dxa"/>
            <w:noWrap/>
            <w:tcMar>
              <w:top w:w="15" w:type="dxa"/>
              <w:left w:w="15" w:type="dxa"/>
              <w:bottom w:w="0" w:type="dxa"/>
              <w:right w:w="15" w:type="dxa"/>
            </w:tcMar>
            <w:vAlign w:val="bottom"/>
          </w:tcPr>
          <w:p w:rsidR="00000000" w:rsidRDefault="00000000">
            <w:pPr>
              <w:spacing w:after="0"/>
              <w:ind w:left="108"/>
              <w:rPr>
                <w:sz w:val="22"/>
                <w:szCs w:val="18"/>
              </w:rPr>
            </w:pPr>
            <w:r>
              <w:rPr>
                <w:sz w:val="22"/>
                <w:szCs w:val="18"/>
              </w:rPr>
              <w:t>98 per cent coverage</w:t>
            </w:r>
          </w:p>
        </w:tc>
        <w:tc>
          <w:tcPr>
            <w:tcW w:w="1396" w:type="dxa"/>
            <w:noWrap/>
            <w:tcMar>
              <w:top w:w="15" w:type="dxa"/>
              <w:left w:w="15" w:type="dxa"/>
              <w:bottom w:w="0" w:type="dxa"/>
              <w:right w:w="15" w:type="dxa"/>
            </w:tcMar>
            <w:vAlign w:val="bottom"/>
          </w:tcPr>
          <w:p w:rsidR="00000000" w:rsidRDefault="00000000">
            <w:pPr>
              <w:spacing w:after="0"/>
              <w:ind w:left="108"/>
              <w:rPr>
                <w:sz w:val="22"/>
                <w:szCs w:val="18"/>
              </w:rPr>
            </w:pPr>
            <w:r>
              <w:rPr>
                <w:sz w:val="22"/>
                <w:szCs w:val="18"/>
              </w:rPr>
              <w:t>98 per cent coverage</w:t>
            </w:r>
          </w:p>
        </w:tc>
        <w:tc>
          <w:tcPr>
            <w:tcW w:w="1670" w:type="dxa"/>
            <w:noWrap/>
            <w:tcMar>
              <w:top w:w="15" w:type="dxa"/>
              <w:left w:w="15" w:type="dxa"/>
              <w:bottom w:w="0" w:type="dxa"/>
              <w:right w:w="15" w:type="dxa"/>
            </w:tcMar>
            <w:vAlign w:val="bottom"/>
          </w:tcPr>
          <w:p w:rsidR="00000000" w:rsidRDefault="00000000">
            <w:pPr>
              <w:spacing w:after="0"/>
              <w:ind w:left="108"/>
              <w:rPr>
                <w:sz w:val="22"/>
                <w:szCs w:val="18"/>
              </w:rPr>
            </w:pPr>
            <w:r>
              <w:rPr>
                <w:sz w:val="22"/>
                <w:szCs w:val="18"/>
              </w:rPr>
              <w:t>96 per cent coverage</w:t>
            </w:r>
          </w:p>
        </w:tc>
      </w:tr>
    </w:tbl>
    <w:p w:rsidR="00000000" w:rsidRDefault="00000000">
      <w:pPr>
        <w:pStyle w:val="Heading3"/>
        <w:spacing w:before="240"/>
      </w:pPr>
      <w:r>
        <w:t>Medical care</w:t>
      </w:r>
    </w:p>
    <w:p w:rsidR="00000000" w:rsidRDefault="00000000">
      <w:pPr>
        <w:pStyle w:val="ParaNo"/>
        <w:ind w:left="0" w:firstLine="0"/>
        <w:rPr>
          <w:lang w:val="en-GB"/>
        </w:rPr>
      </w:pPr>
      <w:r>
        <w:rPr>
          <w:lang w:val="en-GB"/>
        </w:rPr>
        <w:t>The network of the primary health-care service, composed of polyclinics, health</w:t>
      </w:r>
      <w:r>
        <w:rPr>
          <w:lang w:val="en-GB"/>
        </w:rPr>
        <w:noBreakHyphen/>
        <w:t>care centres, ambulances, health-care centres for mothers and children, and the family planning unit, are institutional parts that offer qualified assistance together with personnel that works for the urban and rural population.</w:t>
      </w:r>
    </w:p>
    <w:p w:rsidR="00000000" w:rsidRDefault="00000000">
      <w:pPr>
        <w:pStyle w:val="ParaNo"/>
        <w:ind w:left="0" w:firstLine="0"/>
        <w:rPr>
          <w:lang w:val="en-GB"/>
        </w:rPr>
      </w:pPr>
      <w:r>
        <w:rPr>
          <w:lang w:val="en-GB"/>
        </w:rPr>
        <w:t>Health-care centres are situated in such a manner as to cover the needs of 2,000 to 4,000 rural inhabitants and 8,000 to 15,000 urban inhabitants.  This brings together family physicians  who work with a population coverage rate of one doctor per 1,700 rural inhabitants and one doctor per 2,000 urban inhabitants.  This applies to the adult population over 14 years of age.</w:t>
      </w:r>
    </w:p>
    <w:p w:rsidR="00000000" w:rsidRDefault="00000000">
      <w:pPr>
        <w:pStyle w:val="ParaNo"/>
        <w:ind w:left="0" w:firstLine="0"/>
        <w:rPr>
          <w:lang w:val="en-GB"/>
        </w:rPr>
      </w:pPr>
      <w:r>
        <w:rPr>
          <w:lang w:val="en-GB"/>
        </w:rPr>
        <w:br w:type="page"/>
        <w:t>For paediatric-age patients, up to 14 years, in the city there is one paediatrician for every 1,000 children.  Every village as an administrative unit has its ambulance and at least one nurse.  All health centres and ambulances have a list of the urgent medications (over 20 medicines).  Medical treatment is free.  The distance of a medical centre (as a basic unit of the primary service) is not more than 1</w:t>
      </w:r>
      <w:r>
        <w:rPr>
          <w:vertAlign w:val="superscript"/>
          <w:lang w:val="en-GB"/>
        </w:rPr>
        <w:t>1</w:t>
      </w:r>
      <w:r>
        <w:rPr>
          <w:lang w:val="en-GB"/>
        </w:rPr>
        <w:t>/</w:t>
      </w:r>
      <w:r>
        <w:rPr>
          <w:vertAlign w:val="subscript"/>
          <w:lang w:val="en-GB"/>
        </w:rPr>
        <w:t>2</w:t>
      </w:r>
      <w:r>
        <w:rPr>
          <w:lang w:val="en-GB"/>
        </w:rPr>
        <w:t xml:space="preserve"> hours walk away from the most distant house of the village.</w:t>
      </w:r>
    </w:p>
    <w:p w:rsidR="00000000" w:rsidRDefault="00000000">
      <w:pPr>
        <w:pStyle w:val="ParaNo"/>
        <w:ind w:left="0" w:firstLine="0"/>
        <w:rPr>
          <w:lang w:val="en-GB"/>
        </w:rPr>
      </w:pPr>
      <w:r>
        <w:rPr>
          <w:lang w:val="en-GB"/>
        </w:rPr>
        <w:t>In medical emergency services for first aid measures, the best access to trained personnel for the treatment of diseases or ordinary injuries, with the regular supply of 20 essential medicines within one hour of walk or travel, is provided to urban areas.  There, approximately 49 per cent are served, while the most difficult is the deep rural areas, especially the north</w:t>
      </w:r>
      <w:r>
        <w:rPr>
          <w:lang w:val="en-GB"/>
        </w:rPr>
        <w:noBreakHyphen/>
        <w:t>eastern areas of the country, which constitute 15.6 per cent of the population.</w:t>
      </w:r>
    </w:p>
    <w:p w:rsidR="00000000" w:rsidRDefault="00000000">
      <w:pPr>
        <w:pStyle w:val="Heading2"/>
      </w:pPr>
      <w:r>
        <w:t>Specialized service during pregnancy</w:t>
      </w:r>
    </w:p>
    <w:p w:rsidR="00000000" w:rsidRDefault="00000000">
      <w:pPr>
        <w:pStyle w:val="Heading2"/>
      </w:pPr>
      <w:r>
        <w:rPr>
          <w:i/>
          <w:noProof/>
        </w:rPr>
        <w:pict>
          <v:shape id="_x0000_s1037" type="#_x0000_t75" style="position:absolute;left:0;text-align:left;margin-left:45pt;margin-top:56.2pt;width:387.05pt;height:213.35pt;z-index:1" filled="t" fillcolor="#ccf">
            <v:imagedata r:id="rId21" o:title=""/>
            <w10:wrap type="topAndBottom"/>
          </v:shape>
          <o:OLEObject Type="Embed" ProgID="MSGraph.Chart.8" ShapeID="_x0000_s1037" DrawAspect="Content" ObjectID="_1394883063" r:id="rId22">
            <o:FieldCodes>\s</o:FieldCodes>
          </o:OLEObject>
        </w:pict>
      </w:r>
      <w:r>
        <w:t>Figure 5</w:t>
      </w:r>
    </w:p>
    <w:p w:rsidR="00000000" w:rsidRDefault="00000000">
      <w:pPr>
        <w:pStyle w:val="Heading2"/>
      </w:pPr>
      <w:r>
        <w:t>Medical care to pregnant women</w:t>
      </w:r>
    </w:p>
    <w:p w:rsidR="00000000" w:rsidRDefault="00000000">
      <w:pPr>
        <w:pStyle w:val="ParaNo"/>
        <w:spacing w:before="240"/>
        <w:ind w:left="0" w:firstLine="0"/>
        <w:rPr>
          <w:iCs/>
          <w:noProof/>
          <w:lang w:val="en-GB"/>
        </w:rPr>
      </w:pPr>
      <w:r>
        <w:rPr>
          <w:lang w:val="en-GB"/>
        </w:rPr>
        <w:t xml:space="preserve">From data obtained from studies of UNICEF, WHO, etc, it appears that 95 per cent of women have received prenatal care from a professional medical staff (see figure 5).  In urban areas such a service has been rendered in 73 per cent of cases by a specialist and in 17 per cent of cases by specialized nurses.  In rural areas this percentage is the opposite, with 50 per cent of the prenatal care offered by nurses.  Overall, approximately 95.3 per cent of women receive prenatal care by qualified personnel </w:t>
      </w:r>
      <w:r>
        <w:rPr>
          <w:iCs/>
          <w:noProof/>
          <w:lang w:val="en-GB"/>
        </w:rPr>
        <w:t>(MICS, UNICEF, 2000).</w:t>
      </w:r>
    </w:p>
    <w:p w:rsidR="00000000" w:rsidRDefault="00000000">
      <w:pPr>
        <w:pStyle w:val="ParaNo"/>
        <w:ind w:left="0" w:firstLine="0"/>
        <w:rPr>
          <w:bCs/>
          <w:iCs/>
          <w:noProof/>
          <w:lang w:val="en-GB"/>
        </w:rPr>
      </w:pPr>
      <w:r>
        <w:rPr>
          <w:bCs/>
          <w:iCs/>
          <w:noProof/>
          <w:lang w:val="en-GB"/>
        </w:rPr>
        <w:t>Efficient care during birth:  referring again to the study “Women and children in the millenium” (MICS), produced by INSTAT in the year 2000, the percentage of women who have received assistance during delivery by specialized personnel is high (99 per cent of the women receive assistance during delivery by some specialized personnel, see figure below); such a percentage is higher in urban areas than in rural areas.</w:t>
      </w:r>
    </w:p>
    <w:p w:rsidR="00000000" w:rsidRDefault="00000000">
      <w:pPr>
        <w:pStyle w:val="Heading2"/>
      </w:pPr>
      <w:r>
        <w:rPr>
          <w:noProof/>
        </w:rPr>
        <w:pict>
          <v:shape id="_x0000_s1038" type="#_x0000_t75" style="position:absolute;left:0;text-align:left;margin-left:9pt;margin-top:33.25pt;width:452.9pt;height:198pt;z-index:2" fillcolor="#0c9">
            <v:imagedata r:id="rId23" o:title=""/>
            <w10:wrap type="topAndBottom"/>
          </v:shape>
          <o:OLEObject Type="Embed" ProgID="MSGraph.Chart.8" ShapeID="_x0000_s1038" DrawAspect="Content" ObjectID="_1394883064" r:id="rId24">
            <o:FieldCodes>\s</o:FieldCodes>
          </o:OLEObject>
        </w:pict>
      </w:r>
      <w:r>
        <w:t>Figure 6</w:t>
      </w:r>
    </w:p>
    <w:p w:rsidR="00000000" w:rsidRDefault="00000000">
      <w:pPr>
        <w:pStyle w:val="Heading3"/>
        <w:spacing w:before="240"/>
      </w:pPr>
      <w:r>
        <w:t xml:space="preserve">Health care for children under 5 years old </w:t>
      </w:r>
    </w:p>
    <w:p w:rsidR="00000000" w:rsidRDefault="00000000">
      <w:pPr>
        <w:pStyle w:val="ParaNo"/>
        <w:ind w:left="0" w:firstLine="0"/>
        <w:rPr>
          <w:lang w:val="en-GB"/>
        </w:rPr>
      </w:pPr>
      <w:r>
        <w:rPr>
          <w:lang w:val="en-GB"/>
        </w:rPr>
        <w:t>Children of ages 0 to 5 years constitute approximately 10 per cent of the population in Albania and are included in health care with trained personnel, starting with:</w:t>
      </w:r>
    </w:p>
    <w:p w:rsidR="00000000" w:rsidRDefault="00000000">
      <w:pPr>
        <w:numPr>
          <w:ilvl w:val="0"/>
          <w:numId w:val="207"/>
        </w:numPr>
        <w:tabs>
          <w:tab w:val="left" w:pos="0"/>
        </w:tabs>
      </w:pPr>
      <w:r>
        <w:t>Eradication of risks for women that are exposed for an unfavourable pregnancy and delivery;</w:t>
      </w:r>
    </w:p>
    <w:p w:rsidR="00000000" w:rsidRDefault="00000000">
      <w:pPr>
        <w:numPr>
          <w:ilvl w:val="0"/>
          <w:numId w:val="207"/>
        </w:numPr>
      </w:pPr>
      <w:r>
        <w:t>Eradication and treatment of harm related to pregnancy;</w:t>
      </w:r>
    </w:p>
    <w:p w:rsidR="00000000" w:rsidRDefault="00000000">
      <w:pPr>
        <w:numPr>
          <w:ilvl w:val="0"/>
          <w:numId w:val="207"/>
        </w:numPr>
      </w:pPr>
      <w:r>
        <w:t xml:space="preserve">Feeding, health of the mother and health education with regard to the delivery; </w:t>
      </w:r>
    </w:p>
    <w:p w:rsidR="00000000" w:rsidRDefault="00000000">
      <w:pPr>
        <w:numPr>
          <w:ilvl w:val="0"/>
          <w:numId w:val="207"/>
        </w:numPr>
      </w:pPr>
      <w:r>
        <w:t>Knowledge and fast treatment of delivery complications;</w:t>
      </w:r>
    </w:p>
    <w:p w:rsidR="00000000" w:rsidRDefault="00000000">
      <w:pPr>
        <w:numPr>
          <w:ilvl w:val="0"/>
          <w:numId w:val="207"/>
        </w:numPr>
      </w:pPr>
      <w:r>
        <w:t>Breastfeeding of the child.</w:t>
      </w:r>
    </w:p>
    <w:p w:rsidR="00000000" w:rsidRDefault="00000000">
      <w:pPr>
        <w:pStyle w:val="ParaNo"/>
        <w:ind w:left="0" w:firstLine="0"/>
        <w:rPr>
          <w:lang w:val="en-GB"/>
        </w:rPr>
      </w:pPr>
      <w:r>
        <w:rPr>
          <w:lang w:val="en-GB"/>
        </w:rPr>
        <w:t>The most important causes of illness and mortality are generally related to respiratory and gastrointestinal diseases, the nervous system, poor nutrition and contagious diseases.  Considering the above an increase of responsibility and quality of care offered by the existing structures is required.  Infantile mortality (0 to 1 year) is decreasing from year to year but remains high compared to other European countries.</w:t>
      </w:r>
    </w:p>
    <w:p w:rsidR="00000000" w:rsidRDefault="00000000">
      <w:pPr>
        <w:pStyle w:val="ParaNo"/>
        <w:ind w:left="0" w:firstLine="0"/>
        <w:rPr>
          <w:lang w:val="en-GB"/>
        </w:rPr>
      </w:pPr>
      <w:r>
        <w:rPr>
          <w:lang w:val="en-GB"/>
        </w:rPr>
        <w:t>According to the data of the National Institute for Health Care Insurance (ISKSH), for health coverage:</w:t>
      </w:r>
    </w:p>
    <w:p w:rsidR="00000000" w:rsidRDefault="00000000">
      <w:pPr>
        <w:numPr>
          <w:ilvl w:val="0"/>
          <w:numId w:val="208"/>
        </w:numPr>
      </w:pPr>
      <w:r>
        <w:t>In the insurance scheme for health care, in cities there are 271 general physicians for children covering 386,308 inhabitants, or 1,425 inhabitants for each physician;</w:t>
      </w:r>
    </w:p>
    <w:p w:rsidR="00000000" w:rsidRDefault="00000000">
      <w:pPr>
        <w:numPr>
          <w:ilvl w:val="0"/>
          <w:numId w:val="208"/>
        </w:numPr>
      </w:pPr>
      <w:r>
        <w:br w:type="page"/>
        <w:t>Children from 0 to 12 months number 57,583 - a category which benefits from reimbursement of 100 per cent for medicines on the reimbursing list of ISKSH;</w:t>
      </w:r>
    </w:p>
    <w:p w:rsidR="00000000" w:rsidRDefault="00000000">
      <w:pPr>
        <w:numPr>
          <w:ilvl w:val="0"/>
          <w:numId w:val="208"/>
        </w:numPr>
      </w:pPr>
      <w:r>
        <w:t>Children 0-12 months and 0-4 years, together are 324,713 inhabitants, benefit from the child health-care centres in the cities and villages where there are approximately 1,700 such centres;</w:t>
      </w:r>
    </w:p>
    <w:p w:rsidR="00000000" w:rsidRDefault="00000000">
      <w:pPr>
        <w:numPr>
          <w:ilvl w:val="0"/>
          <w:numId w:val="208"/>
        </w:numPr>
      </w:pPr>
      <w:r>
        <w:t>This age group and more mature age groups of children benefit also from the health care provided by general physicians and family doctors.</w:t>
      </w:r>
    </w:p>
    <w:p w:rsidR="00000000" w:rsidRDefault="00000000">
      <w:pPr>
        <w:pStyle w:val="ParaNo"/>
        <w:ind w:left="0" w:firstLine="0"/>
        <w:rPr>
          <w:spacing w:val="-3"/>
          <w:lang w:val="en-GB"/>
        </w:rPr>
      </w:pPr>
      <w:r>
        <w:rPr>
          <w:spacing w:val="-3"/>
          <w:lang w:val="en-GB"/>
        </w:rPr>
        <w:t>The objective of Ministry of Health efforts for mother and child health care is to improve their quality of life, and reduce mortality, based also on international conventions on women’s and children’s rights.</w:t>
      </w:r>
    </w:p>
    <w:p w:rsidR="00000000" w:rsidRDefault="00000000">
      <w:pPr>
        <w:pStyle w:val="ParaNo"/>
        <w:ind w:left="0" w:firstLine="0"/>
        <w:rPr>
          <w:spacing w:val="-3"/>
          <w:lang w:val="en-GB"/>
        </w:rPr>
      </w:pPr>
      <w:r>
        <w:rPr>
          <w:spacing w:val="-3"/>
          <w:lang w:val="en-GB"/>
        </w:rPr>
        <w:t>The strategy to achieve the objectives of reducing infant and child mortality, is based on the following:</w:t>
      </w:r>
    </w:p>
    <w:p w:rsidR="00000000" w:rsidRDefault="00000000">
      <w:pPr>
        <w:pStyle w:val="BodyText"/>
        <w:numPr>
          <w:ilvl w:val="0"/>
          <w:numId w:val="209"/>
        </w:numPr>
        <w:tabs>
          <w:tab w:val="left" w:pos="-720"/>
        </w:tabs>
        <w:suppressAutoHyphens/>
        <w:rPr>
          <w:bCs/>
        </w:rPr>
      </w:pPr>
      <w:r>
        <w:rPr>
          <w:bCs/>
        </w:rPr>
        <w:t>Improvement and integration of mother and child health-care structures in the three care levels;</w:t>
      </w:r>
    </w:p>
    <w:p w:rsidR="00000000" w:rsidRDefault="00000000">
      <w:pPr>
        <w:pStyle w:val="BodyText"/>
        <w:numPr>
          <w:ilvl w:val="0"/>
          <w:numId w:val="209"/>
        </w:numPr>
        <w:tabs>
          <w:tab w:val="left" w:pos="-720"/>
        </w:tabs>
        <w:suppressAutoHyphens/>
        <w:rPr>
          <w:bCs/>
          <w:spacing w:val="-3"/>
        </w:rPr>
      </w:pPr>
      <w:r>
        <w:rPr>
          <w:bCs/>
        </w:rPr>
        <w:t>Improvement of service quality for infants and mothers, at the three care levels, through unification of the standard protocols, determination of the directives, and regulations for child health care;</w:t>
      </w:r>
    </w:p>
    <w:p w:rsidR="00000000" w:rsidRDefault="00000000">
      <w:pPr>
        <w:pStyle w:val="BodyText"/>
        <w:numPr>
          <w:ilvl w:val="0"/>
          <w:numId w:val="209"/>
        </w:numPr>
        <w:tabs>
          <w:tab w:val="left" w:pos="-720"/>
        </w:tabs>
        <w:suppressAutoHyphens/>
        <w:rPr>
          <w:bCs/>
          <w:spacing w:val="-3"/>
        </w:rPr>
      </w:pPr>
      <w:r>
        <w:rPr>
          <w:bCs/>
        </w:rPr>
        <w:t xml:space="preserve">Raising the level of scientific knowledge and the capacities of health personnel working in the child health-care field, with priority for </w:t>
      </w:r>
      <w:r>
        <w:rPr>
          <w:bCs/>
          <w:spacing w:val="-3"/>
        </w:rPr>
        <w:t>KSHP;</w:t>
      </w:r>
    </w:p>
    <w:p w:rsidR="00000000" w:rsidRDefault="00000000">
      <w:pPr>
        <w:pStyle w:val="BodyText"/>
        <w:numPr>
          <w:ilvl w:val="0"/>
          <w:numId w:val="209"/>
        </w:numPr>
        <w:tabs>
          <w:tab w:val="left" w:pos="-720"/>
        </w:tabs>
        <w:suppressAutoHyphens/>
        <w:rPr>
          <w:bCs/>
        </w:rPr>
      </w:pPr>
      <w:r>
        <w:rPr>
          <w:bCs/>
        </w:rPr>
        <w:t>Enrichment of the legal framework on child health care;</w:t>
      </w:r>
    </w:p>
    <w:p w:rsidR="00000000" w:rsidRDefault="00000000">
      <w:pPr>
        <w:pStyle w:val="BodyText"/>
        <w:numPr>
          <w:ilvl w:val="0"/>
          <w:numId w:val="209"/>
        </w:numPr>
        <w:tabs>
          <w:tab w:val="left" w:pos="-720"/>
        </w:tabs>
        <w:suppressAutoHyphens/>
        <w:rPr>
          <w:bCs/>
          <w:spacing w:val="-3"/>
        </w:rPr>
      </w:pPr>
      <w:r>
        <w:rPr>
          <w:bCs/>
        </w:rPr>
        <w:t xml:space="preserve">Public awareness and mobilization of the society, the mass media, etc., through education, communication and counselling, in order to understand that the child health care is a priority for the country, and is not just a duty of the health </w:t>
      </w:r>
      <w:r>
        <w:rPr>
          <w:bCs/>
        </w:rPr>
        <w:br/>
        <w:t xml:space="preserve">authorities; </w:t>
      </w:r>
    </w:p>
    <w:p w:rsidR="00000000" w:rsidRDefault="00000000">
      <w:pPr>
        <w:pStyle w:val="BodyText"/>
        <w:numPr>
          <w:ilvl w:val="0"/>
          <w:numId w:val="209"/>
        </w:numPr>
        <w:tabs>
          <w:tab w:val="left" w:pos="-720"/>
        </w:tabs>
        <w:suppressAutoHyphens/>
        <w:rPr>
          <w:bCs/>
          <w:spacing w:val="-3"/>
        </w:rPr>
      </w:pPr>
      <w:r>
        <w:rPr>
          <w:bCs/>
          <w:spacing w:val="-3"/>
        </w:rPr>
        <w:t>Improvement of the quality of collection, treatment and analysis of information regarding mother and child health care.</w:t>
      </w:r>
    </w:p>
    <w:p w:rsidR="00000000" w:rsidRDefault="00000000">
      <w:pPr>
        <w:pStyle w:val="ParaNo"/>
        <w:ind w:left="0" w:firstLine="0"/>
        <w:rPr>
          <w:bCs/>
          <w:lang w:val="en-GB"/>
        </w:rPr>
      </w:pPr>
      <w:r>
        <w:rPr>
          <w:lang w:val="en-GB"/>
        </w:rPr>
        <w:t xml:space="preserve">The principal measure taken for the achievement of the strategy for reduction of child mortality in this biennium is prevention of contagious diseases for children and mothers through vaccination.  </w:t>
      </w:r>
      <w:r>
        <w:rPr>
          <w:bCs/>
          <w:lang w:val="en-GB"/>
        </w:rPr>
        <w:t>Activities undertaken in this direction include:</w:t>
      </w:r>
    </w:p>
    <w:p w:rsidR="00000000" w:rsidRDefault="00000000">
      <w:pPr>
        <w:numPr>
          <w:ilvl w:val="0"/>
          <w:numId w:val="210"/>
        </w:numPr>
        <w:rPr>
          <w:bCs/>
        </w:rPr>
      </w:pPr>
      <w:r>
        <w:rPr>
          <w:bCs/>
        </w:rPr>
        <w:t>Enlargement of the national scheme of child vaccination, introduction of the new rubella vaccine in such a scheme.  The reported vaccine coverage for 2001 is 95 per cent;</w:t>
      </w:r>
    </w:p>
    <w:p w:rsidR="00000000" w:rsidRDefault="00000000">
      <w:pPr>
        <w:numPr>
          <w:ilvl w:val="0"/>
          <w:numId w:val="210"/>
        </w:numPr>
        <w:rPr>
          <w:bCs/>
        </w:rPr>
      </w:pPr>
      <w:r>
        <w:rPr>
          <w:bCs/>
        </w:rPr>
        <w:br w:type="page"/>
        <w:t>A campaign for fertile women to take the rubella vaccine started on September 2001 and continues;</w:t>
      </w:r>
    </w:p>
    <w:p w:rsidR="00000000" w:rsidRDefault="00000000">
      <w:pPr>
        <w:numPr>
          <w:ilvl w:val="0"/>
          <w:numId w:val="210"/>
        </w:numPr>
        <w:rPr>
          <w:bCs/>
        </w:rPr>
      </w:pPr>
      <w:r>
        <w:rPr>
          <w:bCs/>
        </w:rPr>
        <w:t xml:space="preserve">Creation of a national system for a vaccine cold chain.  </w:t>
      </w:r>
    </w:p>
    <w:p w:rsidR="00000000" w:rsidRDefault="00000000">
      <w:pPr>
        <w:pStyle w:val="ParaNo"/>
        <w:ind w:left="0" w:firstLine="0"/>
        <w:rPr>
          <w:bCs/>
          <w:lang w:val="en-GB"/>
        </w:rPr>
      </w:pPr>
      <w:r>
        <w:rPr>
          <w:bCs/>
          <w:lang w:val="en-GB"/>
        </w:rPr>
        <w:t>It also aims for improvement of the infant nutrition situation through:</w:t>
      </w:r>
    </w:p>
    <w:p w:rsidR="00000000" w:rsidRDefault="00000000">
      <w:pPr>
        <w:numPr>
          <w:ilvl w:val="0"/>
          <w:numId w:val="211"/>
        </w:numPr>
        <w:rPr>
          <w:bCs/>
        </w:rPr>
      </w:pPr>
      <w:r>
        <w:rPr>
          <w:bCs/>
        </w:rPr>
        <w:t xml:space="preserve">Stimulation of the practice of breastfeeding for the first six months of the child’s </w:t>
      </w:r>
      <w:r>
        <w:rPr>
          <w:bCs/>
        </w:rPr>
        <w:br/>
        <w:t>life;</w:t>
      </w:r>
    </w:p>
    <w:p w:rsidR="00000000" w:rsidRDefault="00000000">
      <w:pPr>
        <w:numPr>
          <w:ilvl w:val="0"/>
          <w:numId w:val="211"/>
        </w:numPr>
        <w:rPr>
          <w:bCs/>
        </w:rPr>
      </w:pPr>
      <w:r>
        <w:rPr>
          <w:bCs/>
        </w:rPr>
        <w:t>Improvement of infant and child feeding practices, in order to prevent malnutrition;</w:t>
      </w:r>
    </w:p>
    <w:p w:rsidR="00000000" w:rsidRDefault="00000000">
      <w:pPr>
        <w:numPr>
          <w:ilvl w:val="0"/>
          <w:numId w:val="211"/>
        </w:numPr>
        <w:rPr>
          <w:bCs/>
        </w:rPr>
      </w:pPr>
      <w:r>
        <w:rPr>
          <w:bCs/>
        </w:rPr>
        <w:t>Eradication of the lack of nutrients, minerals and vitamins, such as the lack of iodine, vitamin A, D, and iron;</w:t>
      </w:r>
    </w:p>
    <w:p w:rsidR="00000000" w:rsidRDefault="00000000">
      <w:pPr>
        <w:numPr>
          <w:ilvl w:val="0"/>
          <w:numId w:val="211"/>
        </w:numPr>
        <w:rPr>
          <w:bCs/>
        </w:rPr>
      </w:pPr>
      <w:r>
        <w:rPr>
          <w:bCs/>
        </w:rPr>
        <w:t>A national study for the identification and monitoring of 0 to 2-year-old children’s feeding practices (1998-2002);</w:t>
      </w:r>
    </w:p>
    <w:p w:rsidR="00000000" w:rsidRDefault="00000000">
      <w:pPr>
        <w:numPr>
          <w:ilvl w:val="0"/>
          <w:numId w:val="211"/>
        </w:numPr>
        <w:rPr>
          <w:bCs/>
        </w:rPr>
      </w:pPr>
      <w:r>
        <w:rPr>
          <w:bCs/>
        </w:rPr>
        <w:t>Growth of the Child-Friendly Hospital initiative, which encourages the breastfeeding practice, in maternities and mother and child health-care centres within KSHP.  Currently in Albania there exist two child-friendly hospitals, and specifically the Maternity Hospitals of Lexha and Fier.  The Maternity Hospital of Tirana has obtained a certificate for the reach of the necessary six steps;</w:t>
      </w:r>
    </w:p>
    <w:p w:rsidR="00000000" w:rsidRDefault="00000000">
      <w:pPr>
        <w:numPr>
          <w:ilvl w:val="0"/>
          <w:numId w:val="211"/>
        </w:numPr>
        <w:rPr>
          <w:bCs/>
        </w:rPr>
      </w:pPr>
      <w:r>
        <w:rPr>
          <w:bCs/>
        </w:rPr>
        <w:t>Development of promotional and educational activities with regard to the practice of breastfeeding;</w:t>
      </w:r>
    </w:p>
    <w:p w:rsidR="00000000" w:rsidRDefault="00000000">
      <w:pPr>
        <w:numPr>
          <w:ilvl w:val="0"/>
          <w:numId w:val="211"/>
        </w:numPr>
        <w:rPr>
          <w:bCs/>
        </w:rPr>
      </w:pPr>
      <w:r>
        <w:rPr>
          <w:bCs/>
        </w:rPr>
        <w:t>Treatment of regional health personnel for the elimination of iodine deficiency;</w:t>
      </w:r>
    </w:p>
    <w:p w:rsidR="00000000" w:rsidRDefault="00000000">
      <w:pPr>
        <w:numPr>
          <w:ilvl w:val="0"/>
          <w:numId w:val="211"/>
        </w:numPr>
        <w:rPr>
          <w:bCs/>
        </w:rPr>
      </w:pPr>
      <w:r>
        <w:rPr>
          <w:bCs/>
        </w:rPr>
        <w:t>Observation of the children’s physical and psychomotor growth;</w:t>
      </w:r>
    </w:p>
    <w:p w:rsidR="00000000" w:rsidRDefault="00000000">
      <w:pPr>
        <w:numPr>
          <w:ilvl w:val="0"/>
          <w:numId w:val="211"/>
        </w:numPr>
        <w:rPr>
          <w:bCs/>
        </w:rPr>
      </w:pPr>
      <w:r>
        <w:rPr>
          <w:bCs/>
        </w:rPr>
        <w:t>Personnel training and methodological unification of children’s growth observation;</w:t>
      </w:r>
    </w:p>
    <w:p w:rsidR="00000000" w:rsidRDefault="00000000">
      <w:pPr>
        <w:numPr>
          <w:ilvl w:val="0"/>
          <w:numId w:val="211"/>
        </w:numPr>
        <w:rPr>
          <w:bCs/>
        </w:rPr>
      </w:pPr>
      <w:r>
        <w:rPr>
          <w:bCs/>
        </w:rPr>
        <w:t>The National Centre for Child Growth, Rehabilitation and Development is working to train personnel with a contemporaneous concept of children’s growth observation in different regions of the country;</w:t>
      </w:r>
    </w:p>
    <w:p w:rsidR="00000000" w:rsidRDefault="00000000">
      <w:pPr>
        <w:numPr>
          <w:ilvl w:val="0"/>
          <w:numId w:val="211"/>
        </w:numPr>
        <w:rPr>
          <w:bCs/>
        </w:rPr>
      </w:pPr>
      <w:r>
        <w:rPr>
          <w:bCs/>
        </w:rPr>
        <w:t>Training with specialized doctors for infant growth observation;</w:t>
      </w:r>
    </w:p>
    <w:p w:rsidR="00000000" w:rsidRDefault="00000000">
      <w:pPr>
        <w:pStyle w:val="BodyText"/>
        <w:numPr>
          <w:ilvl w:val="0"/>
          <w:numId w:val="211"/>
        </w:numPr>
        <w:rPr>
          <w:bCs/>
        </w:rPr>
      </w:pPr>
      <w:r>
        <w:rPr>
          <w:bCs/>
        </w:rPr>
        <w:t>Continuous improvement of the quality of childcare services, particularly in order to raise the access to such services, through the unification of protocols for the observation and treatment of sick children, and fulfilment of the technical and personnel training needs for the health centres.</w:t>
      </w:r>
    </w:p>
    <w:p w:rsidR="00000000" w:rsidRDefault="00000000">
      <w:pPr>
        <w:pStyle w:val="Heading4"/>
      </w:pPr>
      <w:r>
        <w:t>Unification of the protocols and directives for the treatment of some frequent child diseases</w:t>
      </w:r>
    </w:p>
    <w:p w:rsidR="00000000" w:rsidRDefault="00000000">
      <w:pPr>
        <w:pStyle w:val="ParaNo"/>
        <w:ind w:left="0" w:firstLine="0"/>
        <w:rPr>
          <w:lang w:val="en-GB"/>
        </w:rPr>
      </w:pPr>
      <w:r>
        <w:rPr>
          <w:lang w:val="en-GB"/>
        </w:rPr>
        <w:t>During 1993-1999 two national programmes were implemented for the care of respiratory and diarrhoeic diseases, the main causes of infantile death in Albania.  The components of such programmes were:</w:t>
      </w:r>
    </w:p>
    <w:p w:rsidR="00000000" w:rsidRDefault="00000000">
      <w:pPr>
        <w:numPr>
          <w:ilvl w:val="0"/>
          <w:numId w:val="212"/>
        </w:numPr>
      </w:pPr>
      <w:r>
        <w:t>The training of the health personnel on the primary care education of mothers for the early identification of disease symptoms in their children;</w:t>
      </w:r>
    </w:p>
    <w:p w:rsidR="00000000" w:rsidRDefault="00000000">
      <w:pPr>
        <w:numPr>
          <w:ilvl w:val="0"/>
          <w:numId w:val="212"/>
        </w:numPr>
      </w:pPr>
      <w:r>
        <w:t xml:space="preserve">The equipment of health centres with medicines for diarrhoeic and respiratory diseases.  </w:t>
      </w:r>
    </w:p>
    <w:p w:rsidR="00000000" w:rsidRDefault="00000000">
      <w:pPr>
        <w:pStyle w:val="ParaNo"/>
        <w:ind w:left="0" w:firstLine="0"/>
        <w:rPr>
          <w:bCs/>
          <w:lang w:val="en-GB"/>
        </w:rPr>
      </w:pPr>
      <w:r>
        <w:rPr>
          <w:lang w:val="en-GB"/>
        </w:rPr>
        <w:t>Acute respiratory diseases are the first cause of death of children from 0 to 5 years old</w:t>
      </w:r>
      <w:r>
        <w:rPr>
          <w:bCs/>
          <w:lang w:val="en-GB"/>
        </w:rPr>
        <w:t xml:space="preserve">.  </w:t>
      </w:r>
      <w:r>
        <w:rPr>
          <w:lang w:val="en-GB"/>
        </w:rPr>
        <w:t>In 1991 respiratory diseases accounted for 40 per cent of infantile deaths, whereas in 1993 they reached 43 per cent</w:t>
      </w:r>
      <w:r>
        <w:rPr>
          <w:bCs/>
          <w:lang w:val="en-GB"/>
        </w:rPr>
        <w:t xml:space="preserve">. </w:t>
      </w:r>
      <w:r>
        <w:rPr>
          <w:lang w:val="en-GB"/>
        </w:rPr>
        <w:t xml:space="preserve"> From the calculations made, it appears that every child from 0 to 5 years old has had from two to four acute respiratory infection (ARI) episodes per year.  It is necessary to emphasize that infant mortality from ARI has decreased during 1999 to one quarter the level of 1990.</w:t>
      </w:r>
    </w:p>
    <w:p w:rsidR="00000000" w:rsidRDefault="00000000">
      <w:pPr>
        <w:pStyle w:val="Heading4"/>
      </w:pPr>
      <w:r>
        <w:t xml:space="preserve">Integrated management of child diseases </w:t>
      </w:r>
    </w:p>
    <w:p w:rsidR="00000000" w:rsidRDefault="00000000">
      <w:pPr>
        <w:pStyle w:val="ParaNo"/>
        <w:ind w:left="0" w:firstLine="0"/>
        <w:rPr>
          <w:lang w:val="en-GB"/>
        </w:rPr>
      </w:pPr>
      <w:r>
        <w:rPr>
          <w:lang w:val="en-GB"/>
        </w:rPr>
        <w:t>This strategy on the integrated management of childhood diseases, started in October 2001, is being successfully implemented in health-care services for children.  It covers the combined treatment for major child diseases in primary health care.  It also unifies the urgent treatment for gravely sick children and includes the training of parents for better observation of and home first aid for, sick children.</w:t>
      </w:r>
    </w:p>
    <w:p w:rsidR="00000000" w:rsidRDefault="00000000">
      <w:pPr>
        <w:pStyle w:val="Heading4"/>
      </w:pPr>
      <w:r>
        <w:t xml:space="preserve">Improvement of legislation on child health protection   </w:t>
      </w:r>
    </w:p>
    <w:p w:rsidR="00000000" w:rsidRDefault="00000000">
      <w:pPr>
        <w:pStyle w:val="ParaNo"/>
        <w:ind w:left="0" w:firstLine="0"/>
        <w:rPr>
          <w:bCs/>
          <w:lang w:val="en-GB"/>
        </w:rPr>
      </w:pPr>
      <w:r>
        <w:rPr>
          <w:bCs/>
          <w:lang w:val="en-GB"/>
        </w:rPr>
        <w:t>Measures to improve child health protection include:</w:t>
      </w:r>
    </w:p>
    <w:p w:rsidR="00000000" w:rsidRDefault="00000000">
      <w:pPr>
        <w:numPr>
          <w:ilvl w:val="0"/>
          <w:numId w:val="215"/>
        </w:numPr>
        <w:jc w:val="both"/>
        <w:rPr>
          <w:bCs/>
          <w:color w:val="000000"/>
        </w:rPr>
      </w:pPr>
      <w:r>
        <w:rPr>
          <w:bCs/>
        </w:rPr>
        <w:t>Approval of Law N</w:t>
      </w:r>
      <w:r>
        <w:rPr>
          <w:bCs/>
          <w:color w:val="000000"/>
        </w:rPr>
        <w:t xml:space="preserve">o. 8528, “On the encouragement and protection of breastfeeding practice”; </w:t>
      </w:r>
    </w:p>
    <w:p w:rsidR="00000000" w:rsidRDefault="00000000">
      <w:pPr>
        <w:numPr>
          <w:ilvl w:val="0"/>
          <w:numId w:val="215"/>
        </w:numPr>
        <w:jc w:val="both"/>
        <w:rPr>
          <w:bCs/>
          <w:color w:val="000000"/>
        </w:rPr>
      </w:pPr>
      <w:r>
        <w:rPr>
          <w:bCs/>
        </w:rPr>
        <w:t>Approval of Law N</w:t>
      </w:r>
      <w:r>
        <w:rPr>
          <w:bCs/>
          <w:color w:val="000000"/>
        </w:rPr>
        <w:t>o. 8876, dated 4 April 2002, “On fertile health”;</w:t>
      </w:r>
    </w:p>
    <w:p w:rsidR="00000000" w:rsidRDefault="00000000">
      <w:pPr>
        <w:pStyle w:val="BodyText3"/>
        <w:numPr>
          <w:ilvl w:val="0"/>
          <w:numId w:val="215"/>
        </w:numPr>
      </w:pPr>
      <w:r>
        <w:t xml:space="preserve">Articles 14, 21, 24, 25 of this law provide some measures for child health care; the Ministry of Health is preparing draft decisions and regulations on further implementation of these measures. </w:t>
      </w:r>
    </w:p>
    <w:p w:rsidR="00000000" w:rsidRDefault="00000000">
      <w:pPr>
        <w:pStyle w:val="Heading4"/>
      </w:pPr>
      <w:r>
        <w:t xml:space="preserve">National programmes for mother and child health care  </w:t>
      </w:r>
    </w:p>
    <w:p w:rsidR="00000000" w:rsidRDefault="00000000">
      <w:pPr>
        <w:pStyle w:val="ParaNo"/>
        <w:ind w:left="0" w:firstLine="0"/>
        <w:rPr>
          <w:bCs/>
          <w:lang w:val="en-GB"/>
        </w:rPr>
      </w:pPr>
      <w:r>
        <w:rPr>
          <w:bCs/>
          <w:lang w:val="en-GB"/>
        </w:rPr>
        <w:t>Considering the problems of mother and child health care, and how to achieve the Millennium Development Goals, the Ministry of Health, together with different partners and donors, has planned national programmes for this field:</w:t>
      </w:r>
    </w:p>
    <w:p w:rsidR="00000000" w:rsidRDefault="00000000">
      <w:pPr>
        <w:pStyle w:val="Header"/>
        <w:tabs>
          <w:tab w:val="clear" w:pos="4320"/>
          <w:tab w:val="clear" w:pos="8640"/>
        </w:tabs>
        <w:rPr>
          <w:bCs/>
          <w:snapToGrid w:val="0"/>
        </w:rPr>
      </w:pPr>
      <w:r>
        <w:rPr>
          <w:bCs/>
          <w:snapToGrid w:val="0"/>
        </w:rPr>
        <w:br w:type="page"/>
        <w:t>(a)</w:t>
      </w:r>
      <w:r>
        <w:rPr>
          <w:bCs/>
          <w:snapToGrid w:val="0"/>
        </w:rPr>
        <w:tab/>
        <w:t>Supported by UNICEF</w:t>
      </w:r>
    </w:p>
    <w:p w:rsidR="00000000" w:rsidRDefault="00000000">
      <w:pPr>
        <w:pStyle w:val="Rom1"/>
      </w:pPr>
      <w:r>
        <w:t>A project for secure motherhood (MS), whose main goals are to:</w:t>
      </w:r>
    </w:p>
    <w:p w:rsidR="00000000" w:rsidRDefault="00000000">
      <w:pPr>
        <w:numPr>
          <w:ilvl w:val="0"/>
          <w:numId w:val="216"/>
        </w:numPr>
        <w:rPr>
          <w:snapToGrid w:val="0"/>
        </w:rPr>
      </w:pPr>
      <w:r>
        <w:rPr>
          <w:snapToGrid w:val="0"/>
        </w:rPr>
        <w:t>Raise health personnel’s capabilities for prenatal, post-natal care;</w:t>
      </w:r>
    </w:p>
    <w:p w:rsidR="00000000" w:rsidRDefault="00000000">
      <w:pPr>
        <w:numPr>
          <w:ilvl w:val="0"/>
          <w:numId w:val="216"/>
        </w:numPr>
        <w:rPr>
          <w:snapToGrid w:val="0"/>
        </w:rPr>
      </w:pPr>
      <w:r>
        <w:rPr>
          <w:snapToGrid w:val="0"/>
        </w:rPr>
        <w:t>Improvement and standardization of pregnancy care;</w:t>
      </w:r>
    </w:p>
    <w:p w:rsidR="00000000" w:rsidRDefault="00000000">
      <w:pPr>
        <w:numPr>
          <w:ilvl w:val="0"/>
          <w:numId w:val="216"/>
        </w:numPr>
        <w:rPr>
          <w:b/>
          <w:snapToGrid w:val="0"/>
        </w:rPr>
      </w:pPr>
      <w:r>
        <w:rPr>
          <w:snapToGrid w:val="0"/>
        </w:rPr>
        <w:t>Activities of Information and Education to Communication (IEK), to emphasize the importance of safe motherhood;</w:t>
      </w:r>
    </w:p>
    <w:p w:rsidR="00000000" w:rsidRDefault="00000000">
      <w:pPr>
        <w:pStyle w:val="BodyText"/>
        <w:rPr>
          <w:bCs/>
          <w:snapToGrid w:val="0"/>
        </w:rPr>
      </w:pPr>
      <w:r>
        <w:rPr>
          <w:bCs/>
          <w:snapToGrid w:val="0"/>
        </w:rPr>
        <w:tab/>
        <w:t xml:space="preserve">Achievements up to date:  </w:t>
      </w:r>
    </w:p>
    <w:p w:rsidR="00000000" w:rsidRDefault="00000000">
      <w:pPr>
        <w:numPr>
          <w:ilvl w:val="0"/>
          <w:numId w:val="217"/>
        </w:numPr>
        <w:tabs>
          <w:tab w:val="num" w:pos="1794"/>
        </w:tabs>
        <w:ind w:left="1791"/>
        <w:rPr>
          <w:snapToGrid w:val="0"/>
        </w:rPr>
      </w:pPr>
      <w:r>
        <w:rPr>
          <w:snapToGrid w:val="0"/>
        </w:rPr>
        <w:t>Training of KSHP staff, midwives, family doctors (Fier, Pogradec);</w:t>
      </w:r>
    </w:p>
    <w:p w:rsidR="00000000" w:rsidRDefault="00000000">
      <w:pPr>
        <w:numPr>
          <w:ilvl w:val="0"/>
          <w:numId w:val="217"/>
        </w:numPr>
        <w:tabs>
          <w:tab w:val="num" w:pos="1794"/>
        </w:tabs>
        <w:ind w:left="1791"/>
        <w:rPr>
          <w:snapToGrid w:val="0"/>
        </w:rPr>
      </w:pPr>
      <w:r>
        <w:rPr>
          <w:snapToGrid w:val="0"/>
        </w:rPr>
        <w:t>Preparation of the file for pregnant women (unification of documentation);</w:t>
      </w:r>
    </w:p>
    <w:p w:rsidR="00000000" w:rsidRDefault="00000000">
      <w:pPr>
        <w:numPr>
          <w:ilvl w:val="0"/>
          <w:numId w:val="217"/>
        </w:numPr>
        <w:tabs>
          <w:tab w:val="num" w:pos="1794"/>
        </w:tabs>
        <w:ind w:left="1791"/>
        <w:rPr>
          <w:snapToGrid w:val="0"/>
        </w:rPr>
      </w:pPr>
      <w:r>
        <w:rPr>
          <w:snapToGrid w:val="0"/>
        </w:rPr>
        <w:t>Educational health materials for pregnant women and health centres;</w:t>
      </w:r>
    </w:p>
    <w:p w:rsidR="00000000" w:rsidRDefault="00000000">
      <w:pPr>
        <w:numPr>
          <w:ilvl w:val="0"/>
          <w:numId w:val="217"/>
        </w:numPr>
        <w:tabs>
          <w:tab w:val="num" w:pos="1794"/>
        </w:tabs>
        <w:ind w:left="1791"/>
        <w:rPr>
          <w:snapToGrid w:val="0"/>
        </w:rPr>
      </w:pPr>
      <w:r>
        <w:rPr>
          <w:snapToGrid w:val="0"/>
        </w:rPr>
        <w:t>Treatment of problems regarding anaemia during pregnancy, and the feeding of pregnant women, etc.;</w:t>
      </w:r>
    </w:p>
    <w:p w:rsidR="00000000" w:rsidRDefault="00000000">
      <w:pPr>
        <w:numPr>
          <w:ilvl w:val="0"/>
          <w:numId w:val="217"/>
        </w:numPr>
        <w:tabs>
          <w:tab w:val="num" w:pos="1794"/>
        </w:tabs>
        <w:ind w:left="1791"/>
        <w:rPr>
          <w:snapToGrid w:val="0"/>
        </w:rPr>
      </w:pPr>
      <w:r>
        <w:rPr>
          <w:snapToGrid w:val="0"/>
        </w:rPr>
        <w:t>Distribution of materials on maternal services, in four regions;</w:t>
      </w:r>
    </w:p>
    <w:p w:rsidR="00000000" w:rsidRDefault="00000000">
      <w:pPr>
        <w:pStyle w:val="BodyText"/>
        <w:numPr>
          <w:ilvl w:val="0"/>
          <w:numId w:val="217"/>
        </w:numPr>
        <w:tabs>
          <w:tab w:val="num" w:pos="1794"/>
        </w:tabs>
        <w:ind w:left="1791"/>
        <w:rPr>
          <w:snapToGrid w:val="0"/>
        </w:rPr>
      </w:pPr>
      <w:r>
        <w:rPr>
          <w:snapToGrid w:val="0"/>
        </w:rPr>
        <w:t>Psychosocial counselling for the pregnant woman;</w:t>
      </w:r>
    </w:p>
    <w:p w:rsidR="00000000" w:rsidRDefault="00000000">
      <w:pPr>
        <w:pStyle w:val="Rom1"/>
      </w:pPr>
      <w:r>
        <w:t>A project to encourage breastfeeding practice in child-friendly hospitals (SMF), whose goals are:</w:t>
      </w:r>
    </w:p>
    <w:p w:rsidR="00000000" w:rsidRDefault="00000000">
      <w:pPr>
        <w:numPr>
          <w:ilvl w:val="0"/>
          <w:numId w:val="218"/>
        </w:numPr>
        <w:rPr>
          <w:snapToGrid w:val="0"/>
        </w:rPr>
      </w:pPr>
      <w:r>
        <w:rPr>
          <w:snapToGrid w:val="0"/>
        </w:rPr>
        <w:t>Improvement of breastfeeding practice, training of health personnel and information, education and communication, with regard to the importance of the breastfeeding practice;</w:t>
      </w:r>
    </w:p>
    <w:p w:rsidR="00000000" w:rsidRDefault="00000000">
      <w:pPr>
        <w:numPr>
          <w:ilvl w:val="0"/>
          <w:numId w:val="218"/>
        </w:numPr>
        <w:rPr>
          <w:snapToGrid w:val="0"/>
        </w:rPr>
      </w:pPr>
      <w:r>
        <w:rPr>
          <w:snapToGrid w:val="0"/>
        </w:rPr>
        <w:t>Extension of the SMF network;</w:t>
      </w:r>
    </w:p>
    <w:p w:rsidR="00000000" w:rsidRDefault="00000000">
      <w:pPr>
        <w:numPr>
          <w:ilvl w:val="0"/>
          <w:numId w:val="218"/>
        </w:numPr>
        <w:rPr>
          <w:snapToGrid w:val="0"/>
        </w:rPr>
      </w:pPr>
      <w:r>
        <w:rPr>
          <w:snapToGrid w:val="0"/>
        </w:rPr>
        <w:t>Application and observance of law on breastfeeding;</w:t>
      </w:r>
    </w:p>
    <w:p w:rsidR="00000000" w:rsidRDefault="00000000">
      <w:pPr>
        <w:pStyle w:val="Rom1"/>
        <w:rPr>
          <w:snapToGrid w:val="0"/>
        </w:rPr>
      </w:pPr>
      <w:r>
        <w:rPr>
          <w:snapToGrid w:val="0"/>
        </w:rPr>
        <w:t>A national programme for immunity (EPI, expanded programme of immunization), whose goals are:</w:t>
      </w:r>
    </w:p>
    <w:p w:rsidR="00000000" w:rsidRDefault="00000000">
      <w:pPr>
        <w:numPr>
          <w:ilvl w:val="0"/>
          <w:numId w:val="220"/>
        </w:numPr>
        <w:rPr>
          <w:snapToGrid w:val="0"/>
        </w:rPr>
      </w:pPr>
      <w:r>
        <w:rPr>
          <w:snapToGrid w:val="0"/>
        </w:rPr>
        <w:t>Granting of vaccines;</w:t>
      </w:r>
    </w:p>
    <w:p w:rsidR="00000000" w:rsidRDefault="00000000">
      <w:pPr>
        <w:numPr>
          <w:ilvl w:val="0"/>
          <w:numId w:val="220"/>
        </w:numPr>
        <w:rPr>
          <w:snapToGrid w:val="0"/>
        </w:rPr>
      </w:pPr>
      <w:r>
        <w:rPr>
          <w:snapToGrid w:val="0"/>
        </w:rPr>
        <w:t>Creation and observation of the cold chain;</w:t>
      </w:r>
    </w:p>
    <w:p w:rsidR="00000000" w:rsidRDefault="00000000">
      <w:pPr>
        <w:numPr>
          <w:ilvl w:val="0"/>
          <w:numId w:val="220"/>
        </w:numPr>
        <w:rPr>
          <w:snapToGrid w:val="0"/>
          <w:u w:val="single"/>
        </w:rPr>
      </w:pPr>
      <w:r>
        <w:rPr>
          <w:snapToGrid w:val="0"/>
        </w:rPr>
        <w:t xml:space="preserve">Personnel training; </w:t>
      </w:r>
    </w:p>
    <w:p w:rsidR="00000000" w:rsidRDefault="00000000">
      <w:pPr>
        <w:pStyle w:val="Rom1"/>
        <w:rPr>
          <w:snapToGrid w:val="0"/>
        </w:rPr>
      </w:pPr>
      <w:r>
        <w:rPr>
          <w:snapToGrid w:val="0"/>
        </w:rPr>
        <w:br w:type="page"/>
        <w:t>The National Programme for Integrated Management of Child Diseases, Integrated Management of Child Diseases (MISF), is part of a global strategy of WHO/UNICEF.  The goals of such a programme are to:</w:t>
      </w:r>
    </w:p>
    <w:p w:rsidR="00000000" w:rsidRDefault="00000000">
      <w:pPr>
        <w:numPr>
          <w:ilvl w:val="0"/>
          <w:numId w:val="219"/>
        </w:numPr>
        <w:rPr>
          <w:bCs/>
          <w:snapToGrid w:val="0"/>
        </w:rPr>
      </w:pPr>
      <w:r>
        <w:rPr>
          <w:bCs/>
          <w:snapToGrid w:val="0"/>
        </w:rPr>
        <w:t>Raise effectiveness of the care, and reduce the costs of the services, in order to achieve the two main objectives of the health system;</w:t>
      </w:r>
    </w:p>
    <w:p w:rsidR="00000000" w:rsidRDefault="00000000">
      <w:pPr>
        <w:numPr>
          <w:ilvl w:val="0"/>
          <w:numId w:val="219"/>
        </w:numPr>
        <w:rPr>
          <w:bCs/>
          <w:snapToGrid w:val="0"/>
        </w:rPr>
      </w:pPr>
      <w:r>
        <w:rPr>
          <w:bCs/>
          <w:snapToGrid w:val="0"/>
        </w:rPr>
        <w:t xml:space="preserve">Diminish child mortality and causes of illness; </w:t>
      </w:r>
    </w:p>
    <w:p w:rsidR="00000000" w:rsidRDefault="00000000">
      <w:pPr>
        <w:numPr>
          <w:ilvl w:val="0"/>
          <w:numId w:val="219"/>
        </w:numPr>
        <w:rPr>
          <w:bCs/>
          <w:snapToGrid w:val="0"/>
        </w:rPr>
      </w:pPr>
      <w:r>
        <w:rPr>
          <w:snapToGrid w:val="0"/>
        </w:rPr>
        <w:t>Promote implementation of children’s healthy growth.  MISF in Albania is officially recognized as a national programme (directive of the minister No. 380, dated 5 October 2001).  Achievements of MISF and its implementation include the creation of a management structure at both central and local levels; p</w:t>
      </w:r>
      <w:r>
        <w:rPr>
          <w:bCs/>
          <w:snapToGrid w:val="0"/>
        </w:rPr>
        <w:t>roduction of adapted training materials; training of 93 professionals (doctor and nurse) at the central level and in two pilot regions);</w:t>
      </w:r>
    </w:p>
    <w:p w:rsidR="00000000" w:rsidRDefault="00000000">
      <w:pPr>
        <w:pStyle w:val="Rom1"/>
        <w:rPr>
          <w:snapToGrid w:val="0"/>
        </w:rPr>
      </w:pPr>
      <w:r>
        <w:rPr>
          <w:snapToGrid w:val="0"/>
        </w:rPr>
        <w:t>Project on the elimination of problems from lack of iodine, whose goals include:</w:t>
      </w:r>
    </w:p>
    <w:p w:rsidR="00000000" w:rsidRDefault="00000000">
      <w:pPr>
        <w:numPr>
          <w:ilvl w:val="0"/>
          <w:numId w:val="221"/>
        </w:numPr>
        <w:rPr>
          <w:snapToGrid w:val="0"/>
        </w:rPr>
      </w:pPr>
      <w:r>
        <w:rPr>
          <w:snapToGrid w:val="0"/>
        </w:rPr>
        <w:t>Personnel training;</w:t>
      </w:r>
    </w:p>
    <w:p w:rsidR="00000000" w:rsidRDefault="00000000">
      <w:pPr>
        <w:numPr>
          <w:ilvl w:val="0"/>
          <w:numId w:val="221"/>
        </w:numPr>
        <w:rPr>
          <w:snapToGrid w:val="0"/>
        </w:rPr>
      </w:pPr>
      <w:r>
        <w:rPr>
          <w:snapToGrid w:val="0"/>
        </w:rPr>
        <w:t>Promotion of iodized salt use, as the only effective strategy to prevent problems deriving from lack of iodine;</w:t>
      </w:r>
    </w:p>
    <w:p w:rsidR="00000000" w:rsidRDefault="00000000">
      <w:pPr>
        <w:numPr>
          <w:ilvl w:val="0"/>
          <w:numId w:val="221"/>
        </w:numPr>
        <w:rPr>
          <w:snapToGrid w:val="0"/>
        </w:rPr>
      </w:pPr>
      <w:r>
        <w:rPr>
          <w:snapToGrid w:val="0"/>
        </w:rPr>
        <w:t>Observance and legislative support for the iodized salt use;</w:t>
      </w:r>
    </w:p>
    <w:p w:rsidR="00000000" w:rsidRDefault="00000000">
      <w:pPr>
        <w:pStyle w:val="Header"/>
        <w:tabs>
          <w:tab w:val="clear" w:pos="4320"/>
          <w:tab w:val="clear" w:pos="8640"/>
        </w:tabs>
        <w:rPr>
          <w:snapToGrid w:val="0"/>
        </w:rPr>
      </w:pPr>
      <w:r>
        <w:rPr>
          <w:snapToGrid w:val="0"/>
        </w:rPr>
        <w:t>(b)</w:t>
      </w:r>
      <w:r>
        <w:rPr>
          <w:snapToGrid w:val="0"/>
        </w:rPr>
        <w:tab/>
        <w:t>Supported by UNICEF/WHO</w:t>
      </w:r>
    </w:p>
    <w:p w:rsidR="00000000" w:rsidRDefault="00000000">
      <w:pPr>
        <w:ind w:left="1440" w:hanging="720"/>
        <w:rPr>
          <w:snapToGrid w:val="0"/>
        </w:rPr>
      </w:pPr>
      <w:r>
        <w:rPr>
          <w:snapToGrid w:val="0"/>
        </w:rPr>
        <w:t>(i)</w:t>
      </w:r>
      <w:r>
        <w:rPr>
          <w:snapToGrid w:val="0"/>
        </w:rPr>
        <w:tab/>
        <w:t>National Programme to make pregnancy healthier (MPS)/Effective Promotion Prenatal Care (PEPC):</w:t>
      </w:r>
    </w:p>
    <w:p w:rsidR="00000000" w:rsidRDefault="00000000">
      <w:pPr>
        <w:ind w:left="1440"/>
        <w:rPr>
          <w:snapToGrid w:val="0"/>
          <w:u w:val="single"/>
        </w:rPr>
      </w:pPr>
      <w:r>
        <w:rPr>
          <w:snapToGrid w:val="0"/>
          <w:color w:val="000000"/>
        </w:rPr>
        <w:t>PEPC’s strategy is focused on the critical period of prenatal care, which covers the 22 pregnancy weeks and seven post-partum days, in order to assure to the infant a healthy beginning in life, and to reduce mortality and diseases of the mother and infant, through the promotion of a safe motherhood;</w:t>
      </w:r>
    </w:p>
    <w:p w:rsidR="00000000" w:rsidRDefault="00000000">
      <w:pPr>
        <w:pStyle w:val="BodyText"/>
        <w:rPr>
          <w:snapToGrid w:val="0"/>
        </w:rPr>
      </w:pPr>
      <w:r>
        <w:rPr>
          <w:snapToGrid w:val="0"/>
        </w:rPr>
        <w:t>(c)</w:t>
      </w:r>
      <w:r>
        <w:rPr>
          <w:snapToGrid w:val="0"/>
        </w:rPr>
        <w:tab/>
        <w:t>Supported by USAID</w:t>
      </w:r>
    </w:p>
    <w:p w:rsidR="00000000" w:rsidRDefault="00000000">
      <w:pPr>
        <w:pStyle w:val="BodyText"/>
        <w:numPr>
          <w:ilvl w:val="0"/>
          <w:numId w:val="222"/>
        </w:numPr>
        <w:rPr>
          <w:snapToGrid w:val="0"/>
        </w:rPr>
      </w:pPr>
      <w:r>
        <w:rPr>
          <w:snapToGrid w:val="0"/>
        </w:rPr>
        <w:t>Integrated training on reproduction health (prenatal care/breastfeeding/ STI/HIV/AIDS/family plan) in 18 regions of the country);</w:t>
      </w:r>
    </w:p>
    <w:p w:rsidR="00000000" w:rsidRDefault="00000000">
      <w:pPr>
        <w:pStyle w:val="BodyText"/>
        <w:numPr>
          <w:ilvl w:val="0"/>
          <w:numId w:val="222"/>
        </w:numPr>
        <w:rPr>
          <w:snapToGrid w:val="0"/>
        </w:rPr>
      </w:pPr>
      <w:r>
        <w:rPr>
          <w:snapToGrid w:val="0"/>
        </w:rPr>
        <w:t xml:space="preserve">In collaboration with national and international NGOs, such as the Albanian Family Planning Association (AFPA), Population Services International Albania (ASMA/PSI), the Red Cross, Doctors of the World, etc., projects in the field of the reproduction health are being developed. </w:t>
      </w:r>
    </w:p>
    <w:p w:rsidR="00000000" w:rsidRDefault="00000000">
      <w:pPr>
        <w:pStyle w:val="Heading3"/>
        <w:rPr>
          <w:color w:val="000000"/>
        </w:rPr>
      </w:pPr>
      <w:r>
        <w:t>Medicines</w:t>
      </w:r>
    </w:p>
    <w:p w:rsidR="00000000" w:rsidRDefault="00000000">
      <w:pPr>
        <w:pStyle w:val="ParaNo"/>
        <w:ind w:left="0" w:firstLine="0"/>
        <w:rPr>
          <w:color w:val="000000"/>
          <w:szCs w:val="26"/>
          <w:lang w:val="en-GB"/>
        </w:rPr>
      </w:pPr>
      <w:r>
        <w:rPr>
          <w:color w:val="000000"/>
          <w:szCs w:val="26"/>
          <w:lang w:val="en-GB"/>
        </w:rPr>
        <w:t>Law No.7815, dated 20 April 1994, “On medicines”, provides that in the Republic of Albania only registered medicines circulate.  That means that any medicine marketable in the Republic of Albania should be registered.  Despite the fact that the list of registered medicines has been increased, this criteria has led to the absence of certain drugs for the population.</w:t>
      </w:r>
    </w:p>
    <w:p w:rsidR="00000000" w:rsidRDefault="00000000">
      <w:pPr>
        <w:pStyle w:val="ParaNo"/>
        <w:ind w:left="0" w:firstLine="0"/>
        <w:rPr>
          <w:color w:val="000000"/>
          <w:szCs w:val="26"/>
          <w:lang w:val="en-GB"/>
        </w:rPr>
      </w:pPr>
      <w:r>
        <w:rPr>
          <w:color w:val="000000"/>
          <w:szCs w:val="26"/>
          <w:lang w:val="en-GB"/>
        </w:rPr>
        <w:t>In order to overcome such a situation, the law has sometimes not been observed by giving import licence permits, issued by Minister of Health, for drugs which have been needed by the population.</w:t>
      </w:r>
    </w:p>
    <w:p w:rsidR="00000000" w:rsidRDefault="00000000">
      <w:pPr>
        <w:pStyle w:val="ParaNo"/>
        <w:ind w:left="0" w:firstLine="0"/>
        <w:rPr>
          <w:color w:val="000000"/>
          <w:szCs w:val="26"/>
          <w:lang w:val="en-GB"/>
        </w:rPr>
      </w:pPr>
      <w:r>
        <w:rPr>
          <w:color w:val="000000"/>
          <w:szCs w:val="26"/>
          <w:lang w:val="en-GB"/>
        </w:rPr>
        <w:t>Another concern remains the non-registration of medical materials, which leads to medicines of very poor quality directly affecting the health of the population.  In addition, regarding social insurance law, the current scheme of health insurance covers the family doctor and, partially, the list of drugs that are reimbursed.  Meantime, the above scheme has been extended, as a pilot project implemented by the Health Authority of Tirana and by Durresi Hospital.</w:t>
      </w:r>
    </w:p>
    <w:p w:rsidR="00000000" w:rsidRDefault="00000000">
      <w:pPr>
        <w:pStyle w:val="ParaNo"/>
        <w:ind w:left="0" w:firstLine="0"/>
        <w:rPr>
          <w:szCs w:val="26"/>
          <w:lang w:val="en-GB"/>
        </w:rPr>
      </w:pPr>
      <w:r>
        <w:rPr>
          <w:szCs w:val="26"/>
          <w:lang w:val="en-GB"/>
        </w:rPr>
        <w:t>The current scheme of drug reimbursement, the composition of the reimbursable drugs list, and the non-inclusion of all the necessary drugs in this list, causes their absence for certain categories of the population, notably pensioners.  At the same time, the non-extension of the scheme to the whole health system makes equal access impossible in the whole territory, due to the disproportions of doctors’ salaries (a family doctor who is getting paid by health insurance earns a very high salary compared to other categories of doctors, even specialists).</w:t>
      </w:r>
    </w:p>
    <w:p w:rsidR="00000000" w:rsidRDefault="00000000">
      <w:pPr>
        <w:pStyle w:val="ParaNo"/>
        <w:ind w:left="0" w:firstLine="0"/>
        <w:rPr>
          <w:color w:val="000000"/>
          <w:szCs w:val="26"/>
          <w:lang w:val="en-GB"/>
        </w:rPr>
      </w:pPr>
      <w:r>
        <w:rPr>
          <w:szCs w:val="26"/>
          <w:lang w:val="en-GB"/>
        </w:rPr>
        <w:t>In spite of the characteristics and particulars of the health system, Law No. 7971 of 26 July 1995, “On public procurements”, does not provide specific rules for most drugs to be purchased, and applying general rules provided for in domestic legislation on procurements does not make possible the purchase of the best quality of goods (plus,</w:t>
      </w:r>
      <w:r>
        <w:rPr>
          <w:color w:val="000000"/>
          <w:szCs w:val="26"/>
          <w:lang w:val="en-GB"/>
        </w:rPr>
        <w:t xml:space="preserve"> the candidate’s appraisal scheme adds 80 points to the lowest price).  The quality of goods procured, medical materials, equipment and medicines, has a direct negative impact on the population’s health.</w:t>
      </w:r>
    </w:p>
    <w:p w:rsidR="00000000" w:rsidRDefault="00000000">
      <w:pPr>
        <w:pStyle w:val="ParaNo"/>
        <w:ind w:left="0" w:firstLine="0"/>
        <w:rPr>
          <w:color w:val="000000"/>
          <w:szCs w:val="26"/>
          <w:lang w:val="en-GB"/>
        </w:rPr>
      </w:pPr>
      <w:r>
        <w:rPr>
          <w:color w:val="000000"/>
          <w:szCs w:val="26"/>
          <w:lang w:val="en-GB"/>
        </w:rPr>
        <w:t>Current legislation on licensing private activity in the area of health care (Decision No. </w:t>
      </w:r>
      <w:r>
        <w:rPr>
          <w:szCs w:val="26"/>
          <w:lang w:val="en-GB"/>
        </w:rPr>
        <w:t xml:space="preserve">500 of the </w:t>
      </w:r>
      <w:r>
        <w:rPr>
          <w:color w:val="000000"/>
          <w:szCs w:val="26"/>
          <w:lang w:val="en-GB"/>
        </w:rPr>
        <w:t>Council of Ministers) provides for the non-allowance of private clinics with sickbeds, which would directly influence the improvement of hospital service and, as a result of competition, lead to the improvement of State hospital service, too.</w:t>
      </w:r>
    </w:p>
    <w:p w:rsidR="00000000" w:rsidRDefault="00000000">
      <w:pPr>
        <w:pStyle w:val="Heading3"/>
      </w:pPr>
      <w:r>
        <w:t xml:space="preserve">Measures to improve the health situation of the most vulnerable groups </w:t>
      </w:r>
    </w:p>
    <w:p w:rsidR="00000000" w:rsidRDefault="00000000">
      <w:pPr>
        <w:pStyle w:val="ParaNo"/>
        <w:ind w:left="0" w:firstLine="0"/>
        <w:rPr>
          <w:bCs/>
          <w:lang w:val="en-GB"/>
        </w:rPr>
      </w:pPr>
      <w:r>
        <w:rPr>
          <w:bCs/>
          <w:lang w:val="en-GB"/>
        </w:rPr>
        <w:t>National policies for the prevention and control of HIV/AIDS have included:</w:t>
      </w:r>
    </w:p>
    <w:p w:rsidR="00000000" w:rsidRDefault="00000000">
      <w:pPr>
        <w:numPr>
          <w:ilvl w:val="0"/>
          <w:numId w:val="223"/>
        </w:numPr>
      </w:pPr>
      <w:r>
        <w:t>1987</w:t>
      </w:r>
      <w:r>
        <w:rPr>
          <w:bCs/>
          <w:snapToGrid w:val="0"/>
        </w:rPr>
        <w:t xml:space="preserve">:  </w:t>
      </w:r>
      <w:r>
        <w:t>Establishment of the National Programme on HIV/AIDS and STIs and of the National AIDS Inter-Sectorial Committee;</w:t>
      </w:r>
    </w:p>
    <w:p w:rsidR="00000000" w:rsidRDefault="00000000">
      <w:pPr>
        <w:numPr>
          <w:ilvl w:val="0"/>
          <w:numId w:val="223"/>
        </w:numPr>
      </w:pPr>
      <w:r>
        <w:t>1987-1993</w:t>
      </w:r>
      <w:r>
        <w:rPr>
          <w:bCs/>
          <w:snapToGrid w:val="0"/>
        </w:rPr>
        <w:t xml:space="preserve">:  </w:t>
      </w:r>
      <w:r>
        <w:t>Implementation of two midterm national plans for the prevention and control of HIV/AIDS.  The plans were drafted with the technical assistance of WHO and funded by the WHO/Global Programme on AIDS (GPA);</w:t>
      </w:r>
    </w:p>
    <w:p w:rsidR="00000000" w:rsidRDefault="00000000">
      <w:pPr>
        <w:numPr>
          <w:ilvl w:val="0"/>
          <w:numId w:val="223"/>
        </w:numPr>
      </w:pPr>
      <w:r>
        <w:t>1992</w:t>
      </w:r>
      <w:r>
        <w:rPr>
          <w:bCs/>
          <w:snapToGrid w:val="0"/>
        </w:rPr>
        <w:t xml:space="preserve">:  </w:t>
      </w:r>
      <w:r>
        <w:t>Organization of the First National Conference, “For the prevention and fight against AIDS in Albania”;</w:t>
      </w:r>
    </w:p>
    <w:p w:rsidR="00000000" w:rsidRDefault="00000000">
      <w:pPr>
        <w:numPr>
          <w:ilvl w:val="0"/>
          <w:numId w:val="223"/>
        </w:numPr>
      </w:pPr>
      <w:r>
        <w:t>1998</w:t>
      </w:r>
      <w:r>
        <w:rPr>
          <w:bCs/>
          <w:snapToGrid w:val="0"/>
        </w:rPr>
        <w:t xml:space="preserve">:  </w:t>
      </w:r>
      <w:r>
        <w:t>Organization of the Second National Conference, “For a Higher Political Commitment for the Prevention and Control of HIV/AIDS in Albania”;</w:t>
      </w:r>
    </w:p>
    <w:p w:rsidR="00000000" w:rsidRDefault="00000000">
      <w:pPr>
        <w:numPr>
          <w:ilvl w:val="0"/>
          <w:numId w:val="223"/>
        </w:numPr>
      </w:pPr>
      <w:r>
        <w:t>Preparation of National HIV/AIDS strategy (draft).</w:t>
      </w:r>
    </w:p>
    <w:p w:rsidR="00000000" w:rsidRDefault="00000000">
      <w:pPr>
        <w:pStyle w:val="ParaNo"/>
        <w:ind w:left="0" w:firstLine="0"/>
        <w:rPr>
          <w:bCs/>
          <w:lang w:val="en-GB"/>
        </w:rPr>
      </w:pPr>
      <w:r>
        <w:rPr>
          <w:bCs/>
          <w:lang w:val="en-GB"/>
        </w:rPr>
        <w:t>Measures taken to care for people living with HIV/AIDS (PLWHA) have included:</w:t>
      </w:r>
    </w:p>
    <w:p w:rsidR="00000000" w:rsidRDefault="00000000">
      <w:pPr>
        <w:numPr>
          <w:ilvl w:val="0"/>
          <w:numId w:val="224"/>
        </w:numPr>
      </w:pPr>
      <w:r>
        <w:t>Creating and strengthening qualified capacities in the Infectious Disease Hospital (the hospital is the Clinical Reference Centre for AIDS in Albania);</w:t>
      </w:r>
    </w:p>
    <w:p w:rsidR="00000000" w:rsidRDefault="00000000">
      <w:pPr>
        <w:numPr>
          <w:ilvl w:val="0"/>
          <w:numId w:val="224"/>
        </w:numPr>
      </w:pPr>
      <w:r>
        <w:t>Creating and strengthening capacities for offering HIV-related counselling at the central level (Institute of Public Health, Hospital of Infectious Diseases, Non</w:t>
      </w:r>
      <w:r>
        <w:noBreakHyphen/>
        <w:t>governmental Organization “STOP AIDS”).</w:t>
      </w:r>
    </w:p>
    <w:p w:rsidR="00000000" w:rsidRDefault="00000000">
      <w:pPr>
        <w:pStyle w:val="ParaNo"/>
        <w:ind w:left="0" w:firstLine="0"/>
        <w:rPr>
          <w:bCs/>
          <w:lang w:val="en-GB"/>
        </w:rPr>
      </w:pPr>
      <w:r>
        <w:rPr>
          <w:bCs/>
          <w:lang w:val="en-GB"/>
        </w:rPr>
        <w:t>Efforts made to mitigate the impact on infected and affected people have included:</w:t>
      </w:r>
    </w:p>
    <w:p w:rsidR="00000000" w:rsidRDefault="00000000">
      <w:pPr>
        <w:numPr>
          <w:ilvl w:val="0"/>
          <w:numId w:val="225"/>
        </w:numPr>
      </w:pPr>
      <w:r>
        <w:t>Offering pre-test, post-test and follow-up counselling for PLWHA and representatives of vulnerable groups at central level (in Tirana only);</w:t>
      </w:r>
    </w:p>
    <w:p w:rsidR="00000000" w:rsidRDefault="00000000">
      <w:pPr>
        <w:numPr>
          <w:ilvl w:val="0"/>
          <w:numId w:val="225"/>
        </w:numPr>
      </w:pPr>
      <w:r>
        <w:t>Stressing the importance of confidentiality:</w:t>
      </w:r>
    </w:p>
    <w:p w:rsidR="00000000" w:rsidRDefault="00000000">
      <w:pPr>
        <w:numPr>
          <w:ilvl w:val="1"/>
          <w:numId w:val="225"/>
        </w:numPr>
      </w:pPr>
      <w:r>
        <w:t>In the context of the Law “On the Prevention and Control of HIV/AIDS in the Republic of Albania”;</w:t>
      </w:r>
    </w:p>
    <w:p w:rsidR="00000000" w:rsidRDefault="00000000">
      <w:pPr>
        <w:numPr>
          <w:ilvl w:val="1"/>
          <w:numId w:val="225"/>
        </w:numPr>
      </w:pPr>
      <w:r>
        <w:t>Training seminars with medical and other staff dealing specially with confidentiality;</w:t>
      </w:r>
    </w:p>
    <w:p w:rsidR="00000000" w:rsidRDefault="00000000">
      <w:pPr>
        <w:numPr>
          <w:ilvl w:val="1"/>
          <w:numId w:val="225"/>
        </w:numPr>
      </w:pPr>
      <w:r>
        <w:t>Speeches and lectures on confidentiality in the context of the national conferences and training seminars.</w:t>
      </w:r>
    </w:p>
    <w:p w:rsidR="00000000" w:rsidRDefault="00000000">
      <w:pPr>
        <w:pStyle w:val="ParaNo"/>
        <w:ind w:left="0" w:firstLine="0"/>
        <w:rPr>
          <w:lang w:val="en-GB"/>
        </w:rPr>
      </w:pPr>
      <w:r>
        <w:rPr>
          <w:lang w:val="en-GB"/>
        </w:rPr>
        <w:t>Social support for PLWHA is currently limited to a sociologist in the structure of the National AIDS Programme.  In 2003 a revision of policies for social support for PLWHA was taking place.</w:t>
      </w:r>
    </w:p>
    <w:p w:rsidR="00000000" w:rsidRDefault="00000000">
      <w:pPr>
        <w:pStyle w:val="ParaNo"/>
        <w:ind w:left="0" w:firstLine="0"/>
        <w:rPr>
          <w:bCs/>
          <w:lang w:val="en-GB"/>
        </w:rPr>
      </w:pPr>
      <w:r>
        <w:rPr>
          <w:bCs/>
          <w:lang w:val="en-GB"/>
        </w:rPr>
        <w:t>In order to reduce the vulnerability of specific populations, the following measures have been taken:</w:t>
      </w:r>
    </w:p>
    <w:p w:rsidR="00000000" w:rsidRDefault="00000000">
      <w:pPr>
        <w:numPr>
          <w:ilvl w:val="0"/>
          <w:numId w:val="226"/>
        </w:numPr>
      </w:pPr>
      <w:r>
        <w:t>There are several shelters for returning commercial sex workers and victims of trafficking.  Two long-term shelters are run by the Ministry of Work and Social Affairs in Tirana and the International Organization for Migration in Tirana.  A short</w:t>
      </w:r>
      <w:r>
        <w:noBreakHyphen/>
        <w:t>term shelter is run by a non-governmental organization in Vlora (Varta);</w:t>
      </w:r>
    </w:p>
    <w:p w:rsidR="00000000" w:rsidRDefault="00000000">
      <w:pPr>
        <w:numPr>
          <w:ilvl w:val="0"/>
          <w:numId w:val="226"/>
        </w:numPr>
      </w:pPr>
      <w:r>
        <w:t>Two cross-border projects, AFRODITA (Greek-Albanian-Bulgarian Partnership) and TAMPEP (Italian-Albanian Partnership), have dealt with cross-border commercial sex work;</w:t>
      </w:r>
    </w:p>
    <w:p w:rsidR="00000000" w:rsidRDefault="00000000">
      <w:pPr>
        <w:numPr>
          <w:ilvl w:val="0"/>
          <w:numId w:val="226"/>
        </w:numPr>
      </w:pPr>
      <w:r>
        <w:t>The Toxicology Clinic of the Central Military Hospital in Tirana is the only specialized medical unit offering medical assistance to drug users (including Methadone Detoxification Therapy);</w:t>
      </w:r>
    </w:p>
    <w:p w:rsidR="00000000" w:rsidRDefault="00000000">
      <w:pPr>
        <w:numPr>
          <w:ilvl w:val="0"/>
          <w:numId w:val="226"/>
        </w:numPr>
      </w:pPr>
      <w:r>
        <w:t>The Centre “Emanuel” is a rehabilitation centre for drug users operating in Tirana;</w:t>
      </w:r>
    </w:p>
    <w:p w:rsidR="00000000" w:rsidRDefault="00000000">
      <w:pPr>
        <w:numPr>
          <w:ilvl w:val="0"/>
          <w:numId w:val="226"/>
        </w:numPr>
      </w:pPr>
      <w:r>
        <w:t xml:space="preserve"> Aksion+ and APRAD, two local NGOs, run needle exchange programmes in the context of harm reduction initiatives.  Aksion+ is currently working on a project aiming to introduce methadone maintenance therapy for heroin users;</w:t>
      </w:r>
    </w:p>
    <w:p w:rsidR="00000000" w:rsidRDefault="00000000">
      <w:pPr>
        <w:numPr>
          <w:ilvl w:val="0"/>
          <w:numId w:val="226"/>
        </w:numPr>
      </w:pPr>
      <w:r>
        <w:t>The NGO STOP AIDS conducted a two-phase harm-reduction project in five Albanian prisons during 2001-2002;</w:t>
      </w:r>
    </w:p>
    <w:p w:rsidR="00000000" w:rsidRDefault="00000000">
      <w:pPr>
        <w:numPr>
          <w:ilvl w:val="0"/>
          <w:numId w:val="226"/>
        </w:numPr>
      </w:pPr>
      <w:r>
        <w:t xml:space="preserve">ASMA/PSI and STOP AIDS have undertaken peer education activities with soldiers. </w:t>
      </w:r>
    </w:p>
    <w:p w:rsidR="00000000" w:rsidRDefault="00000000">
      <w:pPr>
        <w:pStyle w:val="ParaNo"/>
        <w:ind w:left="0" w:firstLine="0"/>
        <w:rPr>
          <w:bCs/>
          <w:lang w:val="en-GB"/>
        </w:rPr>
      </w:pPr>
      <w:r>
        <w:rPr>
          <w:bCs/>
          <w:lang w:val="en-GB"/>
        </w:rPr>
        <w:t>In order to promote safer behaviours for the general public and specific population groups, the following measures have been taken:</w:t>
      </w:r>
    </w:p>
    <w:p w:rsidR="00000000" w:rsidRDefault="00000000">
      <w:pPr>
        <w:numPr>
          <w:ilvl w:val="0"/>
          <w:numId w:val="227"/>
        </w:numPr>
      </w:pPr>
      <w:r>
        <w:t>Training medical and other professionals, NGO representatives, journalists, and teachers, with general knowledge about HIV/AIDS, ways of transmission and preventive measures as well as with specific topics, according to the particularities of each group of trainees;</w:t>
      </w:r>
    </w:p>
    <w:p w:rsidR="00000000" w:rsidRDefault="00000000">
      <w:pPr>
        <w:numPr>
          <w:ilvl w:val="0"/>
          <w:numId w:val="227"/>
        </w:numPr>
      </w:pPr>
      <w:r>
        <w:t>AIDS education was included in the 8-year school (7th grade);</w:t>
      </w:r>
    </w:p>
    <w:p w:rsidR="00000000" w:rsidRDefault="00000000">
      <w:pPr>
        <w:numPr>
          <w:ilvl w:val="0"/>
          <w:numId w:val="227"/>
        </w:numPr>
      </w:pPr>
      <w:r>
        <w:t>There are lectures dealing with AIDS in sociology and biology classes in high school;</w:t>
      </w:r>
    </w:p>
    <w:p w:rsidR="00000000" w:rsidRDefault="00000000">
      <w:pPr>
        <w:numPr>
          <w:ilvl w:val="0"/>
          <w:numId w:val="227"/>
        </w:numPr>
        <w:jc w:val="both"/>
      </w:pPr>
      <w:r>
        <w:t>AIDS education is included in soldiers’ education;</w:t>
      </w:r>
    </w:p>
    <w:p w:rsidR="00000000" w:rsidRDefault="00000000">
      <w:pPr>
        <w:numPr>
          <w:ilvl w:val="0"/>
          <w:numId w:val="227"/>
        </w:numPr>
      </w:pPr>
      <w:r>
        <w:t>Peer educators activity is conducted by several NGOs, including ASMA/PSI, Aksion+, the Red Cross, Albanian Youth Council, STOP AIDS, etc. UNICEF has undertaken an initiative aimed at unifying the way in which peer education activity is conducted.</w:t>
      </w:r>
    </w:p>
    <w:p w:rsidR="00000000" w:rsidRDefault="00000000">
      <w:pPr>
        <w:pStyle w:val="Heading4"/>
      </w:pPr>
      <w:r>
        <w:t>Promotion and distribution of condoms</w:t>
      </w:r>
    </w:p>
    <w:p w:rsidR="00000000" w:rsidRDefault="00000000">
      <w:pPr>
        <w:pStyle w:val="ParaNo"/>
        <w:ind w:left="0" w:firstLine="0"/>
        <w:rPr>
          <w:lang w:val="en-GB"/>
        </w:rPr>
      </w:pPr>
      <w:r>
        <w:rPr>
          <w:lang w:val="en-GB"/>
        </w:rPr>
        <w:t>Two NGOs, ASMA/PSI and NESMARK, have engaged respectively since 1997 and 1996 in the social marketing of condoms.  The two brands - “Love +” and “For You” - take 96 per cent of condom market.  Both brands are sold at subsidized prices and 74 per cent of men interviewed in the context of a survey said that price was not a problem for using condoms.</w:t>
      </w:r>
    </w:p>
    <w:p w:rsidR="00000000" w:rsidRDefault="00000000">
      <w:pPr>
        <w:pStyle w:val="ParaNo"/>
        <w:ind w:left="0" w:firstLine="0"/>
        <w:rPr>
          <w:lang w:val="en-GB"/>
        </w:rPr>
      </w:pPr>
      <w:r>
        <w:rPr>
          <w:lang w:val="en-GB"/>
        </w:rPr>
        <w:t>Other NGOs - JSI/TASC, Aksion +, the Albanian Family Planning Association, the Red Cross, etc., are involved in condom promotion and condom-use education (especially JSI/TASC, a USAID-funded project that has trained PHC doctors with knowledge and skills to carry on condom promotion).</w:t>
      </w:r>
    </w:p>
    <w:p w:rsidR="00000000" w:rsidRDefault="00000000">
      <w:pPr>
        <w:pStyle w:val="ParaNo"/>
        <w:ind w:left="0" w:firstLine="0"/>
        <w:rPr>
          <w:lang w:val="en-GB"/>
        </w:rPr>
      </w:pPr>
      <w:r>
        <w:rPr>
          <w:lang w:val="en-GB"/>
        </w:rPr>
        <w:br w:type="page"/>
        <w:t>Although 82 per cent of men knew what condoms are, according to a survey, only 33 per cent had ever used one and only 9 per cent used a condom last time they had sex</w:t>
      </w:r>
      <w:r>
        <w:rPr>
          <w:color w:val="000000"/>
          <w:szCs w:val="26"/>
          <w:lang w:val="en-GB"/>
        </w:rPr>
        <w:t xml:space="preserve">.  </w:t>
      </w:r>
      <w:r>
        <w:rPr>
          <w:lang w:val="en-GB"/>
        </w:rPr>
        <w:t>Condoms are sold in all pharmacies of the country but condom use is still low due to wrong beliefs.</w:t>
      </w:r>
    </w:p>
    <w:p w:rsidR="00000000" w:rsidRDefault="00000000">
      <w:pPr>
        <w:pStyle w:val="Heading4"/>
      </w:pPr>
      <w:r>
        <w:t>Prevent and control STIs</w:t>
      </w:r>
    </w:p>
    <w:p w:rsidR="00000000" w:rsidRDefault="00000000">
      <w:pPr>
        <w:pStyle w:val="ParaNo"/>
        <w:ind w:left="0" w:firstLine="0"/>
        <w:rPr>
          <w:lang w:val="en-GB"/>
        </w:rPr>
      </w:pPr>
      <w:r>
        <w:rPr>
          <w:lang w:val="en-GB"/>
        </w:rPr>
        <w:t>The National AIDS Programme initiated systematic management of STIs following the significant underreporting of STIs during the post-1990s period.  A seminar was organized with medical doctors of different disciplines from Tirana and districts to discuss the principles of this management.</w:t>
      </w:r>
    </w:p>
    <w:p w:rsidR="00000000" w:rsidRDefault="00000000">
      <w:pPr>
        <w:pStyle w:val="ParaNo"/>
        <w:ind w:left="0" w:firstLine="0"/>
        <w:rPr>
          <w:lang w:val="en-GB"/>
        </w:rPr>
      </w:pPr>
      <w:r>
        <w:rPr>
          <w:lang w:val="en-GB"/>
        </w:rPr>
        <w:t xml:space="preserve">John Snow, Inc./Technical Assistance and Support Contract (JSI/TASC) trained medical doctors and nurses from the PHC centres of 18 districts with the principles of STI management during April-May 2003.  Laboratory sentinel surveys of gonorrhoea, chlamydia and syphilis are being implemented by the National AIDS Programme in three districts (Tirana, Durres and Vlora). </w:t>
      </w:r>
    </w:p>
    <w:p w:rsidR="00000000" w:rsidRDefault="00000000">
      <w:pPr>
        <w:pStyle w:val="ParaNo"/>
        <w:ind w:left="0" w:firstLine="0"/>
        <w:rPr>
          <w:bCs/>
          <w:lang w:val="en-GB"/>
        </w:rPr>
      </w:pPr>
      <w:r>
        <w:rPr>
          <w:bCs/>
          <w:lang w:val="en-GB"/>
        </w:rPr>
        <w:t>In order to provide a safe blood supply, the following measures have been taken:</w:t>
      </w:r>
    </w:p>
    <w:p w:rsidR="00000000" w:rsidRDefault="00000000">
      <w:pPr>
        <w:numPr>
          <w:ilvl w:val="0"/>
          <w:numId w:val="228"/>
        </w:numPr>
      </w:pPr>
      <w:r>
        <w:t>Since 1992, 60 per cent of donated blood was screened for the presence of anti-HIV antibodies;</w:t>
      </w:r>
    </w:p>
    <w:p w:rsidR="00000000" w:rsidRDefault="00000000">
      <w:pPr>
        <w:numPr>
          <w:ilvl w:val="0"/>
          <w:numId w:val="228"/>
        </w:numPr>
      </w:pPr>
      <w:r>
        <w:t xml:space="preserve">Since 1993, all donated blood was screened for the presence of HIV, HBV, HCV and syphilis.  There are 26 blood banks in 26 districts of the country (according to the administrative division of before 1990). </w:t>
      </w:r>
    </w:p>
    <w:p w:rsidR="00000000" w:rsidRDefault="00000000">
      <w:pPr>
        <w:pStyle w:val="ParaNo"/>
        <w:ind w:left="0" w:firstLine="0"/>
        <w:rPr>
          <w:bCs/>
          <w:lang w:val="en-GB"/>
        </w:rPr>
      </w:pPr>
      <w:r>
        <w:rPr>
          <w:bCs/>
          <w:lang w:val="en-GB"/>
        </w:rPr>
        <w:t>Programme to promote safer injecting drug behaviours include:</w:t>
      </w:r>
    </w:p>
    <w:p w:rsidR="00000000" w:rsidRDefault="00000000">
      <w:pPr>
        <w:numPr>
          <w:ilvl w:val="0"/>
          <w:numId w:val="229"/>
        </w:numPr>
      </w:pPr>
      <w:r>
        <w:t>Aksion+ and APRAD needle exchange programmes;</w:t>
      </w:r>
    </w:p>
    <w:p w:rsidR="00000000" w:rsidRDefault="00000000">
      <w:pPr>
        <w:numPr>
          <w:ilvl w:val="0"/>
          <w:numId w:val="229"/>
        </w:numPr>
      </w:pPr>
      <w:r>
        <w:t>STOP AIDS has conducted harm-reduction programmes in prisons.</w:t>
      </w:r>
    </w:p>
    <w:p w:rsidR="00000000" w:rsidRDefault="00000000">
      <w:pPr>
        <w:pStyle w:val="ParaNo"/>
        <w:ind w:left="0" w:firstLine="0"/>
        <w:rPr>
          <w:lang w:val="en-GB"/>
        </w:rPr>
      </w:pPr>
      <w:r>
        <w:rPr>
          <w:lang w:val="en-GB"/>
        </w:rPr>
        <w:t>The response is still not strong enough to prevent HIV spread between IDUs and female sex workers.  As well, young people and women needs special attention, especially regarding information, education and communication</w:t>
      </w:r>
      <w:r>
        <w:rPr>
          <w:color w:val="000000"/>
          <w:szCs w:val="26"/>
          <w:lang w:val="en-GB"/>
        </w:rPr>
        <w:t xml:space="preserve">.  </w:t>
      </w:r>
      <w:r>
        <w:rPr>
          <w:lang w:val="en-GB"/>
        </w:rPr>
        <w:t>Care and support need to be strengthened.  Programmes for offering medical and social care have not been expanded at local level.  Also, no counselling programmes exist at local level</w:t>
      </w:r>
      <w:r>
        <w:rPr>
          <w:color w:val="000000"/>
          <w:szCs w:val="26"/>
          <w:lang w:val="en-GB"/>
        </w:rPr>
        <w:t xml:space="preserve">.  </w:t>
      </w:r>
      <w:r>
        <w:rPr>
          <w:lang w:val="en-GB"/>
        </w:rPr>
        <w:t>Lack of funding is always a problem for the national programme and a strong centre for the prevention and control of HIV/AIDS/STDs among other centres at IPH is urgently needed</w:t>
      </w:r>
      <w:r>
        <w:rPr>
          <w:color w:val="000000"/>
          <w:szCs w:val="26"/>
          <w:lang w:val="en-GB"/>
        </w:rPr>
        <w:t xml:space="preserve">.  </w:t>
      </w:r>
    </w:p>
    <w:p w:rsidR="00000000" w:rsidRDefault="00000000">
      <w:pPr>
        <w:pStyle w:val="ParaNo"/>
        <w:ind w:left="0" w:firstLine="0"/>
        <w:rPr>
          <w:color w:val="000000"/>
          <w:szCs w:val="26"/>
          <w:lang w:val="en-GB"/>
        </w:rPr>
      </w:pPr>
      <w:r>
        <w:rPr>
          <w:bCs/>
          <w:lang w:val="en-GB"/>
        </w:rPr>
        <w:t xml:space="preserve">Also, local capacities in behavioural surveillance, information, education and communication, HIV and human rights need to be strengthened.  Stigma and discrimination still exist and impede the successful implementation of preventive programmes.  </w:t>
      </w:r>
      <w:r>
        <w:rPr>
          <w:color w:val="000000"/>
          <w:szCs w:val="26"/>
          <w:lang w:val="en-GB"/>
        </w:rPr>
        <w:t xml:space="preserve">In Albania, there is still no comprehensive social service network.  The new initiatives undertaken by the </w:t>
      </w:r>
      <w:r>
        <w:rPr>
          <w:color w:val="000000"/>
          <w:szCs w:val="26"/>
          <w:lang w:val="en-GB"/>
        </w:rPr>
        <w:br w:type="page"/>
        <w:t xml:space="preserve">Government of Albania, supported and implemented by local and international organizations, do not foresee clauses for people who suffer mental diseases to be considered as clients/consumers of social services.  This means, a better cooperation between concerned and responsible authorities is needed for the near future, in order to include the mental invalids into the population targeted for social services. </w:t>
      </w:r>
    </w:p>
    <w:p w:rsidR="00000000" w:rsidRDefault="00000000">
      <w:pPr>
        <w:pStyle w:val="ParaNo"/>
        <w:ind w:left="0" w:firstLine="0"/>
        <w:rPr>
          <w:color w:val="000000"/>
          <w:szCs w:val="26"/>
          <w:lang w:val="en-GB"/>
        </w:rPr>
      </w:pPr>
      <w:r>
        <w:rPr>
          <w:color w:val="000000"/>
          <w:szCs w:val="26"/>
          <w:lang w:val="en-GB"/>
        </w:rPr>
        <w:t>Those few services which currently function in Albania for dealing with the social needs of persons who have problems in mental health are not supported on a long-term basis because:</w:t>
      </w:r>
    </w:p>
    <w:p w:rsidR="00000000" w:rsidRDefault="00000000">
      <w:pPr>
        <w:numPr>
          <w:ilvl w:val="0"/>
          <w:numId w:val="230"/>
        </w:numPr>
        <w:rPr>
          <w:b/>
          <w:bCs/>
          <w:color w:val="000000"/>
          <w:szCs w:val="26"/>
        </w:rPr>
      </w:pPr>
      <w:r>
        <w:rPr>
          <w:color w:val="000000"/>
          <w:szCs w:val="26"/>
        </w:rPr>
        <w:t xml:space="preserve">They are financially </w:t>
      </w:r>
      <w:r>
        <w:rPr>
          <w:szCs w:val="26"/>
        </w:rPr>
        <w:t>maintained</w:t>
      </w:r>
      <w:r>
        <w:rPr>
          <w:color w:val="000000"/>
          <w:szCs w:val="26"/>
        </w:rPr>
        <w:t xml:space="preserve"> by foreign funds, offering little permanence;</w:t>
      </w:r>
    </w:p>
    <w:p w:rsidR="00000000" w:rsidRDefault="00000000">
      <w:pPr>
        <w:numPr>
          <w:ilvl w:val="0"/>
          <w:numId w:val="230"/>
        </w:numPr>
        <w:rPr>
          <w:b/>
          <w:bCs/>
          <w:color w:val="000000"/>
          <w:szCs w:val="26"/>
        </w:rPr>
      </w:pPr>
      <w:r>
        <w:rPr>
          <w:color w:val="000000"/>
          <w:szCs w:val="26"/>
        </w:rPr>
        <w:t>They are almost established in Tirana, hence the other part of Albanian population generally fails to use them.</w:t>
      </w:r>
    </w:p>
    <w:p w:rsidR="00000000" w:rsidRDefault="00000000">
      <w:pPr>
        <w:pStyle w:val="Heading3"/>
      </w:pPr>
      <w:r>
        <w:t xml:space="preserve">Measures for the improvement of environmental and industrial hygiene </w:t>
      </w:r>
    </w:p>
    <w:p w:rsidR="00000000" w:rsidRDefault="00000000">
      <w:pPr>
        <w:pStyle w:val="ParaNo"/>
        <w:ind w:left="0" w:firstLine="0"/>
        <w:rPr>
          <w:bCs/>
          <w:lang w:val="en-GB"/>
        </w:rPr>
      </w:pPr>
      <w:r>
        <w:rPr>
          <w:lang w:val="en-GB"/>
        </w:rPr>
        <w:t xml:space="preserve">The Ministry of Health, through ISHP, has evaluated all environmental and industrial hygiene aspects in Albania and prepared reports on this issue; these reports have been sent to the Ministry of Environment and other ministries, in order to take all necessary measures.  </w:t>
      </w:r>
      <w:r>
        <w:rPr>
          <w:bCs/>
          <w:lang w:val="en-GB"/>
        </w:rPr>
        <w:t>Observance of potable water quality is one of the most important components of the measures taken by the Ministry of Health.  ISHP has coordinated the work in the country and has supervised hygienic services for water disinfection, according to WHO standards.</w:t>
      </w:r>
    </w:p>
    <w:p w:rsidR="00000000" w:rsidRDefault="00000000">
      <w:pPr>
        <w:pStyle w:val="Heading4"/>
      </w:pPr>
      <w:r>
        <w:t xml:space="preserve">Epidemiological and other measures </w:t>
      </w:r>
    </w:p>
    <w:p w:rsidR="00000000" w:rsidRDefault="00000000">
      <w:pPr>
        <w:pStyle w:val="ParaNo"/>
        <w:ind w:left="0" w:firstLine="0"/>
        <w:rPr>
          <w:lang w:val="en-GB"/>
        </w:rPr>
      </w:pPr>
      <w:r>
        <w:rPr>
          <w:lang w:val="en-GB"/>
        </w:rPr>
        <w:t>In Albania an infectious diseases surveillance system has been established, managed by the Public Health Institute</w:t>
      </w:r>
      <w:r>
        <w:rPr>
          <w:bCs/>
          <w:lang w:val="en-GB"/>
        </w:rPr>
        <w:t xml:space="preserve">.  </w:t>
      </w:r>
      <w:r>
        <w:rPr>
          <w:lang w:val="en-GB"/>
        </w:rPr>
        <w:t xml:space="preserve">Such a system is composed of the monthly surveillance of the disease (since 1997), fast surveillance (weekly), Alert (1999) acute flaccid paralysis surveillance, surveillance for the eradication of poliomyelitis/ME, and </w:t>
      </w:r>
      <w:r>
        <w:rPr>
          <w:i/>
          <w:iCs/>
          <w:lang w:val="en-GB"/>
        </w:rPr>
        <w:t>ekzantema makulopapulare</w:t>
      </w:r>
      <w:r>
        <w:rPr>
          <w:lang w:val="en-GB"/>
        </w:rPr>
        <w:t xml:space="preserve"> surveillance, and also for the eradication of measles and rubella in Albania.  This system permits the prevention of epidemic cases.  ISHP collaborates with the regional directorates of Primary Health Services, and organizes the preventive measures. </w:t>
      </w:r>
    </w:p>
    <w:p w:rsidR="00000000" w:rsidRDefault="00000000">
      <w:pPr>
        <w:pStyle w:val="ParaNo"/>
        <w:ind w:left="0" w:firstLine="0"/>
        <w:rPr>
          <w:lang w:val="en-GB"/>
        </w:rPr>
      </w:pPr>
      <w:r>
        <w:rPr>
          <w:lang w:val="en-GB"/>
        </w:rPr>
        <w:t>Infectious disease vaccination is the third important component in such a framework</w:t>
      </w:r>
      <w:r>
        <w:rPr>
          <w:bCs/>
          <w:lang w:val="en-GB"/>
        </w:rPr>
        <w:t xml:space="preserve">.  </w:t>
      </w:r>
      <w:r>
        <w:rPr>
          <w:lang w:val="en-GB"/>
        </w:rPr>
        <w:t>In Albania, poliomyelitis was eradicated in 2002 and measles has likewise been eradicated (from 2002 to date, no new case has been reported)</w:t>
      </w:r>
      <w:r>
        <w:rPr>
          <w:bCs/>
          <w:lang w:val="en-GB"/>
        </w:rPr>
        <w:t xml:space="preserve">.  </w:t>
      </w:r>
      <w:r>
        <w:rPr>
          <w:lang w:val="en-GB"/>
        </w:rPr>
        <w:t>Recently the Parliament approved the law for the prevention of infectious diseases.</w:t>
      </w:r>
    </w:p>
    <w:p w:rsidR="00000000" w:rsidRDefault="00000000">
      <w:pPr>
        <w:pStyle w:val="Heading4"/>
      </w:pPr>
      <w:r>
        <w:t xml:space="preserve">Situation of vulnerable groups </w:t>
      </w:r>
    </w:p>
    <w:p w:rsidR="00000000" w:rsidRDefault="00000000">
      <w:pPr>
        <w:pStyle w:val="ParaNo"/>
        <w:ind w:left="0" w:firstLine="0"/>
        <w:rPr>
          <w:lang w:val="en-GB"/>
        </w:rPr>
      </w:pPr>
      <w:r>
        <w:rPr>
          <w:lang w:val="en-GB"/>
        </w:rPr>
        <w:t>There are no reports in this field</w:t>
      </w:r>
      <w:r>
        <w:rPr>
          <w:bCs/>
          <w:lang w:val="en-GB"/>
        </w:rPr>
        <w:t xml:space="preserve">.  </w:t>
      </w:r>
      <w:r>
        <w:rPr>
          <w:lang w:val="en-GB"/>
        </w:rPr>
        <w:t>From a study done by the Institute of Public Health (ISHP), in suburban zones  (with high risk) in Tirana and Durres, problems for the vaccination of children have been reported</w:t>
      </w:r>
      <w:r>
        <w:rPr>
          <w:bCs/>
          <w:lang w:val="en-GB"/>
        </w:rPr>
        <w:t xml:space="preserve">.  </w:t>
      </w:r>
      <w:r>
        <w:rPr>
          <w:lang w:val="en-GB"/>
        </w:rPr>
        <w:t>Nevertheless, in only 3 of 40 analysed zones was the re-vaccination needed, in order to reach the necessary 95 per cent coverage.</w:t>
      </w:r>
    </w:p>
    <w:p w:rsidR="00000000" w:rsidRDefault="00000000">
      <w:pPr>
        <w:pStyle w:val="Heading4"/>
      </w:pPr>
      <w:r>
        <w:br w:type="page"/>
        <w:t xml:space="preserve">Health care of the elderly </w:t>
      </w:r>
    </w:p>
    <w:p w:rsidR="00000000" w:rsidRDefault="00000000">
      <w:pPr>
        <w:pStyle w:val="ParaNo"/>
        <w:ind w:left="0" w:firstLine="0"/>
        <w:rPr>
          <w:lang w:val="en-GB"/>
        </w:rPr>
      </w:pPr>
      <w:r>
        <w:rPr>
          <w:lang w:val="en-GB"/>
        </w:rPr>
        <w:t>Elderly individuals are part of the health-care scheme, except for the MPF visit:</w:t>
      </w:r>
    </w:p>
    <w:p w:rsidR="00000000" w:rsidRDefault="00000000">
      <w:pPr>
        <w:numPr>
          <w:ilvl w:val="0"/>
          <w:numId w:val="231"/>
        </w:numPr>
      </w:pPr>
      <w:r>
        <w:t>The veterans category, 0.57 per cent of the population, and invalids of the war against Nazi occupation, are reimbursed 100 per cent for the medicines in the reimbursable</w:t>
      </w:r>
      <w:r>
        <w:noBreakHyphen/>
        <w:t>medicine list, and for other medicine for chronic diseases, specified by the Ministry of Health;</w:t>
      </w:r>
    </w:p>
    <w:p w:rsidR="00000000" w:rsidRDefault="00000000">
      <w:pPr>
        <w:numPr>
          <w:ilvl w:val="0"/>
          <w:numId w:val="231"/>
        </w:numPr>
      </w:pPr>
      <w:r>
        <w:t>In the older invalids category, specific diseases are reimbursed 100 per cent from the health-security scheme (persons sick with Cancer and Tuberculosis);</w:t>
      </w:r>
    </w:p>
    <w:p w:rsidR="00000000" w:rsidRDefault="00000000">
      <w:pPr>
        <w:numPr>
          <w:ilvl w:val="0"/>
          <w:numId w:val="231"/>
        </w:numPr>
      </w:pPr>
      <w:r>
        <w:t>Other pensioners, 13.6 per cent of the population, are partially reimbursed, independently from the working years;</w:t>
      </w:r>
    </w:p>
    <w:p w:rsidR="00000000" w:rsidRDefault="00000000">
      <w:r>
        <w:t>The category of physical and mental invalids makes up to 0.33 per cent of the population.</w:t>
      </w:r>
    </w:p>
    <w:p w:rsidR="00000000" w:rsidRDefault="00000000">
      <w:pPr>
        <w:pStyle w:val="Heading3"/>
      </w:pPr>
      <w:r>
        <w:t xml:space="preserve">Health education </w:t>
      </w:r>
    </w:p>
    <w:p w:rsidR="00000000" w:rsidRDefault="00000000">
      <w:pPr>
        <w:pStyle w:val="ParaNo"/>
        <w:ind w:left="0" w:firstLine="0"/>
        <w:rPr>
          <w:bCs/>
          <w:lang w:val="en-GB"/>
        </w:rPr>
      </w:pPr>
      <w:r>
        <w:rPr>
          <w:bCs/>
          <w:lang w:val="en-GB"/>
        </w:rPr>
        <w:t xml:space="preserve">ISHP has established an educational network.  In 2002 a 10-year strategy was prepared, in order to promote disease prevention, and to achieve better health status for all Albanians.  The prevention of smoking, improvement of food quality, prevention of illegal drug use and sexually transmissible diseases are the main goals for the education of the population.  </w:t>
      </w:r>
    </w:p>
    <w:p w:rsidR="00000000" w:rsidRDefault="00000000">
      <w:pPr>
        <w:pStyle w:val="Heading3"/>
      </w:pPr>
      <w:r>
        <w:t xml:space="preserve">International cooperation </w:t>
      </w:r>
    </w:p>
    <w:p w:rsidR="00000000" w:rsidRDefault="00000000">
      <w:pPr>
        <w:pStyle w:val="ParaNo"/>
        <w:ind w:left="0" w:firstLine="0"/>
        <w:rPr>
          <w:lang w:val="en-GB"/>
        </w:rPr>
      </w:pPr>
      <w:r>
        <w:rPr>
          <w:lang w:val="en-GB"/>
        </w:rPr>
        <w:t xml:space="preserve">After 1990 the role of international aid in support of equal access of the population to health services has been high.  Such help can be divided into two branches, bilateral and multilateral.  Part of the multilateral aid is from the EU Phare programme, the World Bank, ECHO, </w:t>
      </w:r>
      <w:r>
        <w:rPr>
          <w:bCs/>
          <w:lang w:val="en-GB"/>
        </w:rPr>
        <w:t xml:space="preserve">WHO, UNFPA, UNDP and UNICEF, and aid from other organizations financed by the EU and other donors.  </w:t>
      </w:r>
      <w:r>
        <w:rPr>
          <w:lang w:val="en-GB"/>
        </w:rPr>
        <w:t>With such aid, building and rehabilitation of many health centres was enabled in different regions of Albania</w:t>
      </w:r>
      <w:r>
        <w:rPr>
          <w:bCs/>
          <w:lang w:val="en-GB"/>
        </w:rPr>
        <w:t xml:space="preserve">.  </w:t>
      </w:r>
      <w:r>
        <w:rPr>
          <w:lang w:val="en-GB"/>
        </w:rPr>
        <w:t>The change in the distribution and situation of health centres enabled more access for the population to quality health services.</w:t>
      </w:r>
    </w:p>
    <w:p w:rsidR="00000000" w:rsidRDefault="00000000">
      <w:pPr>
        <w:pStyle w:val="ParaNo"/>
        <w:ind w:left="0" w:firstLine="0"/>
        <w:rPr>
          <w:lang w:val="en-GB"/>
        </w:rPr>
      </w:pPr>
      <w:r>
        <w:rPr>
          <w:lang w:val="en-GB"/>
        </w:rPr>
        <w:t>The World Bank (IDA), has financed the building and reconstruction of 100 health centres in Shkoder and Vlore, and the equipment of many hospitals with biomedical machinery.  The Phare programme made possible the training of generalist doctors and establishment of many emergency centres in the country.</w:t>
      </w:r>
    </w:p>
    <w:p w:rsidR="00000000" w:rsidRDefault="00000000">
      <w:pPr>
        <w:pStyle w:val="ParaNo"/>
        <w:ind w:left="0" w:firstLine="0"/>
        <w:rPr>
          <w:lang w:val="en-GB"/>
        </w:rPr>
      </w:pPr>
      <w:r>
        <w:rPr>
          <w:lang w:val="en-GB"/>
        </w:rPr>
        <w:t>The ECHO programme, through the NGOs, since 1992, has made a major intervention in the country, rebuilding and rehabilitating more than 200 health centres, and equipping many hospitals with biomedical machinery.</w:t>
      </w:r>
    </w:p>
    <w:p w:rsidR="00000000" w:rsidRDefault="00000000">
      <w:pPr>
        <w:pStyle w:val="ParaNo"/>
        <w:ind w:left="0" w:firstLine="0"/>
        <w:rPr>
          <w:lang w:val="en-GB"/>
        </w:rPr>
      </w:pPr>
      <w:r>
        <w:rPr>
          <w:lang w:val="en-GB"/>
        </w:rPr>
        <w:t>With regard to bilateral cooperation, support from the Governments of Germany, Italy, the United Kingdom (DFID), Switzerland, Sweden, Japan, Greece, Spain, and the United States of America (USAID).</w:t>
      </w:r>
    </w:p>
    <w:p w:rsidR="00000000" w:rsidRDefault="00000000">
      <w:pPr>
        <w:pStyle w:val="ParaNo"/>
        <w:ind w:left="0" w:firstLine="0"/>
        <w:rPr>
          <w:lang w:val="en-GB"/>
        </w:rPr>
      </w:pPr>
      <w:r>
        <w:rPr>
          <w:lang w:val="en-GB"/>
        </w:rPr>
        <w:br w:type="page"/>
        <w:t>Such aid has made possible the rehabilitation of more than 100 health centres in the country, based on the plan of the Ministry of Health</w:t>
      </w:r>
      <w:r>
        <w:rPr>
          <w:bCs/>
          <w:lang w:val="en-GB"/>
        </w:rPr>
        <w:t xml:space="preserve">.  </w:t>
      </w:r>
      <w:r>
        <w:rPr>
          <w:lang w:val="en-GB"/>
        </w:rPr>
        <w:t>The main goal of such programmes is to improve the quality of health services for the population, the reduction of the disease rate, the improvement of mother and child health care, and equal access of the population in the offering of such services.</w:t>
      </w:r>
    </w:p>
    <w:p w:rsidR="00000000" w:rsidRDefault="00000000">
      <w:pPr>
        <w:pStyle w:val="Heading2"/>
      </w:pPr>
      <w:r>
        <w:t>Article 13</w:t>
      </w:r>
    </w:p>
    <w:p w:rsidR="00000000" w:rsidRDefault="00000000">
      <w:pPr>
        <w:pStyle w:val="Heading2"/>
      </w:pPr>
      <w:r>
        <w:t>Right to education</w:t>
      </w:r>
    </w:p>
    <w:p w:rsidR="00000000" w:rsidRDefault="00000000">
      <w:pPr>
        <w:pStyle w:val="ParaNo"/>
        <w:ind w:left="0" w:firstLine="0"/>
        <w:rPr>
          <w:lang w:val="en-GB"/>
        </w:rPr>
      </w:pPr>
      <w:r>
        <w:rPr>
          <w:lang w:val="en-GB"/>
        </w:rPr>
        <w:t>Since 1960 eight years of mandatory education has been provided free of charge for all.  This has been achieved:</w:t>
      </w:r>
    </w:p>
    <w:p w:rsidR="00000000" w:rsidRDefault="00000000">
      <w:pPr>
        <w:numPr>
          <w:ilvl w:val="0"/>
          <w:numId w:val="254"/>
        </w:numPr>
      </w:pPr>
      <w:r>
        <w:t xml:space="preserve">Firstly, by the Constitution and a special law adopted by the Parliament.  The Albanian Constitution enshrines the international standards for guaranteeing everyone’s right to education.  Article 57 of the Constitution provides that:  “Everyone has the right to education; mandatory school education is determined by law.  General high school public education is accessible for all.  Professional high school education and higher education can be conditioned only on criteria of abilities.  Mandatory education and general high school education in public schools are free.  Pupils and students may also be educated in private schools of all levels, which are created and operated on the basis of law.  The autonomy and academic freedom of higher education institutions are guaranteed by law”; </w:t>
      </w:r>
    </w:p>
    <w:p w:rsidR="00000000" w:rsidRDefault="00000000">
      <w:pPr>
        <w:numPr>
          <w:ilvl w:val="0"/>
          <w:numId w:val="232"/>
        </w:numPr>
        <w:rPr>
          <w:szCs w:val="26"/>
        </w:rPr>
      </w:pPr>
      <w:r>
        <w:rPr>
          <w:szCs w:val="26"/>
        </w:rPr>
        <w:t>Article 20 of the Constitution guarantees the education of national minorities in their mother tongue;</w:t>
      </w:r>
    </w:p>
    <w:p w:rsidR="00000000" w:rsidRDefault="00000000">
      <w:pPr>
        <w:numPr>
          <w:ilvl w:val="0"/>
          <w:numId w:val="232"/>
        </w:numPr>
        <w:rPr>
          <w:szCs w:val="26"/>
        </w:rPr>
      </w:pPr>
      <w:r>
        <w:rPr>
          <w:szCs w:val="26"/>
        </w:rPr>
        <w:t>Law No. 7952, dated 21 June 1995, “On pre-university education system”, guarantees:</w:t>
      </w:r>
    </w:p>
    <w:p w:rsidR="00000000" w:rsidRDefault="00000000">
      <w:pPr>
        <w:numPr>
          <w:ilvl w:val="1"/>
          <w:numId w:val="232"/>
        </w:numPr>
        <w:rPr>
          <w:szCs w:val="26"/>
        </w:rPr>
      </w:pPr>
      <w:r>
        <w:rPr>
          <w:szCs w:val="26"/>
        </w:rPr>
        <w:t xml:space="preserve">The equal right to education of Albanian citizens in all pre-university levels, regardless of their social status, nationality, language, sex, religion, political belief, health state and economic level (art. 3); </w:t>
      </w:r>
    </w:p>
    <w:p w:rsidR="00000000" w:rsidRDefault="00000000">
      <w:pPr>
        <w:numPr>
          <w:ilvl w:val="1"/>
          <w:numId w:val="232"/>
        </w:numPr>
        <w:rPr>
          <w:szCs w:val="26"/>
        </w:rPr>
      </w:pPr>
      <w:r>
        <w:rPr>
          <w:szCs w:val="26"/>
        </w:rPr>
        <w:t xml:space="preserve">The right of national minorities to be educated in their mother tongue, to study their national history and culture (art. 10); </w:t>
      </w:r>
    </w:p>
    <w:p w:rsidR="00000000" w:rsidRDefault="00000000">
      <w:pPr>
        <w:numPr>
          <w:ilvl w:val="1"/>
          <w:numId w:val="232"/>
        </w:numPr>
        <w:rPr>
          <w:szCs w:val="26"/>
        </w:rPr>
      </w:pPr>
      <w:r>
        <w:rPr>
          <w:szCs w:val="26"/>
        </w:rPr>
        <w:t xml:space="preserve">Mandatory public education in the whole territory of the Republic (eight-year, in two four-year cycles, elementary and higher education), (arts. 20 and 22); </w:t>
      </w:r>
    </w:p>
    <w:p w:rsidR="00000000" w:rsidRDefault="00000000">
      <w:pPr>
        <w:numPr>
          <w:ilvl w:val="1"/>
          <w:numId w:val="232"/>
        </w:numPr>
        <w:rPr>
          <w:szCs w:val="26"/>
        </w:rPr>
      </w:pPr>
      <w:r>
        <w:rPr>
          <w:szCs w:val="26"/>
        </w:rPr>
        <w:t xml:space="preserve">The obligation of parents to send their children of ages 1 to 16 to mandatory education (art. 24), and the punishment with a fine for administrative offence committed by parents, whose children drop out mandatory education without any reason (art. 59); </w:t>
      </w:r>
    </w:p>
    <w:p w:rsidR="00000000" w:rsidRDefault="00000000">
      <w:pPr>
        <w:numPr>
          <w:ilvl w:val="1"/>
          <w:numId w:val="232"/>
        </w:numPr>
        <w:rPr>
          <w:szCs w:val="26"/>
        </w:rPr>
      </w:pPr>
      <w:r>
        <w:rPr>
          <w:szCs w:val="26"/>
        </w:rPr>
        <w:t>Prohibition of children’s employment during the mandatory education age and, if the opposite, a punishment with fine for the State or private employer who committed this administrative offence (art. 60);</w:t>
      </w:r>
    </w:p>
    <w:p w:rsidR="00000000" w:rsidRDefault="00000000">
      <w:pPr>
        <w:numPr>
          <w:ilvl w:val="0"/>
          <w:numId w:val="233"/>
        </w:numPr>
        <w:rPr>
          <w:szCs w:val="26"/>
        </w:rPr>
      </w:pPr>
      <w:r>
        <w:rPr>
          <w:szCs w:val="26"/>
        </w:rPr>
        <w:t xml:space="preserve">Secondly, by providing material conditions for education (schools and their furniture, appropriate teaching equipment) and the required number of teachers. </w:t>
      </w:r>
    </w:p>
    <w:p w:rsidR="00000000" w:rsidRDefault="00000000">
      <w:pPr>
        <w:pStyle w:val="ParaNo"/>
        <w:ind w:left="0" w:firstLine="0"/>
        <w:rPr>
          <w:szCs w:val="26"/>
          <w:lang w:val="en-GB"/>
        </w:rPr>
      </w:pPr>
      <w:r>
        <w:rPr>
          <w:szCs w:val="26"/>
          <w:lang w:val="en-GB"/>
        </w:rPr>
        <w:t xml:space="preserve">Educational conditions are being improved continuously.  To this aim, there have been </w:t>
      </w:r>
      <w:r>
        <w:rPr>
          <w:lang w:val="en-GB"/>
        </w:rPr>
        <w:t>significant</w:t>
      </w:r>
      <w:r>
        <w:rPr>
          <w:szCs w:val="26"/>
          <w:lang w:val="en-GB"/>
        </w:rPr>
        <w:t xml:space="preserve"> investments made during 2000:  1.5 billion leks from the State budget, 1,055,138 million leks in 12 prefectures, which covered the needs for building and rebuilding schools.</w:t>
      </w:r>
    </w:p>
    <w:p w:rsidR="00000000" w:rsidRDefault="00000000">
      <w:pPr>
        <w:pStyle w:val="Heading2"/>
      </w:pPr>
      <w:r>
        <w:t>Table 49</w:t>
      </w:r>
    </w:p>
    <w:p w:rsidR="00000000" w:rsidRDefault="00000000">
      <w:pPr>
        <w:pStyle w:val="Heading2"/>
      </w:pPr>
      <w:r>
        <w:t>School investments</w:t>
      </w:r>
    </w:p>
    <w:tbl>
      <w:tblPr>
        <w:tblW w:w="0" w:type="auto"/>
        <w:jc w:val="center"/>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9"/>
        <w:gridCol w:w="2400"/>
        <w:gridCol w:w="1817"/>
      </w:tblGrid>
      <w:tr w:rsidR="00000000">
        <w:tblPrEx>
          <w:tblCellMar>
            <w:top w:w="0" w:type="dxa"/>
            <w:bottom w:w="0" w:type="dxa"/>
          </w:tblCellMar>
        </w:tblPrEx>
        <w:trPr>
          <w:jc w:val="center"/>
        </w:trPr>
        <w:tc>
          <w:tcPr>
            <w:tcW w:w="5029" w:type="dxa"/>
            <w:tcBorders>
              <w:bottom w:val="single" w:sz="4" w:space="0" w:color="auto"/>
            </w:tcBorders>
          </w:tcPr>
          <w:p w:rsidR="00000000" w:rsidRDefault="00000000">
            <w:pPr>
              <w:spacing w:after="80"/>
              <w:jc w:val="center"/>
            </w:pPr>
            <w:r>
              <w:t>Activity</w:t>
            </w:r>
          </w:p>
        </w:tc>
        <w:tc>
          <w:tcPr>
            <w:tcW w:w="2400" w:type="dxa"/>
            <w:tcBorders>
              <w:bottom w:val="single" w:sz="4" w:space="0" w:color="auto"/>
            </w:tcBorders>
          </w:tcPr>
          <w:p w:rsidR="00000000" w:rsidRDefault="00000000">
            <w:pPr>
              <w:spacing w:after="80"/>
              <w:jc w:val="center"/>
            </w:pPr>
            <w:r>
              <w:t>1999</w:t>
            </w:r>
          </w:p>
        </w:tc>
        <w:tc>
          <w:tcPr>
            <w:tcW w:w="1817" w:type="dxa"/>
            <w:tcBorders>
              <w:bottom w:val="single" w:sz="4" w:space="0" w:color="auto"/>
            </w:tcBorders>
          </w:tcPr>
          <w:p w:rsidR="00000000" w:rsidRDefault="00000000">
            <w:pPr>
              <w:spacing w:after="80"/>
              <w:jc w:val="center"/>
            </w:pPr>
            <w:r>
              <w:t>2000</w:t>
            </w:r>
          </w:p>
        </w:tc>
      </w:tr>
      <w:tr w:rsidR="00000000">
        <w:tblPrEx>
          <w:tblCellMar>
            <w:top w:w="0" w:type="dxa"/>
            <w:bottom w:w="0" w:type="dxa"/>
          </w:tblCellMar>
        </w:tblPrEx>
        <w:trPr>
          <w:jc w:val="center"/>
        </w:trPr>
        <w:tc>
          <w:tcPr>
            <w:tcW w:w="5029" w:type="dxa"/>
            <w:tcBorders>
              <w:bottom w:val="nil"/>
            </w:tcBorders>
          </w:tcPr>
          <w:p w:rsidR="00000000" w:rsidRDefault="00000000">
            <w:pPr>
              <w:pStyle w:val="Header"/>
              <w:tabs>
                <w:tab w:val="clear" w:pos="4320"/>
                <w:tab w:val="clear" w:pos="8640"/>
              </w:tabs>
              <w:spacing w:after="60"/>
            </w:pPr>
            <w:r>
              <w:t>Investments in thousands of leks in funds</w:t>
            </w:r>
          </w:p>
        </w:tc>
        <w:tc>
          <w:tcPr>
            <w:tcW w:w="2400" w:type="dxa"/>
            <w:tcBorders>
              <w:bottom w:val="nil"/>
            </w:tcBorders>
          </w:tcPr>
          <w:p w:rsidR="00000000" w:rsidRDefault="00000000">
            <w:pPr>
              <w:pStyle w:val="Header"/>
              <w:tabs>
                <w:tab w:val="clear" w:pos="4320"/>
                <w:tab w:val="clear" w:pos="8640"/>
              </w:tabs>
              <w:spacing w:after="60"/>
              <w:jc w:val="center"/>
            </w:pPr>
            <w:r>
              <w:t>3 753 939</w:t>
            </w:r>
            <w:r>
              <w:br/>
              <w:t>(with the additions for Kosova crisis)</w:t>
            </w:r>
          </w:p>
        </w:tc>
        <w:tc>
          <w:tcPr>
            <w:tcW w:w="1817" w:type="dxa"/>
            <w:tcBorders>
              <w:bottom w:val="nil"/>
            </w:tcBorders>
          </w:tcPr>
          <w:p w:rsidR="00000000" w:rsidRDefault="00000000">
            <w:pPr>
              <w:spacing w:after="60"/>
              <w:ind w:right="389"/>
              <w:jc w:val="right"/>
            </w:pPr>
            <w:r>
              <w:t>1 520 000</w:t>
            </w:r>
          </w:p>
        </w:tc>
      </w:tr>
      <w:tr w:rsidR="00000000">
        <w:tblPrEx>
          <w:tblCellMar>
            <w:top w:w="0" w:type="dxa"/>
            <w:bottom w:w="0" w:type="dxa"/>
          </w:tblCellMar>
        </w:tblPrEx>
        <w:trPr>
          <w:trHeight w:val="127"/>
          <w:jc w:val="center"/>
        </w:trPr>
        <w:tc>
          <w:tcPr>
            <w:tcW w:w="5029" w:type="dxa"/>
            <w:tcBorders>
              <w:top w:val="nil"/>
              <w:bottom w:val="nil"/>
            </w:tcBorders>
          </w:tcPr>
          <w:p w:rsidR="00000000" w:rsidRDefault="00000000">
            <w:pPr>
              <w:spacing w:after="60"/>
            </w:pPr>
            <w:r>
              <w:t>Objects</w:t>
            </w:r>
          </w:p>
        </w:tc>
        <w:tc>
          <w:tcPr>
            <w:tcW w:w="2400" w:type="dxa"/>
            <w:tcBorders>
              <w:top w:val="nil"/>
              <w:bottom w:val="nil"/>
            </w:tcBorders>
          </w:tcPr>
          <w:p w:rsidR="00000000" w:rsidRDefault="00000000">
            <w:pPr>
              <w:spacing w:after="60"/>
              <w:ind w:right="612"/>
              <w:jc w:val="right"/>
            </w:pPr>
            <w:r>
              <w:t>578</w:t>
            </w:r>
          </w:p>
        </w:tc>
        <w:tc>
          <w:tcPr>
            <w:tcW w:w="1817" w:type="dxa"/>
            <w:tcBorders>
              <w:top w:val="nil"/>
              <w:bottom w:val="nil"/>
            </w:tcBorders>
          </w:tcPr>
          <w:p w:rsidR="00000000" w:rsidRDefault="00000000">
            <w:pPr>
              <w:spacing w:after="60"/>
              <w:ind w:right="389"/>
              <w:jc w:val="right"/>
            </w:pPr>
            <w:r>
              <w:t>153</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Classes</w:t>
            </w:r>
          </w:p>
        </w:tc>
        <w:tc>
          <w:tcPr>
            <w:tcW w:w="2400" w:type="dxa"/>
            <w:tcBorders>
              <w:top w:val="nil"/>
              <w:bottom w:val="nil"/>
            </w:tcBorders>
          </w:tcPr>
          <w:p w:rsidR="00000000" w:rsidRDefault="00000000">
            <w:pPr>
              <w:spacing w:after="60"/>
              <w:ind w:right="612"/>
              <w:jc w:val="right"/>
            </w:pPr>
            <w:r>
              <w:t>2 792</w:t>
            </w:r>
          </w:p>
        </w:tc>
        <w:tc>
          <w:tcPr>
            <w:tcW w:w="1817" w:type="dxa"/>
            <w:tcBorders>
              <w:top w:val="nil"/>
              <w:bottom w:val="nil"/>
            </w:tcBorders>
          </w:tcPr>
          <w:p w:rsidR="00000000" w:rsidRDefault="00000000">
            <w:pPr>
              <w:spacing w:after="60"/>
              <w:ind w:right="389"/>
              <w:jc w:val="right"/>
            </w:pPr>
            <w:r>
              <w:t>1 595</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Benefiting pupils</w:t>
            </w:r>
          </w:p>
        </w:tc>
        <w:tc>
          <w:tcPr>
            <w:tcW w:w="2400" w:type="dxa"/>
            <w:tcBorders>
              <w:top w:val="nil"/>
              <w:bottom w:val="nil"/>
            </w:tcBorders>
          </w:tcPr>
          <w:p w:rsidR="00000000" w:rsidRDefault="00000000">
            <w:pPr>
              <w:spacing w:after="60"/>
              <w:ind w:right="612"/>
              <w:jc w:val="right"/>
            </w:pPr>
            <w:r>
              <w:t>69 800</w:t>
            </w:r>
          </w:p>
        </w:tc>
        <w:tc>
          <w:tcPr>
            <w:tcW w:w="1817" w:type="dxa"/>
            <w:tcBorders>
              <w:top w:val="nil"/>
              <w:bottom w:val="nil"/>
            </w:tcBorders>
          </w:tcPr>
          <w:p w:rsidR="00000000" w:rsidRDefault="00000000">
            <w:pPr>
              <w:spacing w:after="60"/>
              <w:ind w:right="389"/>
              <w:jc w:val="right"/>
            </w:pPr>
            <w:r>
              <w:t>39 875</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 xml:space="preserve">Reconstructed kindergartens through the </w:t>
            </w:r>
            <w:r>
              <w:br/>
              <w:t xml:space="preserve">   State budget</w:t>
            </w:r>
          </w:p>
        </w:tc>
        <w:tc>
          <w:tcPr>
            <w:tcW w:w="2400" w:type="dxa"/>
            <w:tcBorders>
              <w:top w:val="nil"/>
              <w:bottom w:val="nil"/>
            </w:tcBorders>
          </w:tcPr>
          <w:p w:rsidR="00000000" w:rsidRDefault="00000000">
            <w:pPr>
              <w:tabs>
                <w:tab w:val="left" w:pos="992"/>
              </w:tabs>
              <w:spacing w:after="60"/>
              <w:ind w:right="612"/>
              <w:jc w:val="right"/>
            </w:pPr>
            <w:r>
              <w:t>23</w:t>
            </w:r>
          </w:p>
        </w:tc>
        <w:tc>
          <w:tcPr>
            <w:tcW w:w="1817" w:type="dxa"/>
            <w:tcBorders>
              <w:top w:val="nil"/>
              <w:bottom w:val="nil"/>
            </w:tcBorders>
          </w:tcPr>
          <w:p w:rsidR="00000000" w:rsidRDefault="00000000">
            <w:pPr>
              <w:spacing w:after="60"/>
              <w:ind w:right="389"/>
              <w:jc w:val="right"/>
            </w:pPr>
            <w:r>
              <w:t>14</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 xml:space="preserve">New elementary schools built with funds from </w:t>
            </w:r>
            <w:r>
              <w:br/>
              <w:t xml:space="preserve">   the State budget</w:t>
            </w:r>
          </w:p>
        </w:tc>
        <w:tc>
          <w:tcPr>
            <w:tcW w:w="2400" w:type="dxa"/>
            <w:tcBorders>
              <w:top w:val="nil"/>
              <w:bottom w:val="nil"/>
            </w:tcBorders>
          </w:tcPr>
          <w:p w:rsidR="00000000" w:rsidRDefault="00000000">
            <w:pPr>
              <w:spacing w:after="60"/>
              <w:ind w:right="612"/>
              <w:jc w:val="right"/>
            </w:pPr>
            <w:r>
              <w:t>38</w:t>
            </w:r>
          </w:p>
        </w:tc>
        <w:tc>
          <w:tcPr>
            <w:tcW w:w="1817" w:type="dxa"/>
            <w:tcBorders>
              <w:top w:val="nil"/>
              <w:bottom w:val="nil"/>
            </w:tcBorders>
          </w:tcPr>
          <w:p w:rsidR="00000000" w:rsidRDefault="00000000">
            <w:pPr>
              <w:spacing w:after="60"/>
              <w:ind w:right="389"/>
              <w:jc w:val="right"/>
            </w:pPr>
            <w:r>
              <w:t>16</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 xml:space="preserve">Elementary schools reconstructed with funds </w:t>
            </w:r>
            <w:r>
              <w:br/>
              <w:t xml:space="preserve">   from the State budget</w:t>
            </w:r>
          </w:p>
        </w:tc>
        <w:tc>
          <w:tcPr>
            <w:tcW w:w="2400" w:type="dxa"/>
            <w:tcBorders>
              <w:top w:val="nil"/>
              <w:bottom w:val="nil"/>
            </w:tcBorders>
          </w:tcPr>
          <w:p w:rsidR="00000000" w:rsidRDefault="00000000">
            <w:pPr>
              <w:spacing w:after="60"/>
              <w:ind w:right="612"/>
              <w:jc w:val="right"/>
            </w:pPr>
            <w:r>
              <w:t>111</w:t>
            </w:r>
          </w:p>
        </w:tc>
        <w:tc>
          <w:tcPr>
            <w:tcW w:w="1817" w:type="dxa"/>
            <w:tcBorders>
              <w:top w:val="nil"/>
              <w:bottom w:val="nil"/>
            </w:tcBorders>
          </w:tcPr>
          <w:p w:rsidR="00000000" w:rsidRDefault="00000000">
            <w:pPr>
              <w:spacing w:after="60"/>
              <w:ind w:right="389"/>
              <w:jc w:val="right"/>
            </w:pPr>
            <w:r>
              <w:t>61</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 xml:space="preserve">New high schools built with funds from </w:t>
            </w:r>
            <w:r>
              <w:br/>
              <w:t xml:space="preserve">   the State budget</w:t>
            </w:r>
          </w:p>
        </w:tc>
        <w:tc>
          <w:tcPr>
            <w:tcW w:w="2400" w:type="dxa"/>
            <w:tcBorders>
              <w:top w:val="nil"/>
              <w:bottom w:val="nil"/>
            </w:tcBorders>
          </w:tcPr>
          <w:p w:rsidR="00000000" w:rsidRDefault="00000000">
            <w:pPr>
              <w:spacing w:after="60"/>
              <w:ind w:right="612"/>
              <w:jc w:val="right"/>
            </w:pPr>
            <w:r>
              <w:t>1</w:t>
            </w:r>
          </w:p>
        </w:tc>
        <w:tc>
          <w:tcPr>
            <w:tcW w:w="1817" w:type="dxa"/>
            <w:tcBorders>
              <w:top w:val="nil"/>
              <w:bottom w:val="nil"/>
            </w:tcBorders>
          </w:tcPr>
          <w:p w:rsidR="00000000" w:rsidRDefault="00000000">
            <w:pPr>
              <w:spacing w:after="60"/>
              <w:ind w:right="389"/>
              <w:jc w:val="right"/>
            </w:pPr>
            <w:r>
              <w:t>0</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High schools reconstructed with funds from</w:t>
            </w:r>
            <w:r>
              <w:br/>
              <w:t xml:space="preserve">   the State budget</w:t>
            </w:r>
          </w:p>
        </w:tc>
        <w:tc>
          <w:tcPr>
            <w:tcW w:w="2400" w:type="dxa"/>
            <w:tcBorders>
              <w:top w:val="nil"/>
              <w:bottom w:val="nil"/>
            </w:tcBorders>
          </w:tcPr>
          <w:p w:rsidR="00000000" w:rsidRDefault="00000000">
            <w:pPr>
              <w:spacing w:after="60"/>
              <w:ind w:right="612"/>
              <w:jc w:val="right"/>
            </w:pPr>
            <w:r>
              <w:t>58</w:t>
            </w:r>
          </w:p>
        </w:tc>
        <w:tc>
          <w:tcPr>
            <w:tcW w:w="1817" w:type="dxa"/>
            <w:tcBorders>
              <w:top w:val="nil"/>
              <w:bottom w:val="nil"/>
            </w:tcBorders>
          </w:tcPr>
          <w:p w:rsidR="00000000" w:rsidRDefault="00000000">
            <w:pPr>
              <w:spacing w:after="60"/>
              <w:ind w:right="389"/>
              <w:jc w:val="right"/>
            </w:pPr>
            <w:r>
              <w:t>32</w:t>
            </w:r>
          </w:p>
        </w:tc>
      </w:tr>
      <w:tr w:rsidR="00000000">
        <w:tblPrEx>
          <w:tblCellMar>
            <w:top w:w="0" w:type="dxa"/>
            <w:bottom w:w="0" w:type="dxa"/>
          </w:tblCellMar>
        </w:tblPrEx>
        <w:trPr>
          <w:jc w:val="center"/>
        </w:trPr>
        <w:tc>
          <w:tcPr>
            <w:tcW w:w="5029" w:type="dxa"/>
            <w:tcBorders>
              <w:top w:val="nil"/>
              <w:bottom w:val="nil"/>
            </w:tcBorders>
          </w:tcPr>
          <w:p w:rsidR="00000000" w:rsidRDefault="00000000">
            <w:pPr>
              <w:spacing w:after="60"/>
            </w:pPr>
            <w:r>
              <w:t xml:space="preserve">New universities built with funds from </w:t>
            </w:r>
            <w:r>
              <w:br/>
              <w:t xml:space="preserve">   the State budget</w:t>
            </w:r>
          </w:p>
        </w:tc>
        <w:tc>
          <w:tcPr>
            <w:tcW w:w="2400" w:type="dxa"/>
            <w:tcBorders>
              <w:top w:val="nil"/>
              <w:bottom w:val="nil"/>
            </w:tcBorders>
          </w:tcPr>
          <w:p w:rsidR="00000000" w:rsidRDefault="00000000">
            <w:pPr>
              <w:spacing w:after="60"/>
              <w:ind w:right="612"/>
              <w:jc w:val="right"/>
            </w:pPr>
            <w:r>
              <w:t>0</w:t>
            </w:r>
          </w:p>
        </w:tc>
        <w:tc>
          <w:tcPr>
            <w:tcW w:w="1817" w:type="dxa"/>
            <w:tcBorders>
              <w:top w:val="nil"/>
              <w:bottom w:val="nil"/>
            </w:tcBorders>
          </w:tcPr>
          <w:p w:rsidR="00000000" w:rsidRDefault="00000000">
            <w:pPr>
              <w:spacing w:after="60"/>
              <w:ind w:right="389"/>
              <w:jc w:val="right"/>
            </w:pPr>
            <w:r>
              <w:t>0</w:t>
            </w:r>
          </w:p>
        </w:tc>
      </w:tr>
      <w:tr w:rsidR="00000000">
        <w:tblPrEx>
          <w:tblCellMar>
            <w:top w:w="0" w:type="dxa"/>
            <w:bottom w:w="0" w:type="dxa"/>
          </w:tblCellMar>
        </w:tblPrEx>
        <w:trPr>
          <w:jc w:val="center"/>
        </w:trPr>
        <w:tc>
          <w:tcPr>
            <w:tcW w:w="5029" w:type="dxa"/>
            <w:tcBorders>
              <w:top w:val="nil"/>
            </w:tcBorders>
          </w:tcPr>
          <w:p w:rsidR="00000000" w:rsidRDefault="00000000">
            <w:pPr>
              <w:spacing w:after="0"/>
            </w:pPr>
            <w:r>
              <w:t>Universities reconstructed with funds from</w:t>
            </w:r>
            <w:r>
              <w:br/>
              <w:t xml:space="preserve">   the State budget</w:t>
            </w:r>
          </w:p>
        </w:tc>
        <w:tc>
          <w:tcPr>
            <w:tcW w:w="2400" w:type="dxa"/>
            <w:tcBorders>
              <w:top w:val="nil"/>
            </w:tcBorders>
          </w:tcPr>
          <w:p w:rsidR="00000000" w:rsidRDefault="00000000">
            <w:pPr>
              <w:spacing w:after="0"/>
              <w:ind w:right="612"/>
              <w:jc w:val="right"/>
            </w:pPr>
            <w:r>
              <w:t>30</w:t>
            </w:r>
          </w:p>
        </w:tc>
        <w:tc>
          <w:tcPr>
            <w:tcW w:w="1817" w:type="dxa"/>
            <w:tcBorders>
              <w:top w:val="nil"/>
            </w:tcBorders>
          </w:tcPr>
          <w:p w:rsidR="00000000" w:rsidRDefault="00000000">
            <w:pPr>
              <w:spacing w:after="0"/>
              <w:ind w:right="389"/>
              <w:jc w:val="right"/>
            </w:pPr>
            <w:r>
              <w:t>10</w:t>
            </w:r>
          </w:p>
        </w:tc>
      </w:tr>
    </w:tbl>
    <w:p w:rsidR="00000000" w:rsidRDefault="00000000">
      <w:pPr>
        <w:pStyle w:val="ParaNo"/>
        <w:spacing w:before="240"/>
        <w:ind w:left="0" w:firstLine="0"/>
        <w:rPr>
          <w:lang w:val="en-GB"/>
        </w:rPr>
      </w:pPr>
      <w:r>
        <w:rPr>
          <w:lang w:val="en-GB"/>
        </w:rPr>
        <w:t>During 2000 these investments were made:</w:t>
      </w:r>
    </w:p>
    <w:p w:rsidR="00000000" w:rsidRDefault="00000000">
      <w:pPr>
        <w:numPr>
          <w:ilvl w:val="0"/>
          <w:numId w:val="235"/>
        </w:numPr>
        <w:tabs>
          <w:tab w:val="left" w:pos="5387"/>
        </w:tabs>
      </w:pPr>
      <w:r>
        <w:t>Investments for building up new schools (1.14 billion leks);</w:t>
      </w:r>
    </w:p>
    <w:p w:rsidR="00000000" w:rsidRDefault="00000000">
      <w:pPr>
        <w:numPr>
          <w:ilvl w:val="0"/>
          <w:numId w:val="235"/>
        </w:numPr>
        <w:tabs>
          <w:tab w:val="left" w:pos="5387"/>
        </w:tabs>
      </w:pPr>
      <w:r>
        <w:t>Investments for didactic equipments (320 million leks).</w:t>
      </w:r>
    </w:p>
    <w:p w:rsidR="00000000" w:rsidRDefault="00000000">
      <w:r>
        <w:t>There have been investments in 348 schools in total.</w:t>
      </w:r>
    </w:p>
    <w:p w:rsidR="00000000" w:rsidRDefault="00000000">
      <w:pPr>
        <w:pStyle w:val="Heading2"/>
      </w:pPr>
      <w:r>
        <w:t>Figure 7</w:t>
      </w:r>
    </w:p>
    <w:p w:rsidR="00000000" w:rsidRDefault="00000000">
      <w:r>
        <w:object w:dxaOrig="8535" w:dyaOrig="5520">
          <v:shape id="_x0000_i1029" type="#_x0000_t75" style="width:468pt;height:306pt" o:ole="" o:allowoverlap="f">
            <v:imagedata r:id="rId25" o:title=""/>
          </v:shape>
          <o:OLEObject Type="Embed" ProgID="Excel.Sheet.8" ShapeID="_x0000_i1029" DrawAspect="Content" ObjectID="_1394883061" r:id="rId26"/>
        </w:object>
      </w:r>
    </w:p>
    <w:p w:rsidR="00000000" w:rsidRDefault="00000000">
      <w:pPr>
        <w:pStyle w:val="Heading2"/>
      </w:pPr>
      <w:r>
        <w:rPr>
          <w:noProof/>
        </w:rPr>
        <w:pict>
          <v:shape id="_x0000_s1039" type="#_x0000_t75" style="position:absolute;left:0;text-align:left;margin-left:0;margin-top:28.45pt;width:311.25pt;height:140.95pt;z-index:3;mso-position-horizontal:center;mso-position-horizontal-relative:page" o:allowincell="f" o:allowoverlap="f">
            <v:imagedata r:id="rId27" o:title=""/>
            <w10:wrap type="topAndBottom" anchorx="page"/>
          </v:shape>
          <o:OLEObject Type="Embed" ProgID="Excel.Sheet.8" ShapeID="_x0000_s1039" DrawAspect="Content" ObjectID="_1394883065" r:id="rId28"/>
        </w:pict>
      </w:r>
      <w:r>
        <w:t>Figure 8</w:t>
      </w:r>
    </w:p>
    <w:p w:rsidR="00000000" w:rsidRDefault="00000000"/>
    <w:p w:rsidR="00000000" w:rsidRDefault="00000000">
      <w:pPr>
        <w:pStyle w:val="ParaNo"/>
        <w:rPr>
          <w:lang w:val="en-GB"/>
        </w:rPr>
      </w:pPr>
      <w:r>
        <w:rPr>
          <w:lang w:val="en-GB"/>
        </w:rPr>
        <w:br w:type="page"/>
        <w:t>Thirdly, school attendance has been guaranteed by ensuring real participation of children at schools, by means of explanation and consciousness-raising work and by obligatory measures (fines, judicial sentences, etc.) aimed at those who had broken the law on eight-year obligatory education and did not allow their children to go to school.</w:t>
      </w:r>
    </w:p>
    <w:p w:rsidR="00000000" w:rsidRDefault="00000000">
      <w:pPr>
        <w:pStyle w:val="ParaNo"/>
        <w:rPr>
          <w:lang w:val="en-GB"/>
        </w:rPr>
      </w:pPr>
      <w:r>
        <w:rPr>
          <w:lang w:val="en-GB"/>
        </w:rPr>
        <w:t>During the school year 2000/01, 1,820 eight-year schools and 1,395 subordinate schools with 535,238 pupils (of which 259,931 were female) and 28,321 teachers were operating.  The percentage of pupils who have dropped out of the mandatory eight-year school has been reduced from:  3.01 per cent (16,730 pupils) at the end of the 1998/99 school year, to 2.6 per cent (14,163 pupils) at the end of 1999/2000 school year.</w:t>
      </w:r>
    </w:p>
    <w:p w:rsidR="00000000" w:rsidRDefault="00000000">
      <w:pPr>
        <w:pStyle w:val="ParaNo"/>
        <w:rPr>
          <w:lang w:val="en-GB"/>
        </w:rPr>
      </w:pPr>
      <w:r>
        <w:rPr>
          <w:lang w:val="en-GB"/>
        </w:rPr>
        <w:t>Fourthly, through special measures taken for children in distant rural areas (like in certain areas of north-eastern Albania), they are accommodated in town dormitories, where they attend elementary and eight-year schooling.  By September 2004 all the necessary measures had been taken to introduce nine-year mandatory education in Albania.</w:t>
      </w:r>
    </w:p>
    <w:p w:rsidR="00000000" w:rsidRDefault="00000000">
      <w:pPr>
        <w:pStyle w:val="Heading4"/>
      </w:pPr>
      <w:r>
        <w:t>Accessibility of the educational system</w:t>
      </w:r>
    </w:p>
    <w:p w:rsidR="00000000" w:rsidRDefault="00000000">
      <w:pPr>
        <w:pStyle w:val="ParaNo"/>
        <w:rPr>
          <w:lang w:val="en-GB"/>
        </w:rPr>
      </w:pPr>
      <w:r>
        <w:rPr>
          <w:lang w:val="en-GB"/>
        </w:rPr>
        <w:t>Secondary public education, including middle technical and professional education, is accessible and admissible for all.</w:t>
      </w:r>
    </w:p>
    <w:p w:rsidR="00000000" w:rsidRDefault="00000000">
      <w:pPr>
        <w:pStyle w:val="ParaNo"/>
        <w:rPr>
          <w:lang w:val="en-GB"/>
        </w:rPr>
      </w:pPr>
      <w:r>
        <w:rPr>
          <w:lang w:val="en-GB"/>
        </w:rPr>
        <w:t>In concrete terms, the involvement of pupils in secondary education is as follows:</w:t>
      </w:r>
    </w:p>
    <w:p w:rsidR="00000000" w:rsidRDefault="00000000">
      <w:pPr>
        <w:numPr>
          <w:ilvl w:val="0"/>
          <w:numId w:val="236"/>
        </w:numPr>
      </w:pPr>
      <w:r>
        <w:t>During the school year 1999/2000 there were 388 schools of secondary education operating in the whole country (of which 43 were technical and professional schools), in which 102,971 pupils have been enrolled.  The number of pupils has increased by 4,250 as compared with the year 1998;</w:t>
      </w:r>
    </w:p>
    <w:p w:rsidR="00000000" w:rsidRDefault="00000000">
      <w:pPr>
        <w:numPr>
          <w:ilvl w:val="0"/>
          <w:numId w:val="236"/>
        </w:numPr>
      </w:pPr>
      <w:r>
        <w:t>During the school year 2000/01 there were 373 schools of middle education (of which 43 were technical and professional) operating, with 107,435 pupils.  The number of pupils has increased, with 4,500 more than in the school year 1999/2000.</w:t>
      </w:r>
    </w:p>
    <w:p w:rsidR="00000000" w:rsidRDefault="00000000">
      <w:pPr>
        <w:pStyle w:val="ParaNo"/>
        <w:rPr>
          <w:lang w:val="en-GB"/>
        </w:rPr>
      </w:pPr>
      <w:r>
        <w:rPr>
          <w:lang w:val="en-GB"/>
        </w:rPr>
        <w:t>All of the categories of secondary public education are completely free of charge.</w:t>
      </w:r>
    </w:p>
    <w:p w:rsidR="00000000" w:rsidRDefault="00000000">
      <w:pPr>
        <w:pStyle w:val="ParaNo"/>
        <w:rPr>
          <w:lang w:val="en-GB"/>
        </w:rPr>
      </w:pPr>
      <w:r>
        <w:rPr>
          <w:lang w:val="en-GB"/>
        </w:rPr>
        <w:t>Some public secondary schools, at which attendance requires certain skills, such as secondary sports, music, painting and choreography schools, etc., enrol pupils on a test basis in order to attract talented ones.  For some categories of secondary schools, the Government has granted scholarships and has provided accommodation for some pupils at dormitories.</w:t>
      </w:r>
    </w:p>
    <w:p w:rsidR="00000000" w:rsidRDefault="00000000">
      <w:pPr>
        <w:pStyle w:val="Heading2"/>
      </w:pPr>
      <w:r>
        <w:br w:type="page"/>
        <w:t>Table 50</w:t>
      </w:r>
    </w:p>
    <w:p w:rsidR="00000000" w:rsidRDefault="00000000">
      <w:pPr>
        <w:pStyle w:val="Heading2"/>
      </w:pPr>
      <w:r>
        <w:t>Information on education, 1991-2002</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3" w:type="dxa"/>
          <w:right w:w="23" w:type="dxa"/>
        </w:tblCellMar>
        <w:tblLook w:val="0000" w:firstRow="0" w:lastRow="0" w:firstColumn="0" w:lastColumn="0" w:noHBand="0" w:noVBand="0"/>
      </w:tblPr>
      <w:tblGrid>
        <w:gridCol w:w="426"/>
        <w:gridCol w:w="1275"/>
        <w:gridCol w:w="851"/>
        <w:gridCol w:w="567"/>
        <w:gridCol w:w="779"/>
        <w:gridCol w:w="780"/>
        <w:gridCol w:w="779"/>
        <w:gridCol w:w="780"/>
        <w:gridCol w:w="779"/>
        <w:gridCol w:w="780"/>
        <w:gridCol w:w="780"/>
        <w:gridCol w:w="780"/>
      </w:tblGrid>
      <w:tr w:rsidR="00000000">
        <w:trPr>
          <w:trHeight w:val="20"/>
        </w:trPr>
        <w:tc>
          <w:tcPr>
            <w:tcW w:w="426"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No.</w:t>
            </w:r>
          </w:p>
        </w:tc>
        <w:tc>
          <w:tcPr>
            <w:tcW w:w="1275" w:type="dxa"/>
            <w:tcBorders>
              <w:lef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Entity</w:t>
            </w:r>
          </w:p>
        </w:tc>
        <w:tc>
          <w:tcPr>
            <w:tcW w:w="851" w:type="dxa"/>
            <w:noWrap/>
            <w:tcMar>
              <w:top w:w="20" w:type="dxa"/>
              <w:left w:w="20" w:type="dxa"/>
              <w:bottom w:w="0" w:type="dxa"/>
              <w:right w:w="20" w:type="dxa"/>
            </w:tcMar>
            <w:vAlign w:val="bottom"/>
          </w:tcPr>
          <w:p w:rsidR="00000000" w:rsidRDefault="00000000">
            <w:pPr>
              <w:spacing w:after="0"/>
              <w:jc w:val="center"/>
              <w:rPr>
                <w:sz w:val="18"/>
              </w:rPr>
            </w:pPr>
            <w:r>
              <w:rPr>
                <w:sz w:val="18"/>
              </w:rPr>
              <w:t>Institution</w:t>
            </w:r>
          </w:p>
        </w:tc>
        <w:tc>
          <w:tcPr>
            <w:tcW w:w="567" w:type="dxa"/>
            <w:noWrap/>
            <w:tcMar>
              <w:top w:w="20" w:type="dxa"/>
              <w:left w:w="20" w:type="dxa"/>
              <w:bottom w:w="0" w:type="dxa"/>
              <w:right w:w="20" w:type="dxa"/>
            </w:tcMar>
            <w:vAlign w:val="bottom"/>
          </w:tcPr>
          <w:p w:rsidR="00000000" w:rsidRDefault="00000000">
            <w:pPr>
              <w:spacing w:after="0"/>
              <w:jc w:val="center"/>
              <w:rPr>
                <w:sz w:val="18"/>
              </w:rPr>
            </w:pPr>
            <w:r>
              <w:rPr>
                <w:sz w:val="18"/>
              </w:rPr>
              <w:t>Rural</w:t>
            </w:r>
          </w:p>
        </w:tc>
        <w:tc>
          <w:tcPr>
            <w:tcW w:w="779" w:type="dxa"/>
            <w:noWrap/>
            <w:tcMar>
              <w:top w:w="20" w:type="dxa"/>
              <w:left w:w="20" w:type="dxa"/>
              <w:bottom w:w="0" w:type="dxa"/>
              <w:right w:w="20" w:type="dxa"/>
            </w:tcMar>
            <w:vAlign w:val="bottom"/>
          </w:tcPr>
          <w:p w:rsidR="00000000" w:rsidRDefault="00000000">
            <w:pPr>
              <w:spacing w:after="0"/>
              <w:jc w:val="center"/>
              <w:rPr>
                <w:sz w:val="18"/>
              </w:rPr>
            </w:pPr>
            <w:r>
              <w:rPr>
                <w:sz w:val="18"/>
              </w:rPr>
              <w:t>Pupils</w:t>
            </w:r>
          </w:p>
        </w:tc>
        <w:tc>
          <w:tcPr>
            <w:tcW w:w="780" w:type="dxa"/>
            <w:noWrap/>
            <w:tcMar>
              <w:top w:w="20" w:type="dxa"/>
              <w:left w:w="20" w:type="dxa"/>
              <w:bottom w:w="0" w:type="dxa"/>
              <w:right w:w="20" w:type="dxa"/>
            </w:tcMar>
            <w:vAlign w:val="bottom"/>
          </w:tcPr>
          <w:p w:rsidR="00000000" w:rsidRDefault="00000000">
            <w:pPr>
              <w:spacing w:after="0"/>
              <w:jc w:val="center"/>
              <w:rPr>
                <w:sz w:val="18"/>
              </w:rPr>
            </w:pPr>
            <w:r>
              <w:rPr>
                <w:sz w:val="18"/>
              </w:rPr>
              <w:t>Female</w:t>
            </w:r>
          </w:p>
        </w:tc>
        <w:tc>
          <w:tcPr>
            <w:tcW w:w="779" w:type="dxa"/>
            <w:noWrap/>
            <w:tcMar>
              <w:top w:w="20" w:type="dxa"/>
              <w:left w:w="20" w:type="dxa"/>
              <w:bottom w:w="0" w:type="dxa"/>
              <w:right w:w="20" w:type="dxa"/>
            </w:tcMar>
            <w:vAlign w:val="bottom"/>
          </w:tcPr>
          <w:p w:rsidR="00000000" w:rsidRDefault="00000000">
            <w:pPr>
              <w:spacing w:after="0"/>
              <w:jc w:val="center"/>
              <w:rPr>
                <w:sz w:val="18"/>
              </w:rPr>
            </w:pPr>
            <w:r>
              <w:rPr>
                <w:sz w:val="18"/>
              </w:rPr>
              <w:t>Rural</w:t>
            </w:r>
          </w:p>
        </w:tc>
        <w:tc>
          <w:tcPr>
            <w:tcW w:w="780" w:type="dxa"/>
            <w:noWrap/>
            <w:tcMar>
              <w:top w:w="20" w:type="dxa"/>
              <w:left w:w="20" w:type="dxa"/>
              <w:bottom w:w="0" w:type="dxa"/>
              <w:right w:w="20" w:type="dxa"/>
            </w:tcMar>
            <w:vAlign w:val="bottom"/>
          </w:tcPr>
          <w:p w:rsidR="00000000" w:rsidRDefault="00000000">
            <w:pPr>
              <w:spacing w:after="0"/>
              <w:jc w:val="center"/>
              <w:rPr>
                <w:sz w:val="18"/>
              </w:rPr>
            </w:pPr>
            <w:r>
              <w:rPr>
                <w:sz w:val="18"/>
              </w:rPr>
              <w:t>Female</w:t>
            </w:r>
          </w:p>
        </w:tc>
        <w:tc>
          <w:tcPr>
            <w:tcW w:w="779" w:type="dxa"/>
            <w:noWrap/>
            <w:tcMar>
              <w:top w:w="20" w:type="dxa"/>
              <w:left w:w="20" w:type="dxa"/>
              <w:bottom w:w="0" w:type="dxa"/>
              <w:right w:w="20" w:type="dxa"/>
            </w:tcMar>
            <w:vAlign w:val="bottom"/>
          </w:tcPr>
          <w:p w:rsidR="00000000" w:rsidRDefault="00000000">
            <w:pPr>
              <w:spacing w:after="0"/>
              <w:jc w:val="center"/>
              <w:rPr>
                <w:sz w:val="18"/>
              </w:rPr>
            </w:pPr>
            <w:r>
              <w:rPr>
                <w:sz w:val="18"/>
              </w:rPr>
              <w:t>Teachers</w:t>
            </w:r>
          </w:p>
        </w:tc>
        <w:tc>
          <w:tcPr>
            <w:tcW w:w="780" w:type="dxa"/>
            <w:noWrap/>
            <w:tcMar>
              <w:top w:w="20" w:type="dxa"/>
              <w:left w:w="20" w:type="dxa"/>
              <w:bottom w:w="0" w:type="dxa"/>
              <w:right w:w="20" w:type="dxa"/>
            </w:tcMar>
            <w:vAlign w:val="bottom"/>
          </w:tcPr>
          <w:p w:rsidR="00000000" w:rsidRDefault="00000000">
            <w:pPr>
              <w:spacing w:after="0"/>
              <w:jc w:val="center"/>
              <w:rPr>
                <w:sz w:val="18"/>
              </w:rPr>
            </w:pPr>
            <w:r>
              <w:rPr>
                <w:sz w:val="18"/>
              </w:rPr>
              <w:t>Female</w:t>
            </w:r>
          </w:p>
        </w:tc>
        <w:tc>
          <w:tcPr>
            <w:tcW w:w="780" w:type="dxa"/>
            <w:noWrap/>
            <w:tcMar>
              <w:top w:w="20" w:type="dxa"/>
              <w:left w:w="20" w:type="dxa"/>
              <w:bottom w:w="0" w:type="dxa"/>
              <w:right w:w="20" w:type="dxa"/>
            </w:tcMar>
            <w:vAlign w:val="bottom"/>
          </w:tcPr>
          <w:p w:rsidR="00000000" w:rsidRDefault="00000000">
            <w:pPr>
              <w:spacing w:after="0"/>
              <w:jc w:val="center"/>
              <w:rPr>
                <w:sz w:val="18"/>
              </w:rPr>
            </w:pPr>
            <w:r>
              <w:rPr>
                <w:sz w:val="18"/>
              </w:rPr>
              <w:t>Rural</w:t>
            </w:r>
          </w:p>
        </w:tc>
        <w:tc>
          <w:tcPr>
            <w:tcW w:w="780" w:type="dxa"/>
            <w:noWrap/>
            <w:tcMar>
              <w:top w:w="20" w:type="dxa"/>
              <w:left w:w="20" w:type="dxa"/>
              <w:bottom w:w="0" w:type="dxa"/>
              <w:right w:w="20" w:type="dxa"/>
            </w:tcMar>
            <w:vAlign w:val="bottom"/>
          </w:tcPr>
          <w:p w:rsidR="00000000" w:rsidRDefault="00000000">
            <w:pPr>
              <w:spacing w:after="0"/>
              <w:jc w:val="center"/>
              <w:rPr>
                <w:sz w:val="18"/>
              </w:rPr>
            </w:pPr>
            <w:r>
              <w:rPr>
                <w:sz w:val="18"/>
              </w:rPr>
              <w:t>Female</w:t>
            </w:r>
          </w:p>
        </w:tc>
      </w:tr>
      <w:tr w:rsidR="00000000">
        <w:trPr>
          <w:trHeight w:val="300"/>
        </w:trPr>
        <w:tc>
          <w:tcPr>
            <w:tcW w:w="426"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1</w:t>
            </w:r>
          </w:p>
        </w:tc>
        <w:tc>
          <w:tcPr>
            <w:tcW w:w="1275" w:type="dxa"/>
            <w:tcBorders>
              <w:left w:val="single" w:sz="4" w:space="0" w:color="auto"/>
              <w:bottom w:val="nil"/>
            </w:tcBorders>
            <w:noWrap/>
            <w:tcMar>
              <w:top w:w="20" w:type="dxa"/>
              <w:left w:w="20" w:type="dxa"/>
              <w:bottom w:w="0" w:type="dxa"/>
              <w:right w:w="20" w:type="dxa"/>
            </w:tcMar>
            <w:vAlign w:val="bottom"/>
          </w:tcPr>
          <w:p w:rsidR="00000000" w:rsidRDefault="00000000">
            <w:pPr>
              <w:spacing w:after="0"/>
              <w:rPr>
                <w:sz w:val="18"/>
              </w:rPr>
            </w:pPr>
            <w:r>
              <w:rPr>
                <w:sz w:val="18"/>
              </w:rPr>
              <w:t>In total</w:t>
            </w:r>
          </w:p>
        </w:tc>
        <w:tc>
          <w:tcPr>
            <w:tcW w:w="851" w:type="dxa"/>
            <w:tcBorders>
              <w:bottom w:val="nil"/>
            </w:tcBorders>
            <w:noWrap/>
            <w:tcMar>
              <w:top w:w="20" w:type="dxa"/>
              <w:left w:w="20" w:type="dxa"/>
              <w:bottom w:w="0" w:type="dxa"/>
              <w:right w:w="20" w:type="dxa"/>
            </w:tcMar>
            <w:vAlign w:val="bottom"/>
          </w:tcPr>
          <w:p w:rsidR="00000000" w:rsidRDefault="00000000">
            <w:pPr>
              <w:spacing w:after="0"/>
              <w:ind w:right="227"/>
              <w:jc w:val="right"/>
              <w:rPr>
                <w:sz w:val="18"/>
              </w:rPr>
            </w:pPr>
            <w:r>
              <w:rPr>
                <w:sz w:val="18"/>
              </w:rPr>
              <w:t>5 462</w:t>
            </w:r>
          </w:p>
        </w:tc>
        <w:tc>
          <w:tcPr>
            <w:tcW w:w="567" w:type="dxa"/>
            <w:tcBorders>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4 611</w:t>
            </w:r>
          </w:p>
        </w:tc>
        <w:tc>
          <w:tcPr>
            <w:tcW w:w="779" w:type="dxa"/>
            <w:tcBorders>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818 869</w:t>
            </w:r>
          </w:p>
        </w:tc>
        <w:tc>
          <w:tcPr>
            <w:tcW w:w="780" w:type="dxa"/>
            <w:tcBorders>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349 169</w:t>
            </w:r>
          </w:p>
        </w:tc>
        <w:tc>
          <w:tcPr>
            <w:tcW w:w="779" w:type="dxa"/>
            <w:tcBorders>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498 401</w:t>
            </w:r>
          </w:p>
        </w:tc>
        <w:tc>
          <w:tcPr>
            <w:tcW w:w="780" w:type="dxa"/>
            <w:tcBorders>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215 422</w:t>
            </w:r>
          </w:p>
        </w:tc>
        <w:tc>
          <w:tcPr>
            <w:tcW w:w="779" w:type="dxa"/>
            <w:tcBorders>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46 298</w:t>
            </w:r>
          </w:p>
        </w:tc>
        <w:tc>
          <w:tcPr>
            <w:tcW w:w="780" w:type="dxa"/>
            <w:tcBorders>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25 948</w:t>
            </w:r>
          </w:p>
        </w:tc>
        <w:tc>
          <w:tcPr>
            <w:tcW w:w="780" w:type="dxa"/>
            <w:tcBorders>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27 324</w:t>
            </w:r>
          </w:p>
        </w:tc>
        <w:tc>
          <w:tcPr>
            <w:tcW w:w="780" w:type="dxa"/>
            <w:tcBorders>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13 562</w:t>
            </w:r>
          </w:p>
        </w:tc>
      </w:tr>
      <w:tr w:rsidR="00000000">
        <w:trPr>
          <w:trHeight w:val="300"/>
        </w:trPr>
        <w:tc>
          <w:tcPr>
            <w:tcW w:w="426"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w:t>
            </w:r>
          </w:p>
        </w:tc>
        <w:tc>
          <w:tcPr>
            <w:tcW w:w="1275" w:type="dxa"/>
            <w:tcBorders>
              <w:top w:val="nil"/>
              <w:left w:val="single" w:sz="4" w:space="0" w:color="auto"/>
              <w:bottom w:val="nil"/>
            </w:tcBorders>
            <w:noWrap/>
            <w:tcMar>
              <w:top w:w="20" w:type="dxa"/>
              <w:left w:w="20" w:type="dxa"/>
              <w:bottom w:w="0" w:type="dxa"/>
              <w:right w:w="20" w:type="dxa"/>
            </w:tcMar>
            <w:vAlign w:val="bottom"/>
          </w:tcPr>
          <w:p w:rsidR="00000000" w:rsidRDefault="00000000">
            <w:pPr>
              <w:spacing w:after="0"/>
              <w:rPr>
                <w:sz w:val="18"/>
              </w:rPr>
            </w:pPr>
            <w:r>
              <w:rPr>
                <w:sz w:val="18"/>
              </w:rPr>
              <w:t xml:space="preserve">  Pre-school</w:t>
            </w:r>
          </w:p>
        </w:tc>
        <w:tc>
          <w:tcPr>
            <w:tcW w:w="851" w:type="dxa"/>
            <w:tcBorders>
              <w:top w:val="nil"/>
              <w:bottom w:val="nil"/>
            </w:tcBorders>
            <w:noWrap/>
            <w:tcMar>
              <w:top w:w="20" w:type="dxa"/>
              <w:left w:w="20" w:type="dxa"/>
              <w:bottom w:w="0" w:type="dxa"/>
              <w:right w:w="20" w:type="dxa"/>
            </w:tcMar>
            <w:vAlign w:val="bottom"/>
          </w:tcPr>
          <w:p w:rsidR="00000000" w:rsidRDefault="00000000">
            <w:pPr>
              <w:spacing w:after="0"/>
              <w:ind w:right="227"/>
              <w:jc w:val="right"/>
              <w:rPr>
                <w:sz w:val="18"/>
              </w:rPr>
            </w:pPr>
            <w:r>
              <w:rPr>
                <w:sz w:val="18"/>
              </w:rPr>
              <w:t>3 174</w:t>
            </w:r>
          </w:p>
        </w:tc>
        <w:tc>
          <w:tcPr>
            <w:tcW w:w="567"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2 707</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108 889</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54 573</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5 440</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5 440</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3 180</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3 180</w:t>
            </w:r>
          </w:p>
        </w:tc>
      </w:tr>
      <w:tr w:rsidR="00000000">
        <w:trPr>
          <w:trHeight w:val="300"/>
        </w:trPr>
        <w:tc>
          <w:tcPr>
            <w:tcW w:w="426"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w:t>
            </w:r>
          </w:p>
        </w:tc>
        <w:tc>
          <w:tcPr>
            <w:tcW w:w="1275" w:type="dxa"/>
            <w:tcBorders>
              <w:top w:val="nil"/>
              <w:left w:val="single" w:sz="4" w:space="0" w:color="auto"/>
              <w:bottom w:val="nil"/>
            </w:tcBorders>
            <w:noWrap/>
            <w:tcMar>
              <w:top w:w="20" w:type="dxa"/>
              <w:left w:w="20" w:type="dxa"/>
              <w:bottom w:w="0" w:type="dxa"/>
              <w:right w:w="20" w:type="dxa"/>
            </w:tcMar>
            <w:vAlign w:val="bottom"/>
          </w:tcPr>
          <w:p w:rsidR="00000000" w:rsidRDefault="00000000">
            <w:pPr>
              <w:spacing w:after="0"/>
              <w:rPr>
                <w:sz w:val="18"/>
              </w:rPr>
            </w:pPr>
            <w:r>
              <w:rPr>
                <w:sz w:val="18"/>
              </w:rPr>
              <w:t xml:space="preserve">  8-year system</w:t>
            </w:r>
          </w:p>
        </w:tc>
        <w:tc>
          <w:tcPr>
            <w:tcW w:w="851" w:type="dxa"/>
            <w:tcBorders>
              <w:top w:val="nil"/>
              <w:bottom w:val="nil"/>
            </w:tcBorders>
            <w:noWrap/>
            <w:tcMar>
              <w:top w:w="20" w:type="dxa"/>
              <w:left w:w="20" w:type="dxa"/>
              <w:bottom w:w="0" w:type="dxa"/>
              <w:right w:w="20" w:type="dxa"/>
            </w:tcMar>
            <w:vAlign w:val="bottom"/>
          </w:tcPr>
          <w:p w:rsidR="00000000" w:rsidRDefault="00000000">
            <w:pPr>
              <w:spacing w:after="0"/>
              <w:ind w:right="227"/>
              <w:jc w:val="right"/>
              <w:rPr>
                <w:sz w:val="18"/>
              </w:rPr>
            </w:pPr>
            <w:r>
              <w:rPr>
                <w:sz w:val="18"/>
              </w:rPr>
              <w:t>1 764</w:t>
            </w:r>
          </w:p>
        </w:tc>
        <w:tc>
          <w:tcPr>
            <w:tcW w:w="567"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1 546</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540 438</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262 140</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364 335</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176 940</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29 553</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16 573</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20 377</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9 417</w:t>
            </w:r>
          </w:p>
        </w:tc>
      </w:tr>
      <w:tr w:rsidR="00000000">
        <w:trPr>
          <w:trHeight w:val="300"/>
        </w:trPr>
        <w:tc>
          <w:tcPr>
            <w:tcW w:w="426"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w:t>
            </w:r>
          </w:p>
        </w:tc>
        <w:tc>
          <w:tcPr>
            <w:tcW w:w="1275" w:type="dxa"/>
            <w:tcBorders>
              <w:top w:val="nil"/>
              <w:left w:val="single" w:sz="4" w:space="0" w:color="auto"/>
              <w:bottom w:val="nil"/>
            </w:tcBorders>
            <w:noWrap/>
            <w:tcMar>
              <w:top w:w="20" w:type="dxa"/>
              <w:left w:w="20" w:type="dxa"/>
              <w:bottom w:w="0" w:type="dxa"/>
              <w:right w:w="20" w:type="dxa"/>
            </w:tcMar>
            <w:vAlign w:val="bottom"/>
          </w:tcPr>
          <w:p w:rsidR="00000000" w:rsidRDefault="00000000">
            <w:pPr>
              <w:spacing w:after="0"/>
              <w:rPr>
                <w:sz w:val="18"/>
              </w:rPr>
            </w:pPr>
            <w:r>
              <w:rPr>
                <w:sz w:val="18"/>
              </w:rPr>
              <w:t xml:space="preserve">  High school</w:t>
            </w:r>
          </w:p>
        </w:tc>
        <w:tc>
          <w:tcPr>
            <w:tcW w:w="851" w:type="dxa"/>
            <w:tcBorders>
              <w:top w:val="nil"/>
              <w:bottom w:val="nil"/>
            </w:tcBorders>
            <w:noWrap/>
            <w:tcMar>
              <w:top w:w="20" w:type="dxa"/>
              <w:left w:w="20" w:type="dxa"/>
              <w:bottom w:w="0" w:type="dxa"/>
              <w:right w:w="20" w:type="dxa"/>
            </w:tcMar>
            <w:vAlign w:val="bottom"/>
          </w:tcPr>
          <w:p w:rsidR="00000000" w:rsidRDefault="00000000">
            <w:pPr>
              <w:spacing w:after="0"/>
              <w:ind w:right="227"/>
              <w:jc w:val="right"/>
              <w:rPr>
                <w:sz w:val="18"/>
              </w:rPr>
            </w:pPr>
            <w:r>
              <w:rPr>
                <w:sz w:val="18"/>
              </w:rPr>
              <w:t>515</w:t>
            </w:r>
          </w:p>
        </w:tc>
        <w:tc>
          <w:tcPr>
            <w:tcW w:w="567"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358</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141 541</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72 494</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79 493</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38 482</w:t>
            </w:r>
          </w:p>
        </w:tc>
        <w:tc>
          <w:tcPr>
            <w:tcW w:w="779"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9 500</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3 446</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3 767</w:t>
            </w:r>
          </w:p>
        </w:tc>
        <w:tc>
          <w:tcPr>
            <w:tcW w:w="780" w:type="dxa"/>
            <w:tcBorders>
              <w:top w:val="nil"/>
              <w:bottom w:val="nil"/>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965</w:t>
            </w:r>
          </w:p>
        </w:tc>
      </w:tr>
      <w:tr w:rsidR="00000000">
        <w:trPr>
          <w:trHeight w:val="300"/>
        </w:trPr>
        <w:tc>
          <w:tcPr>
            <w:tcW w:w="426"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after="0"/>
              <w:jc w:val="center"/>
              <w:rPr>
                <w:sz w:val="18"/>
              </w:rPr>
            </w:pPr>
            <w:r>
              <w:rPr>
                <w:sz w:val="18"/>
              </w:rPr>
              <w:t>-</w:t>
            </w:r>
          </w:p>
        </w:tc>
        <w:tc>
          <w:tcPr>
            <w:tcW w:w="1275" w:type="dxa"/>
            <w:tcBorders>
              <w:top w:val="nil"/>
              <w:left w:val="single" w:sz="4" w:space="0" w:color="auto"/>
              <w:bottom w:val="single" w:sz="4" w:space="0" w:color="auto"/>
            </w:tcBorders>
            <w:noWrap/>
            <w:tcMar>
              <w:top w:w="20" w:type="dxa"/>
              <w:left w:w="20" w:type="dxa"/>
              <w:bottom w:w="0" w:type="dxa"/>
              <w:right w:w="20" w:type="dxa"/>
            </w:tcMar>
            <w:vAlign w:val="bottom"/>
          </w:tcPr>
          <w:p w:rsidR="00000000" w:rsidRDefault="00000000">
            <w:pPr>
              <w:spacing w:after="0"/>
              <w:rPr>
                <w:sz w:val="18"/>
              </w:rPr>
            </w:pPr>
            <w:r>
              <w:rPr>
                <w:sz w:val="18"/>
              </w:rPr>
              <w:t xml:space="preserve">  University</w:t>
            </w:r>
          </w:p>
        </w:tc>
        <w:tc>
          <w:tcPr>
            <w:tcW w:w="851"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227"/>
              <w:jc w:val="right"/>
              <w:rPr>
                <w:sz w:val="18"/>
              </w:rPr>
            </w:pPr>
            <w:r>
              <w:rPr>
                <w:sz w:val="18"/>
              </w:rPr>
              <w:t>9</w:t>
            </w:r>
          </w:p>
        </w:tc>
        <w:tc>
          <w:tcPr>
            <w:tcW w:w="567"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w:t>
            </w:r>
          </w:p>
        </w:tc>
        <w:tc>
          <w:tcPr>
            <w:tcW w:w="779"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28 001</w:t>
            </w:r>
          </w:p>
        </w:tc>
        <w:tc>
          <w:tcPr>
            <w:tcW w:w="780"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14 535</w:t>
            </w:r>
          </w:p>
        </w:tc>
        <w:tc>
          <w:tcPr>
            <w:tcW w:w="779"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w:t>
            </w:r>
          </w:p>
        </w:tc>
        <w:tc>
          <w:tcPr>
            <w:tcW w:w="780"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57"/>
              <w:jc w:val="right"/>
              <w:rPr>
                <w:sz w:val="18"/>
              </w:rPr>
            </w:pPr>
            <w:r>
              <w:rPr>
                <w:sz w:val="18"/>
              </w:rPr>
              <w:t>-</w:t>
            </w:r>
          </w:p>
        </w:tc>
        <w:tc>
          <w:tcPr>
            <w:tcW w:w="779"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1 805</w:t>
            </w:r>
          </w:p>
        </w:tc>
        <w:tc>
          <w:tcPr>
            <w:tcW w:w="780"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489</w:t>
            </w:r>
          </w:p>
        </w:tc>
        <w:tc>
          <w:tcPr>
            <w:tcW w:w="780"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w:t>
            </w:r>
          </w:p>
        </w:tc>
        <w:tc>
          <w:tcPr>
            <w:tcW w:w="780" w:type="dxa"/>
            <w:tcBorders>
              <w:top w:val="nil"/>
              <w:bottom w:val="single" w:sz="4" w:space="0" w:color="auto"/>
            </w:tcBorders>
            <w:noWrap/>
            <w:tcMar>
              <w:top w:w="20" w:type="dxa"/>
              <w:left w:w="20" w:type="dxa"/>
              <w:bottom w:w="0" w:type="dxa"/>
              <w:right w:w="20" w:type="dxa"/>
            </w:tcMar>
            <w:vAlign w:val="bottom"/>
          </w:tcPr>
          <w:p w:rsidR="00000000" w:rsidRDefault="00000000">
            <w:pPr>
              <w:spacing w:after="0"/>
              <w:ind w:right="113"/>
              <w:jc w:val="right"/>
              <w:rPr>
                <w:sz w:val="18"/>
              </w:rPr>
            </w:pPr>
            <w:r>
              <w:rPr>
                <w:sz w:val="18"/>
              </w:rPr>
              <w:t>-</w:t>
            </w:r>
          </w:p>
        </w:tc>
      </w:tr>
    </w:tbl>
    <w:p w:rsidR="00000000" w:rsidRDefault="00000000">
      <w:pPr>
        <w:pStyle w:val="Heading3"/>
        <w:spacing w:before="240"/>
      </w:pPr>
      <w:r>
        <w:t>Preparation for school</w:t>
      </w:r>
    </w:p>
    <w:p w:rsidR="00000000" w:rsidRDefault="00000000">
      <w:pPr>
        <w:pStyle w:val="Heading2"/>
      </w:pPr>
      <w:r>
        <w:t>Table 51</w:t>
      </w:r>
    </w:p>
    <w:p w:rsidR="00000000" w:rsidRDefault="00000000">
      <w:pPr>
        <w:pStyle w:val="Heading2"/>
      </w:pPr>
      <w:r>
        <w:t>Enrolments in kindergartens, 2003/04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559"/>
        <w:gridCol w:w="1559"/>
        <w:gridCol w:w="1559"/>
        <w:gridCol w:w="1560"/>
      </w:tblGrid>
      <w:tr w:rsidR="00000000">
        <w:trPr>
          <w:cantSplit/>
          <w:trHeight w:val="20"/>
        </w:trPr>
        <w:tc>
          <w:tcPr>
            <w:tcW w:w="3119" w:type="dxa"/>
            <w:tcBorders>
              <w:top w:val="single" w:sz="4" w:space="0" w:color="auto"/>
              <w:bottom w:val="nil"/>
            </w:tcBorders>
            <w:noWrap/>
          </w:tcPr>
          <w:p w:rsidR="00000000" w:rsidRDefault="00000000">
            <w:pPr>
              <w:spacing w:after="0"/>
              <w:jc w:val="center"/>
            </w:pPr>
          </w:p>
        </w:tc>
        <w:tc>
          <w:tcPr>
            <w:tcW w:w="3118" w:type="dxa"/>
            <w:gridSpan w:val="2"/>
            <w:tcBorders>
              <w:bottom w:val="single" w:sz="4" w:space="0" w:color="auto"/>
            </w:tcBorders>
            <w:noWrap/>
          </w:tcPr>
          <w:p w:rsidR="00000000" w:rsidRDefault="00000000">
            <w:pPr>
              <w:spacing w:after="0"/>
              <w:jc w:val="center"/>
            </w:pPr>
            <w:r>
              <w:t>Total</w:t>
            </w:r>
          </w:p>
        </w:tc>
        <w:tc>
          <w:tcPr>
            <w:tcW w:w="3119" w:type="dxa"/>
            <w:gridSpan w:val="2"/>
            <w:tcBorders>
              <w:bottom w:val="single" w:sz="4" w:space="0" w:color="auto"/>
            </w:tcBorders>
            <w:noWrap/>
          </w:tcPr>
          <w:p w:rsidR="00000000" w:rsidRDefault="00000000">
            <w:pPr>
              <w:spacing w:after="0"/>
              <w:jc w:val="center"/>
            </w:pPr>
            <w:r>
              <w:t>Rural</w:t>
            </w:r>
          </w:p>
        </w:tc>
      </w:tr>
      <w:tr w:rsidR="00000000">
        <w:trPr>
          <w:trHeight w:val="20"/>
        </w:trPr>
        <w:tc>
          <w:tcPr>
            <w:tcW w:w="3119" w:type="dxa"/>
            <w:tcBorders>
              <w:top w:val="nil"/>
              <w:bottom w:val="single" w:sz="4" w:space="0" w:color="auto"/>
            </w:tcBorders>
            <w:noWrap/>
          </w:tcPr>
          <w:p w:rsidR="00000000" w:rsidRDefault="00000000">
            <w:pPr>
              <w:spacing w:after="0"/>
              <w:jc w:val="center"/>
            </w:pPr>
          </w:p>
        </w:tc>
        <w:tc>
          <w:tcPr>
            <w:tcW w:w="1559" w:type="dxa"/>
            <w:tcBorders>
              <w:bottom w:val="single" w:sz="4" w:space="0" w:color="auto"/>
            </w:tcBorders>
            <w:noWrap/>
          </w:tcPr>
          <w:p w:rsidR="00000000" w:rsidRDefault="00000000">
            <w:pPr>
              <w:spacing w:after="0"/>
              <w:jc w:val="center"/>
            </w:pPr>
            <w:r>
              <w:t>Total</w:t>
            </w:r>
          </w:p>
        </w:tc>
        <w:tc>
          <w:tcPr>
            <w:tcW w:w="1559" w:type="dxa"/>
            <w:tcBorders>
              <w:bottom w:val="single" w:sz="4" w:space="0" w:color="auto"/>
            </w:tcBorders>
            <w:noWrap/>
          </w:tcPr>
          <w:p w:rsidR="00000000" w:rsidRDefault="00000000">
            <w:pPr>
              <w:spacing w:after="0"/>
              <w:jc w:val="center"/>
            </w:pPr>
            <w:r>
              <w:t>With meals</w:t>
            </w:r>
          </w:p>
        </w:tc>
        <w:tc>
          <w:tcPr>
            <w:tcW w:w="1559" w:type="dxa"/>
            <w:tcBorders>
              <w:bottom w:val="single" w:sz="4" w:space="0" w:color="auto"/>
            </w:tcBorders>
            <w:noWrap/>
          </w:tcPr>
          <w:p w:rsidR="00000000" w:rsidRDefault="00000000">
            <w:pPr>
              <w:spacing w:after="0"/>
              <w:jc w:val="center"/>
            </w:pPr>
            <w:r>
              <w:t>Total</w:t>
            </w:r>
          </w:p>
        </w:tc>
        <w:tc>
          <w:tcPr>
            <w:tcW w:w="1560" w:type="dxa"/>
            <w:tcBorders>
              <w:bottom w:val="single" w:sz="4" w:space="0" w:color="auto"/>
            </w:tcBorders>
            <w:noWrap/>
          </w:tcPr>
          <w:p w:rsidR="00000000" w:rsidRDefault="00000000">
            <w:pPr>
              <w:spacing w:after="0"/>
              <w:jc w:val="center"/>
            </w:pPr>
            <w:r>
              <w:t>With meals</w:t>
            </w:r>
          </w:p>
        </w:tc>
      </w:tr>
      <w:tr w:rsidR="00000000">
        <w:trPr>
          <w:trHeight w:val="20"/>
        </w:trPr>
        <w:tc>
          <w:tcPr>
            <w:tcW w:w="3119" w:type="dxa"/>
            <w:tcBorders>
              <w:top w:val="nil"/>
              <w:bottom w:val="nil"/>
            </w:tcBorders>
            <w:noWrap/>
          </w:tcPr>
          <w:p w:rsidR="00000000" w:rsidRDefault="00000000">
            <w:pPr>
              <w:spacing w:after="0"/>
            </w:pPr>
            <w:r>
              <w:t>Number of kindergartens</w:t>
            </w:r>
          </w:p>
        </w:tc>
        <w:tc>
          <w:tcPr>
            <w:tcW w:w="1559" w:type="dxa"/>
            <w:tcBorders>
              <w:bottom w:val="nil"/>
            </w:tcBorders>
            <w:noWrap/>
          </w:tcPr>
          <w:p w:rsidR="00000000" w:rsidRDefault="00000000">
            <w:pPr>
              <w:spacing w:after="0"/>
              <w:ind w:right="340"/>
              <w:jc w:val="right"/>
            </w:pPr>
            <w:r>
              <w:t>1 678</w:t>
            </w:r>
          </w:p>
        </w:tc>
        <w:tc>
          <w:tcPr>
            <w:tcW w:w="1559" w:type="dxa"/>
            <w:tcBorders>
              <w:bottom w:val="nil"/>
            </w:tcBorders>
            <w:noWrap/>
          </w:tcPr>
          <w:p w:rsidR="00000000" w:rsidRDefault="00000000">
            <w:pPr>
              <w:spacing w:after="0"/>
              <w:ind w:right="369"/>
              <w:jc w:val="right"/>
            </w:pPr>
            <w:r>
              <w:t>107</w:t>
            </w:r>
          </w:p>
        </w:tc>
        <w:tc>
          <w:tcPr>
            <w:tcW w:w="1559" w:type="dxa"/>
            <w:tcBorders>
              <w:bottom w:val="nil"/>
            </w:tcBorders>
            <w:noWrap/>
          </w:tcPr>
          <w:p w:rsidR="00000000" w:rsidRDefault="00000000">
            <w:pPr>
              <w:spacing w:after="0"/>
              <w:ind w:right="312"/>
              <w:jc w:val="right"/>
            </w:pPr>
            <w:r>
              <w:t>1 342</w:t>
            </w:r>
          </w:p>
        </w:tc>
        <w:tc>
          <w:tcPr>
            <w:tcW w:w="1560" w:type="dxa"/>
            <w:tcBorders>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spacing w:after="0"/>
            </w:pPr>
            <w:r>
              <w:t>Capacity</w:t>
            </w:r>
          </w:p>
        </w:tc>
        <w:tc>
          <w:tcPr>
            <w:tcW w:w="1559" w:type="dxa"/>
            <w:tcBorders>
              <w:top w:val="nil"/>
              <w:bottom w:val="nil"/>
            </w:tcBorders>
            <w:noWrap/>
          </w:tcPr>
          <w:p w:rsidR="00000000" w:rsidRDefault="00000000">
            <w:pPr>
              <w:spacing w:after="0"/>
              <w:ind w:right="340"/>
              <w:jc w:val="right"/>
            </w:pPr>
            <w:r>
              <w:t>75 055</w:t>
            </w:r>
          </w:p>
        </w:tc>
        <w:tc>
          <w:tcPr>
            <w:tcW w:w="1559" w:type="dxa"/>
            <w:tcBorders>
              <w:top w:val="nil"/>
              <w:bottom w:val="nil"/>
            </w:tcBorders>
            <w:noWrap/>
          </w:tcPr>
          <w:p w:rsidR="00000000" w:rsidRDefault="00000000">
            <w:pPr>
              <w:spacing w:after="0"/>
              <w:ind w:right="369"/>
              <w:jc w:val="right"/>
            </w:pPr>
            <w:r>
              <w:t>12 661</w:t>
            </w:r>
          </w:p>
        </w:tc>
        <w:tc>
          <w:tcPr>
            <w:tcW w:w="1559" w:type="dxa"/>
            <w:tcBorders>
              <w:top w:val="nil"/>
              <w:bottom w:val="nil"/>
            </w:tcBorders>
            <w:noWrap/>
          </w:tcPr>
          <w:p w:rsidR="00000000" w:rsidRDefault="00000000">
            <w:pPr>
              <w:spacing w:after="0"/>
              <w:ind w:right="312"/>
              <w:jc w:val="right"/>
            </w:pPr>
            <w:r>
              <w:t>40 638</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spacing w:after="0"/>
            </w:pPr>
            <w:r>
              <w:t>Number of existing groups</w:t>
            </w:r>
          </w:p>
        </w:tc>
        <w:tc>
          <w:tcPr>
            <w:tcW w:w="1559" w:type="dxa"/>
            <w:tcBorders>
              <w:top w:val="nil"/>
              <w:bottom w:val="nil"/>
            </w:tcBorders>
            <w:noWrap/>
          </w:tcPr>
          <w:p w:rsidR="00000000" w:rsidRDefault="00000000">
            <w:pPr>
              <w:spacing w:after="0"/>
              <w:ind w:right="340"/>
              <w:jc w:val="right"/>
            </w:pPr>
            <w:r>
              <w:t>2 981</w:t>
            </w:r>
          </w:p>
        </w:tc>
        <w:tc>
          <w:tcPr>
            <w:tcW w:w="1559" w:type="dxa"/>
            <w:tcBorders>
              <w:top w:val="nil"/>
              <w:bottom w:val="nil"/>
            </w:tcBorders>
            <w:noWrap/>
          </w:tcPr>
          <w:p w:rsidR="00000000" w:rsidRDefault="00000000">
            <w:pPr>
              <w:spacing w:after="0"/>
              <w:ind w:right="369"/>
              <w:jc w:val="right"/>
            </w:pPr>
            <w:r>
              <w:t>382</w:t>
            </w:r>
          </w:p>
        </w:tc>
        <w:tc>
          <w:tcPr>
            <w:tcW w:w="1559" w:type="dxa"/>
            <w:tcBorders>
              <w:top w:val="nil"/>
              <w:bottom w:val="nil"/>
            </w:tcBorders>
            <w:noWrap/>
          </w:tcPr>
          <w:p w:rsidR="00000000" w:rsidRDefault="00000000">
            <w:pPr>
              <w:spacing w:after="0"/>
              <w:ind w:right="312"/>
              <w:jc w:val="right"/>
            </w:pPr>
            <w:r>
              <w:t>1 691</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First groups</w:t>
            </w:r>
          </w:p>
        </w:tc>
        <w:tc>
          <w:tcPr>
            <w:tcW w:w="1559" w:type="dxa"/>
            <w:tcBorders>
              <w:top w:val="nil"/>
              <w:bottom w:val="nil"/>
            </w:tcBorders>
            <w:noWrap/>
          </w:tcPr>
          <w:p w:rsidR="00000000" w:rsidRDefault="00000000">
            <w:pPr>
              <w:spacing w:after="0"/>
              <w:ind w:right="340"/>
              <w:jc w:val="right"/>
            </w:pPr>
            <w:r>
              <w:t>397</w:t>
            </w:r>
          </w:p>
        </w:tc>
        <w:tc>
          <w:tcPr>
            <w:tcW w:w="1559" w:type="dxa"/>
            <w:tcBorders>
              <w:top w:val="nil"/>
              <w:bottom w:val="nil"/>
            </w:tcBorders>
            <w:noWrap/>
          </w:tcPr>
          <w:p w:rsidR="00000000" w:rsidRDefault="00000000">
            <w:pPr>
              <w:spacing w:after="0"/>
              <w:ind w:right="369"/>
              <w:jc w:val="right"/>
            </w:pPr>
            <w:r>
              <w:t>99</w:t>
            </w:r>
          </w:p>
        </w:tc>
        <w:tc>
          <w:tcPr>
            <w:tcW w:w="1559" w:type="dxa"/>
            <w:tcBorders>
              <w:top w:val="nil"/>
              <w:bottom w:val="nil"/>
            </w:tcBorders>
            <w:noWrap/>
          </w:tcPr>
          <w:p w:rsidR="00000000" w:rsidRDefault="00000000">
            <w:pPr>
              <w:spacing w:after="0"/>
              <w:ind w:right="312"/>
              <w:jc w:val="right"/>
            </w:pPr>
            <w:r>
              <w:t>95</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Second groups</w:t>
            </w:r>
          </w:p>
        </w:tc>
        <w:tc>
          <w:tcPr>
            <w:tcW w:w="1559" w:type="dxa"/>
            <w:tcBorders>
              <w:top w:val="nil"/>
              <w:bottom w:val="nil"/>
            </w:tcBorders>
            <w:noWrap/>
          </w:tcPr>
          <w:p w:rsidR="00000000" w:rsidRDefault="00000000">
            <w:pPr>
              <w:spacing w:after="0"/>
              <w:ind w:right="340"/>
              <w:jc w:val="right"/>
            </w:pPr>
            <w:r>
              <w:t>597</w:t>
            </w:r>
          </w:p>
        </w:tc>
        <w:tc>
          <w:tcPr>
            <w:tcW w:w="1559" w:type="dxa"/>
            <w:tcBorders>
              <w:top w:val="nil"/>
              <w:bottom w:val="nil"/>
            </w:tcBorders>
            <w:noWrap/>
          </w:tcPr>
          <w:p w:rsidR="00000000" w:rsidRDefault="00000000">
            <w:pPr>
              <w:spacing w:after="0"/>
              <w:ind w:right="369"/>
              <w:jc w:val="right"/>
            </w:pPr>
            <w:r>
              <w:t>129</w:t>
            </w:r>
          </w:p>
        </w:tc>
        <w:tc>
          <w:tcPr>
            <w:tcW w:w="1559" w:type="dxa"/>
            <w:tcBorders>
              <w:top w:val="nil"/>
              <w:bottom w:val="nil"/>
            </w:tcBorders>
            <w:noWrap/>
          </w:tcPr>
          <w:p w:rsidR="00000000" w:rsidRDefault="00000000">
            <w:pPr>
              <w:spacing w:after="0"/>
              <w:ind w:right="312"/>
              <w:jc w:val="right"/>
            </w:pPr>
            <w:r>
              <w:t>174</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Third groups</w:t>
            </w:r>
          </w:p>
        </w:tc>
        <w:tc>
          <w:tcPr>
            <w:tcW w:w="1559" w:type="dxa"/>
            <w:tcBorders>
              <w:top w:val="nil"/>
              <w:bottom w:val="nil"/>
            </w:tcBorders>
            <w:noWrap/>
          </w:tcPr>
          <w:p w:rsidR="00000000" w:rsidRDefault="00000000">
            <w:pPr>
              <w:spacing w:after="0"/>
              <w:ind w:right="340"/>
              <w:jc w:val="right"/>
            </w:pPr>
            <w:r>
              <w:t>759</w:t>
            </w:r>
          </w:p>
        </w:tc>
        <w:tc>
          <w:tcPr>
            <w:tcW w:w="1559" w:type="dxa"/>
            <w:tcBorders>
              <w:top w:val="nil"/>
              <w:bottom w:val="nil"/>
            </w:tcBorders>
            <w:noWrap/>
          </w:tcPr>
          <w:p w:rsidR="00000000" w:rsidRDefault="00000000">
            <w:pPr>
              <w:spacing w:after="0"/>
              <w:ind w:right="369"/>
              <w:jc w:val="right"/>
            </w:pPr>
            <w:r>
              <w:t>133</w:t>
            </w:r>
          </w:p>
        </w:tc>
        <w:tc>
          <w:tcPr>
            <w:tcW w:w="1559" w:type="dxa"/>
            <w:tcBorders>
              <w:top w:val="nil"/>
              <w:bottom w:val="nil"/>
            </w:tcBorders>
            <w:noWrap/>
          </w:tcPr>
          <w:p w:rsidR="00000000" w:rsidRDefault="00000000">
            <w:pPr>
              <w:spacing w:after="0"/>
              <w:ind w:right="312"/>
              <w:jc w:val="right"/>
            </w:pPr>
            <w:r>
              <w:t>296</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Mixed groups</w:t>
            </w:r>
          </w:p>
        </w:tc>
        <w:tc>
          <w:tcPr>
            <w:tcW w:w="1559" w:type="dxa"/>
            <w:tcBorders>
              <w:top w:val="nil"/>
              <w:bottom w:val="nil"/>
            </w:tcBorders>
            <w:noWrap/>
          </w:tcPr>
          <w:p w:rsidR="00000000" w:rsidRDefault="00000000">
            <w:pPr>
              <w:spacing w:after="0"/>
              <w:ind w:right="340"/>
              <w:jc w:val="right"/>
            </w:pPr>
            <w:r>
              <w:t>1 228</w:t>
            </w:r>
          </w:p>
        </w:tc>
        <w:tc>
          <w:tcPr>
            <w:tcW w:w="1559" w:type="dxa"/>
            <w:tcBorders>
              <w:top w:val="nil"/>
              <w:bottom w:val="nil"/>
            </w:tcBorders>
            <w:noWrap/>
          </w:tcPr>
          <w:p w:rsidR="00000000" w:rsidRDefault="00000000">
            <w:pPr>
              <w:spacing w:after="0"/>
              <w:ind w:right="369"/>
              <w:jc w:val="right"/>
            </w:pPr>
            <w:r>
              <w:t>21</w:t>
            </w:r>
          </w:p>
        </w:tc>
        <w:tc>
          <w:tcPr>
            <w:tcW w:w="1559" w:type="dxa"/>
            <w:tcBorders>
              <w:top w:val="nil"/>
              <w:bottom w:val="nil"/>
            </w:tcBorders>
            <w:noWrap/>
          </w:tcPr>
          <w:p w:rsidR="00000000" w:rsidRDefault="00000000">
            <w:pPr>
              <w:spacing w:after="0"/>
              <w:ind w:right="312"/>
              <w:jc w:val="right"/>
            </w:pPr>
            <w:r>
              <w:t>1 126</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Enrolled children</w:t>
            </w:r>
          </w:p>
        </w:tc>
        <w:tc>
          <w:tcPr>
            <w:tcW w:w="1559" w:type="dxa"/>
            <w:tcBorders>
              <w:top w:val="nil"/>
              <w:bottom w:val="nil"/>
            </w:tcBorders>
            <w:noWrap/>
          </w:tcPr>
          <w:p w:rsidR="00000000" w:rsidRDefault="00000000">
            <w:pPr>
              <w:spacing w:after="0"/>
              <w:ind w:right="340"/>
              <w:jc w:val="right"/>
            </w:pPr>
            <w:r>
              <w:t>75 755</w:t>
            </w:r>
          </w:p>
        </w:tc>
        <w:tc>
          <w:tcPr>
            <w:tcW w:w="1559" w:type="dxa"/>
            <w:tcBorders>
              <w:top w:val="nil"/>
              <w:bottom w:val="nil"/>
            </w:tcBorders>
            <w:noWrap/>
          </w:tcPr>
          <w:p w:rsidR="00000000" w:rsidRDefault="00000000">
            <w:pPr>
              <w:spacing w:after="0"/>
              <w:ind w:right="369"/>
              <w:jc w:val="right"/>
            </w:pPr>
            <w:r>
              <w:t>12 971</w:t>
            </w:r>
          </w:p>
        </w:tc>
        <w:tc>
          <w:tcPr>
            <w:tcW w:w="1559" w:type="dxa"/>
            <w:tcBorders>
              <w:top w:val="nil"/>
              <w:bottom w:val="nil"/>
            </w:tcBorders>
            <w:noWrap/>
          </w:tcPr>
          <w:p w:rsidR="00000000" w:rsidRDefault="00000000">
            <w:pPr>
              <w:spacing w:after="0"/>
              <w:ind w:right="312"/>
              <w:jc w:val="right"/>
            </w:pPr>
            <w:r>
              <w:t>38 836</w:t>
            </w:r>
          </w:p>
        </w:tc>
        <w:tc>
          <w:tcPr>
            <w:tcW w:w="1560" w:type="dxa"/>
            <w:tcBorders>
              <w:top w:val="nil"/>
              <w:bottom w:val="nil"/>
            </w:tcBorders>
            <w:noWrap/>
          </w:tcPr>
          <w:p w:rsidR="00000000" w:rsidRDefault="00000000">
            <w:pPr>
              <w:spacing w:after="0"/>
              <w:ind w:right="567"/>
              <w:jc w:val="right"/>
            </w:pPr>
            <w:r>
              <w:t>53</w:t>
            </w:r>
          </w:p>
        </w:tc>
      </w:tr>
      <w:tr w:rsidR="00000000">
        <w:trPr>
          <w:trHeight w:val="20"/>
        </w:trPr>
        <w:tc>
          <w:tcPr>
            <w:tcW w:w="3119" w:type="dxa"/>
            <w:tcBorders>
              <w:top w:val="nil"/>
              <w:bottom w:val="nil"/>
            </w:tcBorders>
            <w:noWrap/>
          </w:tcPr>
          <w:p w:rsidR="00000000" w:rsidRDefault="00000000">
            <w:pPr>
              <w:tabs>
                <w:tab w:val="left" w:pos="227"/>
              </w:tabs>
              <w:spacing w:after="0"/>
            </w:pPr>
            <w:r>
              <w:tab/>
              <w:t>Females</w:t>
            </w:r>
          </w:p>
        </w:tc>
        <w:tc>
          <w:tcPr>
            <w:tcW w:w="1559" w:type="dxa"/>
            <w:tcBorders>
              <w:top w:val="nil"/>
              <w:bottom w:val="nil"/>
            </w:tcBorders>
            <w:noWrap/>
          </w:tcPr>
          <w:p w:rsidR="00000000" w:rsidRDefault="00000000">
            <w:pPr>
              <w:spacing w:after="0"/>
              <w:ind w:right="340"/>
              <w:jc w:val="right"/>
            </w:pPr>
            <w:r>
              <w:t>36 733</w:t>
            </w:r>
          </w:p>
        </w:tc>
        <w:tc>
          <w:tcPr>
            <w:tcW w:w="1559" w:type="dxa"/>
            <w:tcBorders>
              <w:top w:val="nil"/>
              <w:bottom w:val="nil"/>
            </w:tcBorders>
            <w:noWrap/>
          </w:tcPr>
          <w:p w:rsidR="00000000" w:rsidRDefault="00000000">
            <w:pPr>
              <w:spacing w:after="0"/>
              <w:ind w:right="369"/>
              <w:jc w:val="right"/>
            </w:pPr>
            <w:r>
              <w:t>5 966</w:t>
            </w:r>
          </w:p>
        </w:tc>
        <w:tc>
          <w:tcPr>
            <w:tcW w:w="1559" w:type="dxa"/>
            <w:tcBorders>
              <w:top w:val="nil"/>
              <w:bottom w:val="nil"/>
            </w:tcBorders>
            <w:noWrap/>
          </w:tcPr>
          <w:p w:rsidR="00000000" w:rsidRDefault="00000000">
            <w:pPr>
              <w:spacing w:after="0"/>
              <w:ind w:right="312"/>
              <w:jc w:val="right"/>
            </w:pPr>
            <w:r>
              <w:t>19 337</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First groups</w:t>
            </w:r>
          </w:p>
        </w:tc>
        <w:tc>
          <w:tcPr>
            <w:tcW w:w="1559" w:type="dxa"/>
            <w:tcBorders>
              <w:top w:val="nil"/>
              <w:bottom w:val="nil"/>
            </w:tcBorders>
            <w:noWrap/>
          </w:tcPr>
          <w:p w:rsidR="00000000" w:rsidRDefault="00000000">
            <w:pPr>
              <w:spacing w:after="0"/>
              <w:ind w:right="340"/>
              <w:jc w:val="right"/>
            </w:pPr>
            <w:r>
              <w:t>10 136</w:t>
            </w:r>
          </w:p>
        </w:tc>
        <w:tc>
          <w:tcPr>
            <w:tcW w:w="1559" w:type="dxa"/>
            <w:tcBorders>
              <w:top w:val="nil"/>
              <w:bottom w:val="nil"/>
            </w:tcBorders>
            <w:noWrap/>
          </w:tcPr>
          <w:p w:rsidR="00000000" w:rsidRDefault="00000000">
            <w:pPr>
              <w:spacing w:after="0"/>
              <w:ind w:right="369"/>
              <w:jc w:val="right"/>
            </w:pPr>
            <w:r>
              <w:t>3 247</w:t>
            </w:r>
          </w:p>
        </w:tc>
        <w:tc>
          <w:tcPr>
            <w:tcW w:w="1559" w:type="dxa"/>
            <w:tcBorders>
              <w:top w:val="nil"/>
              <w:bottom w:val="nil"/>
            </w:tcBorders>
            <w:noWrap/>
          </w:tcPr>
          <w:p w:rsidR="00000000" w:rsidRDefault="00000000">
            <w:pPr>
              <w:spacing w:after="0"/>
              <w:ind w:right="312"/>
              <w:jc w:val="right"/>
            </w:pPr>
            <w:r>
              <w:t>1 907</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Females</w:t>
            </w:r>
          </w:p>
        </w:tc>
        <w:tc>
          <w:tcPr>
            <w:tcW w:w="1559" w:type="dxa"/>
            <w:tcBorders>
              <w:top w:val="nil"/>
              <w:bottom w:val="nil"/>
            </w:tcBorders>
            <w:noWrap/>
          </w:tcPr>
          <w:p w:rsidR="00000000" w:rsidRDefault="00000000">
            <w:pPr>
              <w:spacing w:after="0"/>
              <w:ind w:right="340"/>
              <w:jc w:val="right"/>
            </w:pPr>
            <w:r>
              <w:t>4 835</w:t>
            </w:r>
          </w:p>
        </w:tc>
        <w:tc>
          <w:tcPr>
            <w:tcW w:w="1559" w:type="dxa"/>
            <w:tcBorders>
              <w:top w:val="nil"/>
              <w:bottom w:val="nil"/>
            </w:tcBorders>
            <w:noWrap/>
          </w:tcPr>
          <w:p w:rsidR="00000000" w:rsidRDefault="00000000">
            <w:pPr>
              <w:spacing w:after="0"/>
              <w:ind w:right="369"/>
              <w:jc w:val="right"/>
            </w:pPr>
            <w:r>
              <w:t>1 483</w:t>
            </w:r>
          </w:p>
        </w:tc>
        <w:tc>
          <w:tcPr>
            <w:tcW w:w="1559" w:type="dxa"/>
            <w:tcBorders>
              <w:top w:val="nil"/>
              <w:bottom w:val="nil"/>
            </w:tcBorders>
            <w:noWrap/>
          </w:tcPr>
          <w:p w:rsidR="00000000" w:rsidRDefault="00000000">
            <w:pPr>
              <w:spacing w:after="0"/>
              <w:ind w:right="312"/>
              <w:jc w:val="right"/>
            </w:pPr>
            <w:r>
              <w:t>958</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Second groups</w:t>
            </w:r>
          </w:p>
        </w:tc>
        <w:tc>
          <w:tcPr>
            <w:tcW w:w="1559" w:type="dxa"/>
            <w:tcBorders>
              <w:top w:val="nil"/>
              <w:bottom w:val="nil"/>
            </w:tcBorders>
            <w:noWrap/>
          </w:tcPr>
          <w:p w:rsidR="00000000" w:rsidRDefault="00000000">
            <w:pPr>
              <w:spacing w:after="0"/>
              <w:ind w:right="340"/>
              <w:jc w:val="right"/>
            </w:pPr>
            <w:r>
              <w:t>16 243</w:t>
            </w:r>
          </w:p>
        </w:tc>
        <w:tc>
          <w:tcPr>
            <w:tcW w:w="1559" w:type="dxa"/>
            <w:tcBorders>
              <w:top w:val="nil"/>
              <w:bottom w:val="nil"/>
            </w:tcBorders>
            <w:noWrap/>
          </w:tcPr>
          <w:p w:rsidR="00000000" w:rsidRDefault="00000000">
            <w:pPr>
              <w:spacing w:after="0"/>
              <w:ind w:right="369"/>
              <w:jc w:val="right"/>
            </w:pPr>
            <w:r>
              <w:t>4 538</w:t>
            </w:r>
          </w:p>
        </w:tc>
        <w:tc>
          <w:tcPr>
            <w:tcW w:w="1559" w:type="dxa"/>
            <w:tcBorders>
              <w:top w:val="nil"/>
              <w:bottom w:val="nil"/>
            </w:tcBorders>
            <w:noWrap/>
          </w:tcPr>
          <w:p w:rsidR="00000000" w:rsidRDefault="00000000">
            <w:pPr>
              <w:spacing w:after="0"/>
              <w:ind w:right="312"/>
              <w:jc w:val="right"/>
            </w:pPr>
            <w:r>
              <w:t>3 769</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Females</w:t>
            </w:r>
          </w:p>
        </w:tc>
        <w:tc>
          <w:tcPr>
            <w:tcW w:w="1559" w:type="dxa"/>
            <w:tcBorders>
              <w:top w:val="nil"/>
              <w:bottom w:val="nil"/>
            </w:tcBorders>
            <w:noWrap/>
          </w:tcPr>
          <w:p w:rsidR="00000000" w:rsidRDefault="00000000">
            <w:pPr>
              <w:spacing w:after="0"/>
              <w:ind w:right="340"/>
              <w:jc w:val="right"/>
            </w:pPr>
            <w:r>
              <w:t>7 596</w:t>
            </w:r>
          </w:p>
        </w:tc>
        <w:tc>
          <w:tcPr>
            <w:tcW w:w="1559" w:type="dxa"/>
            <w:tcBorders>
              <w:top w:val="nil"/>
              <w:bottom w:val="nil"/>
            </w:tcBorders>
            <w:noWrap/>
          </w:tcPr>
          <w:p w:rsidR="00000000" w:rsidRDefault="00000000">
            <w:pPr>
              <w:spacing w:after="0"/>
              <w:ind w:right="369"/>
              <w:jc w:val="right"/>
            </w:pPr>
            <w:r>
              <w:t>2 099</w:t>
            </w:r>
          </w:p>
        </w:tc>
        <w:tc>
          <w:tcPr>
            <w:tcW w:w="1559" w:type="dxa"/>
            <w:tcBorders>
              <w:top w:val="nil"/>
              <w:bottom w:val="nil"/>
            </w:tcBorders>
            <w:noWrap/>
          </w:tcPr>
          <w:p w:rsidR="00000000" w:rsidRDefault="00000000">
            <w:pPr>
              <w:spacing w:after="0"/>
              <w:ind w:right="312"/>
              <w:jc w:val="right"/>
            </w:pPr>
            <w:r>
              <w:t>1 927</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Third groups</w:t>
            </w:r>
          </w:p>
        </w:tc>
        <w:tc>
          <w:tcPr>
            <w:tcW w:w="1559" w:type="dxa"/>
            <w:tcBorders>
              <w:top w:val="nil"/>
              <w:bottom w:val="nil"/>
            </w:tcBorders>
            <w:noWrap/>
          </w:tcPr>
          <w:p w:rsidR="00000000" w:rsidRDefault="00000000">
            <w:pPr>
              <w:spacing w:after="0"/>
              <w:ind w:right="340"/>
              <w:jc w:val="right"/>
            </w:pPr>
            <w:r>
              <w:t>21 013</w:t>
            </w:r>
          </w:p>
        </w:tc>
        <w:tc>
          <w:tcPr>
            <w:tcW w:w="1559" w:type="dxa"/>
            <w:tcBorders>
              <w:top w:val="nil"/>
              <w:bottom w:val="nil"/>
            </w:tcBorders>
            <w:noWrap/>
          </w:tcPr>
          <w:p w:rsidR="00000000" w:rsidRDefault="00000000">
            <w:pPr>
              <w:spacing w:after="0"/>
              <w:ind w:right="369"/>
              <w:jc w:val="right"/>
            </w:pPr>
            <w:r>
              <w:t>4 531</w:t>
            </w:r>
          </w:p>
        </w:tc>
        <w:tc>
          <w:tcPr>
            <w:tcW w:w="1559" w:type="dxa"/>
            <w:tcBorders>
              <w:top w:val="nil"/>
              <w:bottom w:val="nil"/>
            </w:tcBorders>
            <w:noWrap/>
          </w:tcPr>
          <w:p w:rsidR="00000000" w:rsidRDefault="00000000">
            <w:pPr>
              <w:spacing w:after="0"/>
              <w:ind w:right="312"/>
              <w:jc w:val="right"/>
            </w:pPr>
            <w:r>
              <w:t>6 917</w:t>
            </w:r>
          </w:p>
        </w:tc>
        <w:tc>
          <w:tcPr>
            <w:tcW w:w="1560" w:type="dxa"/>
            <w:tcBorders>
              <w:top w:val="nil"/>
              <w:bottom w:val="nil"/>
            </w:tcBorders>
            <w:noWrap/>
          </w:tcPr>
          <w:p w:rsidR="00000000" w:rsidRDefault="00000000">
            <w:pPr>
              <w:spacing w:after="0"/>
              <w:ind w:right="567"/>
              <w:jc w:val="right"/>
            </w:pPr>
            <w:r>
              <w:t>53</w:t>
            </w:r>
          </w:p>
        </w:tc>
      </w:tr>
      <w:tr w:rsidR="00000000">
        <w:trPr>
          <w:trHeight w:val="20"/>
        </w:trPr>
        <w:tc>
          <w:tcPr>
            <w:tcW w:w="3119" w:type="dxa"/>
            <w:tcBorders>
              <w:top w:val="nil"/>
              <w:bottom w:val="nil"/>
            </w:tcBorders>
            <w:noWrap/>
          </w:tcPr>
          <w:p w:rsidR="00000000" w:rsidRDefault="00000000">
            <w:pPr>
              <w:tabs>
                <w:tab w:val="left" w:pos="227"/>
              </w:tabs>
              <w:spacing w:after="0"/>
            </w:pPr>
            <w:r>
              <w:tab/>
              <w:t>Females</w:t>
            </w:r>
          </w:p>
        </w:tc>
        <w:tc>
          <w:tcPr>
            <w:tcW w:w="1559" w:type="dxa"/>
            <w:tcBorders>
              <w:top w:val="nil"/>
              <w:bottom w:val="nil"/>
            </w:tcBorders>
            <w:noWrap/>
          </w:tcPr>
          <w:p w:rsidR="00000000" w:rsidRDefault="00000000">
            <w:pPr>
              <w:spacing w:after="0"/>
              <w:ind w:right="340"/>
              <w:jc w:val="right"/>
            </w:pPr>
            <w:r>
              <w:t>10 186</w:t>
            </w:r>
          </w:p>
        </w:tc>
        <w:tc>
          <w:tcPr>
            <w:tcW w:w="1559" w:type="dxa"/>
            <w:tcBorders>
              <w:top w:val="nil"/>
              <w:bottom w:val="nil"/>
            </w:tcBorders>
            <w:noWrap/>
          </w:tcPr>
          <w:p w:rsidR="00000000" w:rsidRDefault="00000000">
            <w:pPr>
              <w:spacing w:after="0"/>
              <w:ind w:right="369"/>
              <w:jc w:val="right"/>
            </w:pPr>
            <w:r>
              <w:t>2 110</w:t>
            </w:r>
          </w:p>
        </w:tc>
        <w:tc>
          <w:tcPr>
            <w:tcW w:w="1559" w:type="dxa"/>
            <w:tcBorders>
              <w:top w:val="nil"/>
              <w:bottom w:val="nil"/>
            </w:tcBorders>
            <w:noWrap/>
          </w:tcPr>
          <w:p w:rsidR="00000000" w:rsidRDefault="00000000">
            <w:pPr>
              <w:spacing w:after="0"/>
              <w:ind w:right="312"/>
              <w:jc w:val="right"/>
            </w:pPr>
            <w:r>
              <w:t>3 438</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Mixed groups</w:t>
            </w:r>
          </w:p>
        </w:tc>
        <w:tc>
          <w:tcPr>
            <w:tcW w:w="1559" w:type="dxa"/>
            <w:tcBorders>
              <w:top w:val="nil"/>
              <w:bottom w:val="nil"/>
            </w:tcBorders>
            <w:noWrap/>
          </w:tcPr>
          <w:p w:rsidR="00000000" w:rsidRDefault="00000000">
            <w:pPr>
              <w:spacing w:after="0"/>
              <w:ind w:right="340"/>
              <w:jc w:val="right"/>
            </w:pPr>
            <w:r>
              <w:t>28 363</w:t>
            </w:r>
          </w:p>
        </w:tc>
        <w:tc>
          <w:tcPr>
            <w:tcW w:w="1559" w:type="dxa"/>
            <w:tcBorders>
              <w:top w:val="nil"/>
              <w:bottom w:val="nil"/>
            </w:tcBorders>
            <w:noWrap/>
          </w:tcPr>
          <w:p w:rsidR="00000000" w:rsidRDefault="00000000">
            <w:pPr>
              <w:spacing w:after="0"/>
              <w:ind w:right="369"/>
              <w:jc w:val="right"/>
            </w:pPr>
            <w:r>
              <w:t>655</w:t>
            </w:r>
          </w:p>
        </w:tc>
        <w:tc>
          <w:tcPr>
            <w:tcW w:w="1559" w:type="dxa"/>
            <w:tcBorders>
              <w:top w:val="nil"/>
              <w:bottom w:val="nil"/>
            </w:tcBorders>
            <w:noWrap/>
          </w:tcPr>
          <w:p w:rsidR="00000000" w:rsidRDefault="00000000">
            <w:pPr>
              <w:spacing w:after="0"/>
              <w:ind w:right="312"/>
              <w:jc w:val="right"/>
            </w:pPr>
            <w:r>
              <w:t>26 243</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Females</w:t>
            </w:r>
          </w:p>
        </w:tc>
        <w:tc>
          <w:tcPr>
            <w:tcW w:w="1559" w:type="dxa"/>
            <w:tcBorders>
              <w:top w:val="nil"/>
              <w:bottom w:val="nil"/>
            </w:tcBorders>
            <w:noWrap/>
          </w:tcPr>
          <w:p w:rsidR="00000000" w:rsidRDefault="00000000">
            <w:pPr>
              <w:spacing w:after="0"/>
              <w:ind w:right="340"/>
              <w:jc w:val="right"/>
            </w:pPr>
            <w:r>
              <w:t>14 116</w:t>
            </w:r>
          </w:p>
        </w:tc>
        <w:tc>
          <w:tcPr>
            <w:tcW w:w="1559" w:type="dxa"/>
            <w:tcBorders>
              <w:top w:val="nil"/>
              <w:bottom w:val="nil"/>
            </w:tcBorders>
            <w:noWrap/>
          </w:tcPr>
          <w:p w:rsidR="00000000" w:rsidRDefault="00000000">
            <w:pPr>
              <w:spacing w:after="0"/>
              <w:ind w:right="369"/>
              <w:jc w:val="right"/>
            </w:pPr>
            <w:r>
              <w:t>274</w:t>
            </w:r>
          </w:p>
        </w:tc>
        <w:tc>
          <w:tcPr>
            <w:tcW w:w="1559" w:type="dxa"/>
            <w:tcBorders>
              <w:top w:val="nil"/>
              <w:bottom w:val="nil"/>
            </w:tcBorders>
            <w:noWrap/>
          </w:tcPr>
          <w:p w:rsidR="00000000" w:rsidRDefault="00000000">
            <w:pPr>
              <w:spacing w:after="0"/>
              <w:ind w:right="312"/>
              <w:jc w:val="right"/>
            </w:pPr>
            <w:r>
              <w:t>13 014</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Total number of educators</w:t>
            </w:r>
          </w:p>
        </w:tc>
        <w:tc>
          <w:tcPr>
            <w:tcW w:w="1559" w:type="dxa"/>
            <w:tcBorders>
              <w:top w:val="nil"/>
              <w:bottom w:val="nil"/>
            </w:tcBorders>
            <w:noWrap/>
          </w:tcPr>
          <w:p w:rsidR="00000000" w:rsidRDefault="00000000">
            <w:pPr>
              <w:spacing w:after="0"/>
              <w:ind w:right="340"/>
              <w:jc w:val="right"/>
            </w:pPr>
            <w:r>
              <w:t>3 543</w:t>
            </w:r>
          </w:p>
        </w:tc>
        <w:tc>
          <w:tcPr>
            <w:tcW w:w="1559" w:type="dxa"/>
            <w:tcBorders>
              <w:top w:val="nil"/>
              <w:bottom w:val="nil"/>
            </w:tcBorders>
            <w:noWrap/>
          </w:tcPr>
          <w:p w:rsidR="00000000" w:rsidRDefault="00000000">
            <w:pPr>
              <w:spacing w:after="0"/>
              <w:ind w:right="369"/>
              <w:jc w:val="right"/>
            </w:pPr>
            <w:r>
              <w:t>757</w:t>
            </w:r>
          </w:p>
        </w:tc>
        <w:tc>
          <w:tcPr>
            <w:tcW w:w="1559" w:type="dxa"/>
            <w:tcBorders>
              <w:top w:val="nil"/>
              <w:bottom w:val="nil"/>
            </w:tcBorders>
            <w:noWrap/>
          </w:tcPr>
          <w:p w:rsidR="00000000" w:rsidRDefault="00000000">
            <w:pPr>
              <w:spacing w:after="0"/>
              <w:ind w:right="312"/>
              <w:jc w:val="right"/>
            </w:pPr>
            <w:r>
              <w:t>1 705</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bottom w:val="nil"/>
            </w:tcBorders>
            <w:noWrap/>
          </w:tcPr>
          <w:p w:rsidR="00000000" w:rsidRDefault="00000000">
            <w:pPr>
              <w:tabs>
                <w:tab w:val="left" w:pos="227"/>
              </w:tabs>
              <w:spacing w:after="0"/>
            </w:pPr>
            <w:r>
              <w:tab/>
              <w:t>With high school education</w:t>
            </w:r>
          </w:p>
        </w:tc>
        <w:tc>
          <w:tcPr>
            <w:tcW w:w="1559" w:type="dxa"/>
            <w:tcBorders>
              <w:top w:val="nil"/>
              <w:bottom w:val="nil"/>
            </w:tcBorders>
            <w:noWrap/>
          </w:tcPr>
          <w:p w:rsidR="00000000" w:rsidRDefault="00000000">
            <w:pPr>
              <w:spacing w:after="0"/>
              <w:ind w:right="340"/>
              <w:jc w:val="right"/>
            </w:pPr>
            <w:r>
              <w:t>2 615</w:t>
            </w:r>
          </w:p>
        </w:tc>
        <w:tc>
          <w:tcPr>
            <w:tcW w:w="1559" w:type="dxa"/>
            <w:tcBorders>
              <w:top w:val="nil"/>
              <w:bottom w:val="nil"/>
            </w:tcBorders>
            <w:noWrap/>
          </w:tcPr>
          <w:p w:rsidR="00000000" w:rsidRDefault="00000000">
            <w:pPr>
              <w:spacing w:after="0"/>
              <w:ind w:right="369"/>
              <w:jc w:val="right"/>
            </w:pPr>
            <w:r>
              <w:t>472</w:t>
            </w:r>
          </w:p>
        </w:tc>
        <w:tc>
          <w:tcPr>
            <w:tcW w:w="1559" w:type="dxa"/>
            <w:tcBorders>
              <w:top w:val="nil"/>
              <w:bottom w:val="nil"/>
            </w:tcBorders>
            <w:noWrap/>
          </w:tcPr>
          <w:p w:rsidR="00000000" w:rsidRDefault="00000000">
            <w:pPr>
              <w:spacing w:after="0"/>
              <w:ind w:right="312"/>
              <w:jc w:val="right"/>
            </w:pPr>
            <w:r>
              <w:t>1 395</w:t>
            </w:r>
          </w:p>
        </w:tc>
        <w:tc>
          <w:tcPr>
            <w:tcW w:w="1560" w:type="dxa"/>
            <w:tcBorders>
              <w:top w:val="nil"/>
              <w:bottom w:val="nil"/>
            </w:tcBorders>
            <w:noWrap/>
          </w:tcPr>
          <w:p w:rsidR="00000000" w:rsidRDefault="00000000">
            <w:pPr>
              <w:spacing w:after="0"/>
              <w:ind w:right="567"/>
              <w:jc w:val="right"/>
            </w:pPr>
            <w:r>
              <w:t>0</w:t>
            </w:r>
          </w:p>
        </w:tc>
      </w:tr>
      <w:tr w:rsidR="00000000">
        <w:trPr>
          <w:trHeight w:val="20"/>
        </w:trPr>
        <w:tc>
          <w:tcPr>
            <w:tcW w:w="3119" w:type="dxa"/>
            <w:tcBorders>
              <w:top w:val="nil"/>
            </w:tcBorders>
            <w:noWrap/>
          </w:tcPr>
          <w:p w:rsidR="00000000" w:rsidRDefault="00000000">
            <w:pPr>
              <w:tabs>
                <w:tab w:val="left" w:pos="227"/>
              </w:tabs>
              <w:spacing w:after="0"/>
            </w:pPr>
            <w:r>
              <w:tab/>
              <w:t>With university education</w:t>
            </w:r>
          </w:p>
        </w:tc>
        <w:tc>
          <w:tcPr>
            <w:tcW w:w="1559" w:type="dxa"/>
            <w:tcBorders>
              <w:top w:val="nil"/>
            </w:tcBorders>
            <w:noWrap/>
          </w:tcPr>
          <w:p w:rsidR="00000000" w:rsidRDefault="00000000">
            <w:pPr>
              <w:spacing w:after="0"/>
              <w:ind w:right="340"/>
              <w:jc w:val="right"/>
            </w:pPr>
            <w:r>
              <w:t>928</w:t>
            </w:r>
          </w:p>
        </w:tc>
        <w:tc>
          <w:tcPr>
            <w:tcW w:w="1559" w:type="dxa"/>
            <w:tcBorders>
              <w:top w:val="nil"/>
            </w:tcBorders>
            <w:noWrap/>
          </w:tcPr>
          <w:p w:rsidR="00000000" w:rsidRDefault="00000000">
            <w:pPr>
              <w:spacing w:after="0"/>
              <w:ind w:right="369"/>
              <w:jc w:val="right"/>
            </w:pPr>
            <w:r>
              <w:t>285</w:t>
            </w:r>
          </w:p>
        </w:tc>
        <w:tc>
          <w:tcPr>
            <w:tcW w:w="1559" w:type="dxa"/>
            <w:tcBorders>
              <w:top w:val="nil"/>
            </w:tcBorders>
            <w:noWrap/>
          </w:tcPr>
          <w:p w:rsidR="00000000" w:rsidRDefault="00000000">
            <w:pPr>
              <w:spacing w:after="0"/>
              <w:ind w:right="312"/>
              <w:jc w:val="right"/>
            </w:pPr>
            <w:r>
              <w:t>310</w:t>
            </w:r>
          </w:p>
        </w:tc>
        <w:tc>
          <w:tcPr>
            <w:tcW w:w="1560" w:type="dxa"/>
            <w:tcBorders>
              <w:top w:val="nil"/>
            </w:tcBorders>
            <w:noWrap/>
          </w:tcPr>
          <w:p w:rsidR="00000000" w:rsidRDefault="00000000">
            <w:pPr>
              <w:spacing w:after="0"/>
              <w:ind w:right="567"/>
              <w:jc w:val="right"/>
            </w:pPr>
            <w:r>
              <w:t>0</w:t>
            </w:r>
          </w:p>
        </w:tc>
      </w:tr>
    </w:tbl>
    <w:p w:rsidR="00000000" w:rsidRDefault="00000000">
      <w:pPr>
        <w:pStyle w:val="Heading2"/>
        <w:spacing w:before="360"/>
      </w:pPr>
    </w:p>
    <w:p w:rsidR="00000000" w:rsidRDefault="00000000">
      <w:pPr>
        <w:pStyle w:val="Heading2"/>
      </w:pPr>
      <w:r>
        <w:br w:type="page"/>
        <w:t>Table 52</w:t>
      </w:r>
    </w:p>
    <w:p w:rsidR="00000000" w:rsidRDefault="00000000">
      <w:pPr>
        <w:pStyle w:val="Heading2"/>
      </w:pPr>
      <w:r>
        <w:t>Eight-year education, 2003/04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6"/>
        <w:gridCol w:w="1347"/>
        <w:gridCol w:w="1348"/>
        <w:gridCol w:w="1347"/>
        <w:gridCol w:w="1348"/>
      </w:tblGrid>
      <w:tr w:rsidR="00000000">
        <w:trPr>
          <w:cantSplit/>
          <w:trHeight w:val="315"/>
        </w:trPr>
        <w:tc>
          <w:tcPr>
            <w:tcW w:w="9356" w:type="dxa"/>
            <w:gridSpan w:val="5"/>
            <w:tcBorders>
              <w:left w:val="single" w:sz="4" w:space="0" w:color="auto"/>
            </w:tcBorders>
            <w:noWrap/>
          </w:tcPr>
          <w:p w:rsidR="00000000" w:rsidRDefault="00000000">
            <w:pPr>
              <w:pStyle w:val="Header"/>
              <w:tabs>
                <w:tab w:val="clear" w:pos="4320"/>
                <w:tab w:val="clear" w:pos="8640"/>
              </w:tabs>
              <w:spacing w:after="0"/>
              <w:jc w:val="center"/>
            </w:pPr>
            <w:r>
              <w:t>Number of pupils in eight-year education, 2003/04</w:t>
            </w:r>
          </w:p>
        </w:tc>
      </w:tr>
      <w:tr w:rsidR="00000000">
        <w:trPr>
          <w:trHeight w:val="315"/>
        </w:trPr>
        <w:tc>
          <w:tcPr>
            <w:tcW w:w="3966" w:type="dxa"/>
            <w:tcBorders>
              <w:left w:val="single" w:sz="4" w:space="0" w:color="auto"/>
            </w:tcBorders>
            <w:noWrap/>
          </w:tcPr>
          <w:p w:rsidR="00000000" w:rsidRDefault="00000000">
            <w:pPr>
              <w:spacing w:after="0"/>
              <w:jc w:val="center"/>
            </w:pPr>
            <w:r>
              <w:t>Enrolled pupils</w:t>
            </w:r>
          </w:p>
        </w:tc>
        <w:tc>
          <w:tcPr>
            <w:tcW w:w="1347" w:type="dxa"/>
            <w:noWrap/>
          </w:tcPr>
          <w:p w:rsidR="00000000" w:rsidRDefault="00000000">
            <w:pPr>
              <w:spacing w:after="0"/>
              <w:jc w:val="center"/>
            </w:pPr>
            <w:r>
              <w:t>Total</w:t>
            </w:r>
          </w:p>
        </w:tc>
        <w:tc>
          <w:tcPr>
            <w:tcW w:w="1348" w:type="dxa"/>
            <w:noWrap/>
          </w:tcPr>
          <w:p w:rsidR="00000000" w:rsidRDefault="00000000">
            <w:pPr>
              <w:spacing w:after="0"/>
              <w:jc w:val="center"/>
            </w:pPr>
            <w:r>
              <w:t>Females</w:t>
            </w:r>
          </w:p>
        </w:tc>
        <w:tc>
          <w:tcPr>
            <w:tcW w:w="1347" w:type="dxa"/>
            <w:noWrap/>
          </w:tcPr>
          <w:p w:rsidR="00000000" w:rsidRDefault="00000000">
            <w:pPr>
              <w:spacing w:after="0"/>
              <w:jc w:val="center"/>
            </w:pPr>
            <w:r>
              <w:t>Rural</w:t>
            </w:r>
          </w:p>
        </w:tc>
        <w:tc>
          <w:tcPr>
            <w:tcW w:w="1348" w:type="dxa"/>
            <w:noWrap/>
          </w:tcPr>
          <w:p w:rsidR="00000000" w:rsidRDefault="00000000">
            <w:pPr>
              <w:spacing w:after="0"/>
              <w:jc w:val="center"/>
            </w:pPr>
            <w:r>
              <w:t>Females</w:t>
            </w:r>
          </w:p>
        </w:tc>
      </w:tr>
      <w:tr w:rsidR="00000000">
        <w:trPr>
          <w:trHeight w:val="315"/>
        </w:trPr>
        <w:tc>
          <w:tcPr>
            <w:tcW w:w="3966" w:type="dxa"/>
            <w:tcBorders>
              <w:left w:val="single" w:sz="4" w:space="0" w:color="auto"/>
              <w:bottom w:val="nil"/>
            </w:tcBorders>
            <w:noWrap/>
          </w:tcPr>
          <w:p w:rsidR="00000000" w:rsidRDefault="00000000">
            <w:pPr>
              <w:spacing w:after="0"/>
            </w:pPr>
            <w:r>
              <w:t>Total enrolled</w:t>
            </w:r>
          </w:p>
        </w:tc>
        <w:tc>
          <w:tcPr>
            <w:tcW w:w="1347" w:type="dxa"/>
            <w:tcBorders>
              <w:bottom w:val="nil"/>
            </w:tcBorders>
            <w:noWrap/>
          </w:tcPr>
          <w:p w:rsidR="00000000" w:rsidRDefault="00000000">
            <w:pPr>
              <w:spacing w:after="0"/>
              <w:ind w:right="170"/>
              <w:jc w:val="right"/>
            </w:pPr>
            <w:r>
              <w:t>491 541</w:t>
            </w:r>
          </w:p>
        </w:tc>
        <w:tc>
          <w:tcPr>
            <w:tcW w:w="1348" w:type="dxa"/>
            <w:tcBorders>
              <w:bottom w:val="nil"/>
            </w:tcBorders>
            <w:noWrap/>
          </w:tcPr>
          <w:p w:rsidR="00000000" w:rsidRDefault="00000000">
            <w:pPr>
              <w:spacing w:after="0"/>
              <w:ind w:right="170"/>
              <w:jc w:val="right"/>
            </w:pPr>
            <w:r>
              <w:t>237 312</w:t>
            </w:r>
          </w:p>
        </w:tc>
        <w:tc>
          <w:tcPr>
            <w:tcW w:w="1347" w:type="dxa"/>
            <w:tcBorders>
              <w:bottom w:val="nil"/>
            </w:tcBorders>
            <w:noWrap/>
          </w:tcPr>
          <w:p w:rsidR="00000000" w:rsidRDefault="00000000">
            <w:pPr>
              <w:spacing w:after="0"/>
              <w:ind w:right="170"/>
              <w:jc w:val="right"/>
            </w:pPr>
            <w:r>
              <w:t>292 663</w:t>
            </w:r>
          </w:p>
        </w:tc>
        <w:tc>
          <w:tcPr>
            <w:tcW w:w="1348" w:type="dxa"/>
            <w:tcBorders>
              <w:bottom w:val="nil"/>
            </w:tcBorders>
            <w:noWrap/>
          </w:tcPr>
          <w:p w:rsidR="00000000" w:rsidRDefault="00000000">
            <w:pPr>
              <w:spacing w:after="0"/>
              <w:ind w:right="170"/>
              <w:jc w:val="right"/>
            </w:pPr>
            <w:r>
              <w:t>141 362</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Enrolled for the first time</w:t>
            </w:r>
          </w:p>
        </w:tc>
        <w:tc>
          <w:tcPr>
            <w:tcW w:w="1347" w:type="dxa"/>
            <w:tcBorders>
              <w:top w:val="nil"/>
              <w:bottom w:val="nil"/>
            </w:tcBorders>
            <w:noWrap/>
          </w:tcPr>
          <w:p w:rsidR="00000000" w:rsidRDefault="00000000">
            <w:pPr>
              <w:spacing w:after="0"/>
              <w:ind w:right="170"/>
              <w:jc w:val="right"/>
            </w:pPr>
            <w:r>
              <w:t>57 137</w:t>
            </w:r>
          </w:p>
        </w:tc>
        <w:tc>
          <w:tcPr>
            <w:tcW w:w="1348" w:type="dxa"/>
            <w:tcBorders>
              <w:top w:val="nil"/>
              <w:bottom w:val="nil"/>
            </w:tcBorders>
            <w:noWrap/>
          </w:tcPr>
          <w:p w:rsidR="00000000" w:rsidRDefault="00000000">
            <w:pPr>
              <w:spacing w:after="0"/>
              <w:ind w:right="170"/>
              <w:jc w:val="right"/>
            </w:pPr>
            <w:r>
              <w:t>27 628</w:t>
            </w:r>
          </w:p>
        </w:tc>
        <w:tc>
          <w:tcPr>
            <w:tcW w:w="1347" w:type="dxa"/>
            <w:tcBorders>
              <w:top w:val="nil"/>
              <w:bottom w:val="nil"/>
            </w:tcBorders>
            <w:noWrap/>
          </w:tcPr>
          <w:p w:rsidR="00000000" w:rsidRDefault="00000000">
            <w:pPr>
              <w:spacing w:after="0"/>
              <w:ind w:right="170"/>
              <w:jc w:val="right"/>
            </w:pPr>
            <w:r>
              <w:t>33 164</w:t>
            </w:r>
          </w:p>
        </w:tc>
        <w:tc>
          <w:tcPr>
            <w:tcW w:w="1348" w:type="dxa"/>
            <w:tcBorders>
              <w:top w:val="nil"/>
              <w:bottom w:val="nil"/>
            </w:tcBorders>
            <w:noWrap/>
          </w:tcPr>
          <w:p w:rsidR="00000000" w:rsidRDefault="00000000">
            <w:pPr>
              <w:spacing w:after="0"/>
              <w:ind w:right="170"/>
              <w:jc w:val="right"/>
            </w:pPr>
            <w:r>
              <w:t>16 118</w:t>
            </w:r>
          </w:p>
        </w:tc>
      </w:tr>
      <w:tr w:rsidR="00000000">
        <w:trPr>
          <w:trHeight w:val="315"/>
        </w:trPr>
        <w:tc>
          <w:tcPr>
            <w:tcW w:w="3966" w:type="dxa"/>
            <w:tcBorders>
              <w:top w:val="nil"/>
              <w:left w:val="single" w:sz="4" w:space="0" w:color="auto"/>
              <w:bottom w:val="nil"/>
            </w:tcBorders>
            <w:noWrap/>
          </w:tcPr>
          <w:p w:rsidR="00000000" w:rsidRDefault="00000000">
            <w:pPr>
              <w:spacing w:after="0"/>
              <w:ind w:left="227" w:hanging="227"/>
            </w:pPr>
            <w:r>
              <w:t>Total enrolments in elementary level</w:t>
            </w:r>
          </w:p>
        </w:tc>
        <w:tc>
          <w:tcPr>
            <w:tcW w:w="1347" w:type="dxa"/>
            <w:tcBorders>
              <w:top w:val="nil"/>
              <w:bottom w:val="nil"/>
            </w:tcBorders>
            <w:noWrap/>
          </w:tcPr>
          <w:p w:rsidR="00000000" w:rsidRDefault="00000000">
            <w:pPr>
              <w:spacing w:after="0"/>
              <w:ind w:right="170"/>
              <w:jc w:val="right"/>
            </w:pPr>
            <w:r>
              <w:t>240 487</w:t>
            </w:r>
          </w:p>
        </w:tc>
        <w:tc>
          <w:tcPr>
            <w:tcW w:w="1348" w:type="dxa"/>
            <w:tcBorders>
              <w:top w:val="nil"/>
              <w:bottom w:val="nil"/>
            </w:tcBorders>
            <w:noWrap/>
          </w:tcPr>
          <w:p w:rsidR="00000000" w:rsidRDefault="00000000">
            <w:pPr>
              <w:spacing w:after="0"/>
              <w:ind w:right="170"/>
              <w:jc w:val="right"/>
            </w:pPr>
            <w:r>
              <w:t>115 943</w:t>
            </w:r>
          </w:p>
        </w:tc>
        <w:tc>
          <w:tcPr>
            <w:tcW w:w="1347" w:type="dxa"/>
            <w:tcBorders>
              <w:top w:val="nil"/>
              <w:bottom w:val="nil"/>
            </w:tcBorders>
            <w:noWrap/>
          </w:tcPr>
          <w:p w:rsidR="00000000" w:rsidRDefault="00000000">
            <w:pPr>
              <w:spacing w:after="0"/>
              <w:ind w:right="170"/>
              <w:jc w:val="right"/>
            </w:pPr>
            <w:r>
              <w:t>144 114</w:t>
            </w:r>
          </w:p>
        </w:tc>
        <w:tc>
          <w:tcPr>
            <w:tcW w:w="1348" w:type="dxa"/>
            <w:tcBorders>
              <w:top w:val="nil"/>
              <w:bottom w:val="nil"/>
            </w:tcBorders>
            <w:noWrap/>
          </w:tcPr>
          <w:p w:rsidR="00000000" w:rsidRDefault="00000000">
            <w:pPr>
              <w:spacing w:after="0"/>
              <w:ind w:right="170"/>
              <w:jc w:val="right"/>
            </w:pPr>
            <w:r>
              <w:t>69 269</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Lower cycle:  In separate classes</w:t>
            </w:r>
          </w:p>
        </w:tc>
        <w:tc>
          <w:tcPr>
            <w:tcW w:w="1347" w:type="dxa"/>
            <w:tcBorders>
              <w:top w:val="nil"/>
              <w:bottom w:val="nil"/>
            </w:tcBorders>
            <w:noWrap/>
          </w:tcPr>
          <w:p w:rsidR="00000000" w:rsidRDefault="00000000">
            <w:pPr>
              <w:spacing w:after="0"/>
              <w:ind w:right="170"/>
              <w:jc w:val="right"/>
            </w:pPr>
            <w:r>
              <w:t>204 601</w:t>
            </w:r>
          </w:p>
        </w:tc>
        <w:tc>
          <w:tcPr>
            <w:tcW w:w="1348" w:type="dxa"/>
            <w:tcBorders>
              <w:top w:val="nil"/>
              <w:bottom w:val="nil"/>
            </w:tcBorders>
            <w:noWrap/>
          </w:tcPr>
          <w:p w:rsidR="00000000" w:rsidRDefault="00000000">
            <w:pPr>
              <w:spacing w:after="0"/>
              <w:ind w:right="170"/>
              <w:jc w:val="right"/>
            </w:pPr>
            <w:r>
              <w:t>98 717</w:t>
            </w:r>
          </w:p>
        </w:tc>
        <w:tc>
          <w:tcPr>
            <w:tcW w:w="1347" w:type="dxa"/>
            <w:tcBorders>
              <w:top w:val="nil"/>
              <w:bottom w:val="nil"/>
            </w:tcBorders>
            <w:noWrap/>
          </w:tcPr>
          <w:p w:rsidR="00000000" w:rsidRDefault="00000000">
            <w:pPr>
              <w:spacing w:after="0"/>
              <w:ind w:right="170"/>
              <w:jc w:val="right"/>
            </w:pPr>
            <w:r>
              <w:t>109 044</w:t>
            </w:r>
          </w:p>
        </w:tc>
        <w:tc>
          <w:tcPr>
            <w:tcW w:w="1348" w:type="dxa"/>
            <w:tcBorders>
              <w:top w:val="nil"/>
              <w:bottom w:val="nil"/>
            </w:tcBorders>
            <w:noWrap/>
          </w:tcPr>
          <w:p w:rsidR="00000000" w:rsidRDefault="00000000">
            <w:pPr>
              <w:spacing w:after="0"/>
              <w:ind w:right="170"/>
              <w:jc w:val="right"/>
            </w:pPr>
            <w:r>
              <w:t>52 397</w:t>
            </w:r>
          </w:p>
        </w:tc>
      </w:tr>
      <w:tr w:rsidR="00000000">
        <w:trPr>
          <w:trHeight w:val="315"/>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first separate classes</w:t>
            </w:r>
          </w:p>
        </w:tc>
        <w:tc>
          <w:tcPr>
            <w:tcW w:w="1347" w:type="dxa"/>
            <w:tcBorders>
              <w:top w:val="nil"/>
              <w:bottom w:val="nil"/>
            </w:tcBorders>
            <w:noWrap/>
          </w:tcPr>
          <w:p w:rsidR="00000000" w:rsidRDefault="00000000">
            <w:pPr>
              <w:spacing w:after="0"/>
              <w:ind w:right="170"/>
              <w:jc w:val="right"/>
            </w:pPr>
            <w:r>
              <w:t>49 680</w:t>
            </w:r>
          </w:p>
        </w:tc>
        <w:tc>
          <w:tcPr>
            <w:tcW w:w="1348" w:type="dxa"/>
            <w:tcBorders>
              <w:top w:val="nil"/>
              <w:bottom w:val="nil"/>
            </w:tcBorders>
            <w:noWrap/>
          </w:tcPr>
          <w:p w:rsidR="00000000" w:rsidRDefault="00000000">
            <w:pPr>
              <w:spacing w:after="0"/>
              <w:ind w:right="170"/>
              <w:jc w:val="right"/>
            </w:pPr>
            <w:r>
              <w:t>23 908</w:t>
            </w:r>
          </w:p>
        </w:tc>
        <w:tc>
          <w:tcPr>
            <w:tcW w:w="1347" w:type="dxa"/>
            <w:tcBorders>
              <w:top w:val="nil"/>
              <w:bottom w:val="nil"/>
            </w:tcBorders>
            <w:noWrap/>
          </w:tcPr>
          <w:p w:rsidR="00000000" w:rsidRDefault="00000000">
            <w:pPr>
              <w:spacing w:after="0"/>
              <w:ind w:right="170"/>
              <w:jc w:val="right"/>
            </w:pPr>
            <w:r>
              <w:t>26 389</w:t>
            </w:r>
          </w:p>
        </w:tc>
        <w:tc>
          <w:tcPr>
            <w:tcW w:w="1348" w:type="dxa"/>
            <w:tcBorders>
              <w:top w:val="nil"/>
              <w:bottom w:val="nil"/>
            </w:tcBorders>
            <w:noWrap/>
          </w:tcPr>
          <w:p w:rsidR="00000000" w:rsidRDefault="00000000">
            <w:pPr>
              <w:spacing w:after="0"/>
              <w:ind w:right="170"/>
              <w:jc w:val="right"/>
            </w:pPr>
            <w:r>
              <w:t>12 617</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second separate classes</w:t>
            </w:r>
          </w:p>
        </w:tc>
        <w:tc>
          <w:tcPr>
            <w:tcW w:w="1347" w:type="dxa"/>
            <w:tcBorders>
              <w:top w:val="nil"/>
              <w:bottom w:val="nil"/>
            </w:tcBorders>
            <w:noWrap/>
          </w:tcPr>
          <w:p w:rsidR="00000000" w:rsidRDefault="00000000">
            <w:pPr>
              <w:spacing w:after="0"/>
              <w:ind w:right="170"/>
              <w:jc w:val="right"/>
            </w:pPr>
            <w:r>
              <w:t>50 941</w:t>
            </w:r>
          </w:p>
        </w:tc>
        <w:tc>
          <w:tcPr>
            <w:tcW w:w="1348" w:type="dxa"/>
            <w:tcBorders>
              <w:top w:val="nil"/>
              <w:bottom w:val="nil"/>
            </w:tcBorders>
            <w:noWrap/>
          </w:tcPr>
          <w:p w:rsidR="00000000" w:rsidRDefault="00000000">
            <w:pPr>
              <w:spacing w:after="0"/>
              <w:ind w:right="170"/>
              <w:jc w:val="right"/>
            </w:pPr>
            <w:r>
              <w:t>24 615</w:t>
            </w:r>
          </w:p>
        </w:tc>
        <w:tc>
          <w:tcPr>
            <w:tcW w:w="1347" w:type="dxa"/>
            <w:tcBorders>
              <w:top w:val="nil"/>
              <w:bottom w:val="nil"/>
            </w:tcBorders>
            <w:noWrap/>
          </w:tcPr>
          <w:p w:rsidR="00000000" w:rsidRDefault="00000000">
            <w:pPr>
              <w:spacing w:after="0"/>
              <w:ind w:right="170"/>
              <w:jc w:val="right"/>
            </w:pPr>
            <w:r>
              <w:t>27 291</w:t>
            </w:r>
          </w:p>
        </w:tc>
        <w:tc>
          <w:tcPr>
            <w:tcW w:w="1348" w:type="dxa"/>
            <w:tcBorders>
              <w:top w:val="nil"/>
              <w:bottom w:val="nil"/>
            </w:tcBorders>
            <w:noWrap/>
          </w:tcPr>
          <w:p w:rsidR="00000000" w:rsidRDefault="00000000">
            <w:pPr>
              <w:spacing w:after="0"/>
              <w:ind w:right="170"/>
              <w:jc w:val="right"/>
            </w:pPr>
            <w:r>
              <w:t>13 200</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third separate classes</w:t>
            </w:r>
          </w:p>
        </w:tc>
        <w:tc>
          <w:tcPr>
            <w:tcW w:w="1347" w:type="dxa"/>
            <w:tcBorders>
              <w:top w:val="nil"/>
              <w:bottom w:val="nil"/>
            </w:tcBorders>
            <w:noWrap/>
          </w:tcPr>
          <w:p w:rsidR="00000000" w:rsidRDefault="00000000">
            <w:pPr>
              <w:spacing w:after="0"/>
              <w:ind w:right="170"/>
              <w:jc w:val="right"/>
            </w:pPr>
            <w:r>
              <w:t>52 382</w:t>
            </w:r>
          </w:p>
        </w:tc>
        <w:tc>
          <w:tcPr>
            <w:tcW w:w="1348" w:type="dxa"/>
            <w:tcBorders>
              <w:top w:val="nil"/>
              <w:bottom w:val="nil"/>
            </w:tcBorders>
            <w:noWrap/>
          </w:tcPr>
          <w:p w:rsidR="00000000" w:rsidRDefault="00000000">
            <w:pPr>
              <w:spacing w:after="0"/>
              <w:ind w:right="170"/>
              <w:jc w:val="right"/>
            </w:pPr>
            <w:r>
              <w:t>25 266</w:t>
            </w:r>
          </w:p>
        </w:tc>
        <w:tc>
          <w:tcPr>
            <w:tcW w:w="1347" w:type="dxa"/>
            <w:tcBorders>
              <w:top w:val="nil"/>
              <w:bottom w:val="nil"/>
            </w:tcBorders>
            <w:noWrap/>
          </w:tcPr>
          <w:p w:rsidR="00000000" w:rsidRDefault="00000000">
            <w:pPr>
              <w:spacing w:after="0"/>
              <w:ind w:right="170"/>
              <w:jc w:val="right"/>
            </w:pPr>
            <w:r>
              <w:t>27 835</w:t>
            </w:r>
          </w:p>
        </w:tc>
        <w:tc>
          <w:tcPr>
            <w:tcW w:w="1348" w:type="dxa"/>
            <w:tcBorders>
              <w:top w:val="nil"/>
              <w:bottom w:val="nil"/>
            </w:tcBorders>
            <w:noWrap/>
          </w:tcPr>
          <w:p w:rsidR="00000000" w:rsidRDefault="00000000">
            <w:pPr>
              <w:spacing w:after="0"/>
              <w:ind w:right="170"/>
              <w:jc w:val="right"/>
            </w:pPr>
            <w:r>
              <w:t>13 413</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fourth separate classes</w:t>
            </w:r>
          </w:p>
        </w:tc>
        <w:tc>
          <w:tcPr>
            <w:tcW w:w="1347" w:type="dxa"/>
            <w:tcBorders>
              <w:top w:val="nil"/>
              <w:bottom w:val="nil"/>
            </w:tcBorders>
            <w:noWrap/>
          </w:tcPr>
          <w:p w:rsidR="00000000" w:rsidRDefault="00000000">
            <w:pPr>
              <w:spacing w:after="0"/>
              <w:ind w:right="170"/>
              <w:jc w:val="right"/>
            </w:pPr>
            <w:r>
              <w:t>51 598</w:t>
            </w:r>
          </w:p>
        </w:tc>
        <w:tc>
          <w:tcPr>
            <w:tcW w:w="1348" w:type="dxa"/>
            <w:tcBorders>
              <w:top w:val="nil"/>
              <w:bottom w:val="nil"/>
            </w:tcBorders>
            <w:noWrap/>
          </w:tcPr>
          <w:p w:rsidR="00000000" w:rsidRDefault="00000000">
            <w:pPr>
              <w:spacing w:after="0"/>
              <w:ind w:right="170"/>
              <w:jc w:val="right"/>
            </w:pPr>
            <w:r>
              <w:t>24 928</w:t>
            </w:r>
          </w:p>
        </w:tc>
        <w:tc>
          <w:tcPr>
            <w:tcW w:w="1347" w:type="dxa"/>
            <w:tcBorders>
              <w:top w:val="nil"/>
              <w:bottom w:val="nil"/>
            </w:tcBorders>
            <w:noWrap/>
          </w:tcPr>
          <w:p w:rsidR="00000000" w:rsidRDefault="00000000">
            <w:pPr>
              <w:spacing w:after="0"/>
              <w:ind w:right="170"/>
              <w:jc w:val="right"/>
            </w:pPr>
            <w:r>
              <w:t>27 529</w:t>
            </w:r>
          </w:p>
        </w:tc>
        <w:tc>
          <w:tcPr>
            <w:tcW w:w="1348" w:type="dxa"/>
            <w:tcBorders>
              <w:top w:val="nil"/>
              <w:bottom w:val="nil"/>
            </w:tcBorders>
            <w:noWrap/>
          </w:tcPr>
          <w:p w:rsidR="00000000" w:rsidRDefault="00000000">
            <w:pPr>
              <w:spacing w:after="0"/>
              <w:ind w:right="170"/>
              <w:jc w:val="right"/>
            </w:pPr>
            <w:r>
              <w:t>13 167</w:t>
            </w:r>
          </w:p>
        </w:tc>
      </w:tr>
      <w:tr w:rsidR="00000000">
        <w:trPr>
          <w:trHeight w:val="300"/>
        </w:trPr>
        <w:tc>
          <w:tcPr>
            <w:tcW w:w="3966" w:type="dxa"/>
            <w:tcBorders>
              <w:top w:val="nil"/>
              <w:left w:val="single" w:sz="4" w:space="0" w:color="auto"/>
              <w:bottom w:val="nil"/>
            </w:tcBorders>
            <w:noWrap/>
          </w:tcPr>
          <w:p w:rsidR="00000000" w:rsidRDefault="00000000">
            <w:pPr>
              <w:spacing w:after="0"/>
            </w:pPr>
            <w:r>
              <w:t>Lower cycle:  In combined classes</w:t>
            </w:r>
          </w:p>
        </w:tc>
        <w:tc>
          <w:tcPr>
            <w:tcW w:w="1347" w:type="dxa"/>
            <w:tcBorders>
              <w:top w:val="nil"/>
              <w:bottom w:val="nil"/>
            </w:tcBorders>
            <w:noWrap/>
          </w:tcPr>
          <w:p w:rsidR="00000000" w:rsidRDefault="00000000">
            <w:pPr>
              <w:spacing w:after="0"/>
              <w:ind w:right="170"/>
              <w:jc w:val="right"/>
            </w:pPr>
            <w:r>
              <w:t>35 886</w:t>
            </w:r>
          </w:p>
        </w:tc>
        <w:tc>
          <w:tcPr>
            <w:tcW w:w="1348" w:type="dxa"/>
            <w:tcBorders>
              <w:top w:val="nil"/>
              <w:bottom w:val="nil"/>
            </w:tcBorders>
            <w:noWrap/>
          </w:tcPr>
          <w:p w:rsidR="00000000" w:rsidRDefault="00000000">
            <w:pPr>
              <w:spacing w:after="0"/>
              <w:ind w:right="170"/>
              <w:jc w:val="right"/>
            </w:pPr>
            <w:r>
              <w:t>17 226</w:t>
            </w:r>
          </w:p>
        </w:tc>
        <w:tc>
          <w:tcPr>
            <w:tcW w:w="1347" w:type="dxa"/>
            <w:tcBorders>
              <w:top w:val="nil"/>
              <w:bottom w:val="nil"/>
            </w:tcBorders>
            <w:noWrap/>
          </w:tcPr>
          <w:p w:rsidR="00000000" w:rsidRDefault="00000000">
            <w:pPr>
              <w:spacing w:after="0"/>
              <w:ind w:right="170"/>
              <w:jc w:val="right"/>
            </w:pPr>
            <w:r>
              <w:t>35 070</w:t>
            </w:r>
          </w:p>
        </w:tc>
        <w:tc>
          <w:tcPr>
            <w:tcW w:w="1348" w:type="dxa"/>
            <w:tcBorders>
              <w:top w:val="nil"/>
              <w:bottom w:val="nil"/>
            </w:tcBorders>
            <w:noWrap/>
          </w:tcPr>
          <w:p w:rsidR="00000000" w:rsidRDefault="00000000">
            <w:pPr>
              <w:spacing w:after="0"/>
              <w:ind w:right="170"/>
              <w:jc w:val="right"/>
            </w:pPr>
            <w:r>
              <w:t>16 872</w:t>
            </w:r>
          </w:p>
        </w:tc>
      </w:tr>
      <w:tr w:rsidR="00000000">
        <w:trPr>
          <w:trHeight w:val="300"/>
        </w:trPr>
        <w:tc>
          <w:tcPr>
            <w:tcW w:w="3966" w:type="dxa"/>
            <w:tcBorders>
              <w:top w:val="nil"/>
              <w:left w:val="single" w:sz="4" w:space="0" w:color="auto"/>
              <w:bottom w:val="nil"/>
            </w:tcBorders>
            <w:noWrap/>
          </w:tcPr>
          <w:p w:rsidR="00000000" w:rsidRDefault="00000000">
            <w:pPr>
              <w:spacing w:after="0"/>
            </w:pPr>
            <w:r>
              <w:t>Total enrolled in higher cycle</w:t>
            </w:r>
          </w:p>
        </w:tc>
        <w:tc>
          <w:tcPr>
            <w:tcW w:w="1347" w:type="dxa"/>
            <w:tcBorders>
              <w:top w:val="nil"/>
              <w:bottom w:val="nil"/>
            </w:tcBorders>
            <w:noWrap/>
          </w:tcPr>
          <w:p w:rsidR="00000000" w:rsidRDefault="00000000">
            <w:pPr>
              <w:spacing w:after="0"/>
              <w:ind w:right="170"/>
              <w:jc w:val="right"/>
            </w:pPr>
            <w:r>
              <w:t>251 054</w:t>
            </w:r>
          </w:p>
        </w:tc>
        <w:tc>
          <w:tcPr>
            <w:tcW w:w="1348" w:type="dxa"/>
            <w:tcBorders>
              <w:top w:val="nil"/>
              <w:bottom w:val="nil"/>
            </w:tcBorders>
            <w:noWrap/>
          </w:tcPr>
          <w:p w:rsidR="00000000" w:rsidRDefault="00000000">
            <w:pPr>
              <w:spacing w:after="0"/>
              <w:ind w:right="170"/>
              <w:jc w:val="right"/>
            </w:pPr>
            <w:r>
              <w:t>121 369</w:t>
            </w:r>
          </w:p>
        </w:tc>
        <w:tc>
          <w:tcPr>
            <w:tcW w:w="1347" w:type="dxa"/>
            <w:tcBorders>
              <w:top w:val="nil"/>
              <w:bottom w:val="nil"/>
            </w:tcBorders>
            <w:noWrap/>
          </w:tcPr>
          <w:p w:rsidR="00000000" w:rsidRDefault="00000000">
            <w:pPr>
              <w:spacing w:after="0"/>
              <w:ind w:right="170"/>
              <w:jc w:val="right"/>
            </w:pPr>
            <w:r>
              <w:t>148 549</w:t>
            </w:r>
          </w:p>
        </w:tc>
        <w:tc>
          <w:tcPr>
            <w:tcW w:w="1348" w:type="dxa"/>
            <w:tcBorders>
              <w:top w:val="nil"/>
              <w:bottom w:val="nil"/>
            </w:tcBorders>
            <w:noWrap/>
          </w:tcPr>
          <w:p w:rsidR="00000000" w:rsidRDefault="00000000">
            <w:pPr>
              <w:spacing w:after="0"/>
              <w:ind w:right="170"/>
              <w:jc w:val="right"/>
            </w:pPr>
            <w:r>
              <w:t>72 093</w:t>
            </w:r>
          </w:p>
        </w:tc>
      </w:tr>
      <w:tr w:rsidR="00000000">
        <w:trPr>
          <w:trHeight w:val="315"/>
        </w:trPr>
        <w:tc>
          <w:tcPr>
            <w:tcW w:w="3966" w:type="dxa"/>
            <w:tcBorders>
              <w:top w:val="nil"/>
              <w:left w:val="single" w:sz="4" w:space="0" w:color="auto"/>
              <w:bottom w:val="nil"/>
            </w:tcBorders>
            <w:noWrap/>
          </w:tcPr>
          <w:p w:rsidR="00000000" w:rsidRDefault="00000000">
            <w:pPr>
              <w:spacing w:after="0"/>
            </w:pPr>
            <w:r>
              <w:t>Higher cycle:  in separate classes</w:t>
            </w:r>
          </w:p>
        </w:tc>
        <w:tc>
          <w:tcPr>
            <w:tcW w:w="1347" w:type="dxa"/>
            <w:tcBorders>
              <w:top w:val="nil"/>
              <w:bottom w:val="nil"/>
            </w:tcBorders>
            <w:noWrap/>
          </w:tcPr>
          <w:p w:rsidR="00000000" w:rsidRDefault="00000000">
            <w:pPr>
              <w:spacing w:after="0"/>
              <w:ind w:right="170"/>
              <w:jc w:val="right"/>
            </w:pPr>
            <w:r>
              <w:t>234 157</w:t>
            </w:r>
          </w:p>
        </w:tc>
        <w:tc>
          <w:tcPr>
            <w:tcW w:w="1348" w:type="dxa"/>
            <w:tcBorders>
              <w:top w:val="nil"/>
              <w:bottom w:val="nil"/>
            </w:tcBorders>
            <w:noWrap/>
          </w:tcPr>
          <w:p w:rsidR="00000000" w:rsidRDefault="00000000">
            <w:pPr>
              <w:spacing w:after="0"/>
              <w:ind w:right="170"/>
              <w:jc w:val="right"/>
            </w:pPr>
            <w:r>
              <w:t>113 168</w:t>
            </w:r>
          </w:p>
        </w:tc>
        <w:tc>
          <w:tcPr>
            <w:tcW w:w="1347" w:type="dxa"/>
            <w:tcBorders>
              <w:top w:val="nil"/>
              <w:bottom w:val="nil"/>
            </w:tcBorders>
            <w:noWrap/>
          </w:tcPr>
          <w:p w:rsidR="00000000" w:rsidRDefault="00000000">
            <w:pPr>
              <w:spacing w:after="0"/>
              <w:ind w:right="170"/>
              <w:jc w:val="right"/>
            </w:pPr>
            <w:r>
              <w:t>132 101</w:t>
            </w:r>
          </w:p>
        </w:tc>
        <w:tc>
          <w:tcPr>
            <w:tcW w:w="1348" w:type="dxa"/>
            <w:tcBorders>
              <w:top w:val="nil"/>
              <w:bottom w:val="nil"/>
            </w:tcBorders>
            <w:noWrap/>
          </w:tcPr>
          <w:p w:rsidR="00000000" w:rsidRDefault="00000000">
            <w:pPr>
              <w:spacing w:after="0"/>
              <w:ind w:right="170"/>
              <w:jc w:val="right"/>
            </w:pPr>
            <w:r>
              <w:t>64 098</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fifth separate classes</w:t>
            </w:r>
          </w:p>
        </w:tc>
        <w:tc>
          <w:tcPr>
            <w:tcW w:w="1347" w:type="dxa"/>
            <w:tcBorders>
              <w:top w:val="nil"/>
              <w:bottom w:val="nil"/>
            </w:tcBorders>
            <w:noWrap/>
          </w:tcPr>
          <w:p w:rsidR="00000000" w:rsidRDefault="00000000">
            <w:pPr>
              <w:spacing w:after="0"/>
              <w:ind w:right="170"/>
              <w:jc w:val="right"/>
            </w:pPr>
            <w:r>
              <w:t>59 496</w:t>
            </w:r>
          </w:p>
        </w:tc>
        <w:tc>
          <w:tcPr>
            <w:tcW w:w="1348" w:type="dxa"/>
            <w:tcBorders>
              <w:top w:val="nil"/>
              <w:bottom w:val="nil"/>
            </w:tcBorders>
            <w:noWrap/>
          </w:tcPr>
          <w:p w:rsidR="00000000" w:rsidRDefault="00000000">
            <w:pPr>
              <w:spacing w:after="0"/>
              <w:ind w:right="170"/>
              <w:jc w:val="right"/>
            </w:pPr>
            <w:r>
              <w:t>28 502</w:t>
            </w:r>
          </w:p>
        </w:tc>
        <w:tc>
          <w:tcPr>
            <w:tcW w:w="1347" w:type="dxa"/>
            <w:tcBorders>
              <w:top w:val="nil"/>
              <w:bottom w:val="nil"/>
            </w:tcBorders>
            <w:noWrap/>
          </w:tcPr>
          <w:p w:rsidR="00000000" w:rsidRDefault="00000000">
            <w:pPr>
              <w:spacing w:after="0"/>
              <w:ind w:right="170"/>
              <w:jc w:val="right"/>
            </w:pPr>
            <w:r>
              <w:t>34 325</w:t>
            </w:r>
          </w:p>
        </w:tc>
        <w:tc>
          <w:tcPr>
            <w:tcW w:w="1348" w:type="dxa"/>
            <w:tcBorders>
              <w:top w:val="nil"/>
              <w:bottom w:val="nil"/>
            </w:tcBorders>
            <w:noWrap/>
          </w:tcPr>
          <w:p w:rsidR="00000000" w:rsidRDefault="00000000">
            <w:pPr>
              <w:spacing w:after="0"/>
              <w:ind w:right="170"/>
              <w:jc w:val="right"/>
            </w:pPr>
            <w:r>
              <w:t>16 579</w:t>
            </w:r>
          </w:p>
        </w:tc>
      </w:tr>
      <w:tr w:rsidR="00000000">
        <w:trPr>
          <w:trHeight w:val="315"/>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sixth separate classes</w:t>
            </w:r>
          </w:p>
        </w:tc>
        <w:tc>
          <w:tcPr>
            <w:tcW w:w="1347" w:type="dxa"/>
            <w:tcBorders>
              <w:top w:val="nil"/>
              <w:bottom w:val="nil"/>
            </w:tcBorders>
            <w:noWrap/>
          </w:tcPr>
          <w:p w:rsidR="00000000" w:rsidRDefault="00000000">
            <w:pPr>
              <w:spacing w:after="0"/>
              <w:ind w:right="170"/>
              <w:jc w:val="right"/>
            </w:pPr>
            <w:r>
              <w:t>59 804</w:t>
            </w:r>
          </w:p>
        </w:tc>
        <w:tc>
          <w:tcPr>
            <w:tcW w:w="1348" w:type="dxa"/>
            <w:tcBorders>
              <w:top w:val="nil"/>
              <w:bottom w:val="nil"/>
            </w:tcBorders>
            <w:noWrap/>
          </w:tcPr>
          <w:p w:rsidR="00000000" w:rsidRDefault="00000000">
            <w:pPr>
              <w:spacing w:after="0"/>
              <w:ind w:right="170"/>
              <w:jc w:val="right"/>
            </w:pPr>
            <w:r>
              <w:t>28 711</w:t>
            </w:r>
          </w:p>
        </w:tc>
        <w:tc>
          <w:tcPr>
            <w:tcW w:w="1347" w:type="dxa"/>
            <w:tcBorders>
              <w:top w:val="nil"/>
              <w:bottom w:val="nil"/>
            </w:tcBorders>
            <w:noWrap/>
          </w:tcPr>
          <w:p w:rsidR="00000000" w:rsidRDefault="00000000">
            <w:pPr>
              <w:spacing w:after="0"/>
              <w:ind w:right="170"/>
              <w:jc w:val="right"/>
            </w:pPr>
            <w:r>
              <w:t>34 346</w:t>
            </w:r>
          </w:p>
        </w:tc>
        <w:tc>
          <w:tcPr>
            <w:tcW w:w="1348" w:type="dxa"/>
            <w:tcBorders>
              <w:top w:val="nil"/>
              <w:bottom w:val="nil"/>
            </w:tcBorders>
            <w:noWrap/>
          </w:tcPr>
          <w:p w:rsidR="00000000" w:rsidRDefault="00000000">
            <w:pPr>
              <w:spacing w:after="0"/>
              <w:ind w:right="170"/>
              <w:jc w:val="right"/>
            </w:pPr>
            <w:r>
              <w:t>16 567</w:t>
            </w:r>
          </w:p>
        </w:tc>
      </w:tr>
      <w:tr w:rsidR="00000000">
        <w:trPr>
          <w:trHeight w:val="300"/>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seventh separate classes</w:t>
            </w:r>
          </w:p>
        </w:tc>
        <w:tc>
          <w:tcPr>
            <w:tcW w:w="1347" w:type="dxa"/>
            <w:tcBorders>
              <w:top w:val="nil"/>
              <w:bottom w:val="nil"/>
            </w:tcBorders>
            <w:noWrap/>
          </w:tcPr>
          <w:p w:rsidR="00000000" w:rsidRDefault="00000000">
            <w:pPr>
              <w:spacing w:after="0"/>
              <w:ind w:right="170"/>
              <w:jc w:val="right"/>
            </w:pPr>
            <w:r>
              <w:t>59 634</w:t>
            </w:r>
          </w:p>
        </w:tc>
        <w:tc>
          <w:tcPr>
            <w:tcW w:w="1348" w:type="dxa"/>
            <w:tcBorders>
              <w:top w:val="nil"/>
              <w:bottom w:val="nil"/>
            </w:tcBorders>
            <w:noWrap/>
          </w:tcPr>
          <w:p w:rsidR="00000000" w:rsidRDefault="00000000">
            <w:pPr>
              <w:spacing w:after="0"/>
              <w:ind w:right="170"/>
              <w:jc w:val="right"/>
            </w:pPr>
            <w:r>
              <w:t>28 909</w:t>
            </w:r>
          </w:p>
        </w:tc>
        <w:tc>
          <w:tcPr>
            <w:tcW w:w="1347" w:type="dxa"/>
            <w:tcBorders>
              <w:top w:val="nil"/>
              <w:bottom w:val="nil"/>
            </w:tcBorders>
            <w:noWrap/>
          </w:tcPr>
          <w:p w:rsidR="00000000" w:rsidRDefault="00000000">
            <w:pPr>
              <w:spacing w:after="0"/>
              <w:ind w:right="170"/>
              <w:jc w:val="right"/>
            </w:pPr>
            <w:r>
              <w:t>33 188</w:t>
            </w:r>
          </w:p>
        </w:tc>
        <w:tc>
          <w:tcPr>
            <w:tcW w:w="1348" w:type="dxa"/>
            <w:tcBorders>
              <w:top w:val="nil"/>
              <w:bottom w:val="nil"/>
            </w:tcBorders>
            <w:noWrap/>
          </w:tcPr>
          <w:p w:rsidR="00000000" w:rsidRDefault="00000000">
            <w:pPr>
              <w:spacing w:after="0"/>
              <w:ind w:right="170"/>
              <w:jc w:val="right"/>
            </w:pPr>
            <w:r>
              <w:t>16 126</w:t>
            </w:r>
          </w:p>
        </w:tc>
      </w:tr>
      <w:tr w:rsidR="00000000">
        <w:trPr>
          <w:trHeight w:val="315"/>
        </w:trPr>
        <w:tc>
          <w:tcPr>
            <w:tcW w:w="3966" w:type="dxa"/>
            <w:tcBorders>
              <w:top w:val="nil"/>
              <w:left w:val="single" w:sz="4" w:space="0" w:color="auto"/>
              <w:bottom w:val="nil"/>
            </w:tcBorders>
            <w:noWrap/>
          </w:tcPr>
          <w:p w:rsidR="00000000" w:rsidRDefault="00000000">
            <w:pPr>
              <w:tabs>
                <w:tab w:val="left" w:pos="227"/>
              </w:tabs>
              <w:spacing w:after="0"/>
              <w:ind w:left="227" w:hanging="227"/>
            </w:pPr>
            <w:r>
              <w:tab/>
              <w:t>In eighth separate classes</w:t>
            </w:r>
          </w:p>
        </w:tc>
        <w:tc>
          <w:tcPr>
            <w:tcW w:w="1347" w:type="dxa"/>
            <w:tcBorders>
              <w:top w:val="nil"/>
              <w:bottom w:val="nil"/>
            </w:tcBorders>
            <w:noWrap/>
          </w:tcPr>
          <w:p w:rsidR="00000000" w:rsidRDefault="00000000">
            <w:pPr>
              <w:spacing w:after="0"/>
              <w:ind w:right="170"/>
              <w:jc w:val="right"/>
            </w:pPr>
            <w:r>
              <w:t>55 223</w:t>
            </w:r>
          </w:p>
        </w:tc>
        <w:tc>
          <w:tcPr>
            <w:tcW w:w="1348" w:type="dxa"/>
            <w:tcBorders>
              <w:top w:val="nil"/>
              <w:bottom w:val="nil"/>
            </w:tcBorders>
            <w:noWrap/>
          </w:tcPr>
          <w:p w:rsidR="00000000" w:rsidRDefault="00000000">
            <w:pPr>
              <w:spacing w:after="0"/>
              <w:ind w:right="170"/>
              <w:jc w:val="right"/>
            </w:pPr>
            <w:r>
              <w:t>27 046</w:t>
            </w:r>
          </w:p>
        </w:tc>
        <w:tc>
          <w:tcPr>
            <w:tcW w:w="1347" w:type="dxa"/>
            <w:tcBorders>
              <w:top w:val="nil"/>
              <w:bottom w:val="nil"/>
            </w:tcBorders>
            <w:noWrap/>
          </w:tcPr>
          <w:p w:rsidR="00000000" w:rsidRDefault="00000000">
            <w:pPr>
              <w:spacing w:after="0"/>
              <w:ind w:right="170"/>
              <w:jc w:val="right"/>
            </w:pPr>
            <w:r>
              <w:t>30 242</w:t>
            </w:r>
          </w:p>
        </w:tc>
        <w:tc>
          <w:tcPr>
            <w:tcW w:w="1348" w:type="dxa"/>
            <w:tcBorders>
              <w:top w:val="nil"/>
              <w:bottom w:val="nil"/>
            </w:tcBorders>
            <w:noWrap/>
          </w:tcPr>
          <w:p w:rsidR="00000000" w:rsidRDefault="00000000">
            <w:pPr>
              <w:spacing w:after="0"/>
              <w:ind w:right="170"/>
              <w:jc w:val="right"/>
            </w:pPr>
            <w:r>
              <w:t>14 826</w:t>
            </w:r>
          </w:p>
        </w:tc>
      </w:tr>
      <w:tr w:rsidR="00000000">
        <w:trPr>
          <w:trHeight w:val="300"/>
        </w:trPr>
        <w:tc>
          <w:tcPr>
            <w:tcW w:w="3966" w:type="dxa"/>
            <w:tcBorders>
              <w:top w:val="nil"/>
              <w:left w:val="single" w:sz="4" w:space="0" w:color="auto"/>
            </w:tcBorders>
            <w:noWrap/>
          </w:tcPr>
          <w:p w:rsidR="00000000" w:rsidRDefault="00000000">
            <w:pPr>
              <w:spacing w:after="0"/>
            </w:pPr>
            <w:r>
              <w:t>Higher cycle:  in combined classes</w:t>
            </w:r>
          </w:p>
        </w:tc>
        <w:tc>
          <w:tcPr>
            <w:tcW w:w="1347" w:type="dxa"/>
            <w:tcBorders>
              <w:top w:val="nil"/>
            </w:tcBorders>
            <w:noWrap/>
          </w:tcPr>
          <w:p w:rsidR="00000000" w:rsidRDefault="00000000">
            <w:pPr>
              <w:spacing w:after="0"/>
              <w:ind w:right="170"/>
              <w:jc w:val="right"/>
            </w:pPr>
            <w:r>
              <w:t>16 897</w:t>
            </w:r>
          </w:p>
        </w:tc>
        <w:tc>
          <w:tcPr>
            <w:tcW w:w="1348" w:type="dxa"/>
            <w:tcBorders>
              <w:top w:val="nil"/>
            </w:tcBorders>
            <w:noWrap/>
          </w:tcPr>
          <w:p w:rsidR="00000000" w:rsidRDefault="00000000">
            <w:pPr>
              <w:spacing w:after="0"/>
              <w:ind w:right="170"/>
              <w:jc w:val="right"/>
            </w:pPr>
            <w:r>
              <w:t>8 201</w:t>
            </w:r>
          </w:p>
        </w:tc>
        <w:tc>
          <w:tcPr>
            <w:tcW w:w="1347" w:type="dxa"/>
            <w:tcBorders>
              <w:top w:val="nil"/>
            </w:tcBorders>
            <w:noWrap/>
          </w:tcPr>
          <w:p w:rsidR="00000000" w:rsidRDefault="00000000">
            <w:pPr>
              <w:spacing w:after="0"/>
              <w:ind w:right="170"/>
              <w:jc w:val="right"/>
            </w:pPr>
            <w:r>
              <w:t>16 448</w:t>
            </w:r>
          </w:p>
        </w:tc>
        <w:tc>
          <w:tcPr>
            <w:tcW w:w="1348" w:type="dxa"/>
            <w:tcBorders>
              <w:top w:val="nil"/>
            </w:tcBorders>
            <w:noWrap/>
          </w:tcPr>
          <w:p w:rsidR="00000000" w:rsidRDefault="00000000">
            <w:pPr>
              <w:spacing w:after="0"/>
              <w:ind w:right="170"/>
              <w:jc w:val="right"/>
            </w:pPr>
            <w:r>
              <w:t>7 995</w:t>
            </w:r>
          </w:p>
        </w:tc>
      </w:tr>
    </w:tbl>
    <w:p w:rsidR="00000000" w:rsidRDefault="00000000">
      <w:pPr>
        <w:pStyle w:val="Heading2"/>
        <w:spacing w:before="240" w:after="0"/>
      </w:pPr>
      <w:r>
        <w:t>Table 53</w:t>
      </w:r>
    </w:p>
    <w:p w:rsidR="00000000" w:rsidRDefault="00000000">
      <w:pPr>
        <w:pStyle w:val="Heading2"/>
        <w:spacing w:before="240"/>
        <w:rPr>
          <w:iCs/>
        </w:rPr>
      </w:pPr>
      <w:r>
        <w:t>Number of teachers in eight-year education system, 2003/04</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58"/>
        <w:gridCol w:w="3922"/>
        <w:gridCol w:w="1080"/>
        <w:gridCol w:w="1320"/>
        <w:gridCol w:w="1080"/>
        <w:gridCol w:w="1196"/>
      </w:tblGrid>
      <w:tr w:rsidR="00000000">
        <w:trPr>
          <w:trHeight w:val="315"/>
        </w:trPr>
        <w:tc>
          <w:tcPr>
            <w:tcW w:w="758" w:type="dxa"/>
            <w:tcBorders>
              <w:bottom w:val="single" w:sz="4" w:space="0" w:color="auto"/>
            </w:tcBorders>
            <w:noWrap/>
          </w:tcPr>
          <w:p w:rsidR="00000000" w:rsidRDefault="00000000">
            <w:pPr>
              <w:pStyle w:val="Header"/>
              <w:tabs>
                <w:tab w:val="clear" w:pos="4320"/>
                <w:tab w:val="clear" w:pos="8640"/>
              </w:tabs>
              <w:spacing w:after="0"/>
              <w:ind w:left="113"/>
            </w:pPr>
          </w:p>
        </w:tc>
        <w:tc>
          <w:tcPr>
            <w:tcW w:w="3922" w:type="dxa"/>
            <w:tcBorders>
              <w:bottom w:val="single" w:sz="4" w:space="0" w:color="auto"/>
            </w:tcBorders>
            <w:noWrap/>
          </w:tcPr>
          <w:p w:rsidR="00000000" w:rsidRDefault="00000000">
            <w:pPr>
              <w:spacing w:after="0"/>
              <w:jc w:val="center"/>
            </w:pPr>
            <w:r>
              <w:t>Teachers</w:t>
            </w:r>
          </w:p>
        </w:tc>
        <w:tc>
          <w:tcPr>
            <w:tcW w:w="1080" w:type="dxa"/>
            <w:tcBorders>
              <w:bottom w:val="single" w:sz="4" w:space="0" w:color="auto"/>
            </w:tcBorders>
            <w:noWrap/>
          </w:tcPr>
          <w:p w:rsidR="00000000" w:rsidRDefault="00000000">
            <w:pPr>
              <w:spacing w:after="0"/>
              <w:jc w:val="center"/>
            </w:pPr>
            <w:r>
              <w:t>Total</w:t>
            </w:r>
          </w:p>
        </w:tc>
        <w:tc>
          <w:tcPr>
            <w:tcW w:w="1320" w:type="dxa"/>
            <w:tcBorders>
              <w:bottom w:val="single" w:sz="4" w:space="0" w:color="auto"/>
            </w:tcBorders>
            <w:noWrap/>
          </w:tcPr>
          <w:p w:rsidR="00000000" w:rsidRDefault="00000000">
            <w:pPr>
              <w:spacing w:after="0"/>
              <w:jc w:val="center"/>
            </w:pPr>
            <w:r>
              <w:t>Females</w:t>
            </w:r>
          </w:p>
        </w:tc>
        <w:tc>
          <w:tcPr>
            <w:tcW w:w="1080" w:type="dxa"/>
            <w:tcBorders>
              <w:bottom w:val="single" w:sz="4" w:space="0" w:color="auto"/>
            </w:tcBorders>
            <w:noWrap/>
          </w:tcPr>
          <w:p w:rsidR="00000000" w:rsidRDefault="00000000">
            <w:pPr>
              <w:spacing w:after="0"/>
              <w:jc w:val="center"/>
            </w:pPr>
            <w:r>
              <w:t>Rural</w:t>
            </w:r>
          </w:p>
        </w:tc>
        <w:tc>
          <w:tcPr>
            <w:tcW w:w="1196" w:type="dxa"/>
            <w:tcBorders>
              <w:bottom w:val="single" w:sz="4" w:space="0" w:color="auto"/>
            </w:tcBorders>
            <w:noWrap/>
          </w:tcPr>
          <w:p w:rsidR="00000000" w:rsidRDefault="00000000">
            <w:pPr>
              <w:spacing w:after="0"/>
              <w:jc w:val="center"/>
            </w:pPr>
            <w:r>
              <w:t>Females</w:t>
            </w:r>
          </w:p>
        </w:tc>
      </w:tr>
      <w:tr w:rsidR="00000000">
        <w:trPr>
          <w:trHeight w:val="315"/>
        </w:trPr>
        <w:tc>
          <w:tcPr>
            <w:tcW w:w="758" w:type="dxa"/>
            <w:tcBorders>
              <w:top w:val="single" w:sz="4" w:space="0" w:color="auto"/>
              <w:bottom w:val="nil"/>
            </w:tcBorders>
            <w:noWrap/>
          </w:tcPr>
          <w:p w:rsidR="00000000" w:rsidRDefault="00000000">
            <w:pPr>
              <w:spacing w:after="0"/>
              <w:ind w:left="113"/>
            </w:pPr>
            <w:r>
              <w:t>1</w:t>
            </w:r>
          </w:p>
        </w:tc>
        <w:tc>
          <w:tcPr>
            <w:tcW w:w="3922" w:type="dxa"/>
            <w:tcBorders>
              <w:top w:val="single" w:sz="4" w:space="0" w:color="auto"/>
              <w:bottom w:val="nil"/>
            </w:tcBorders>
            <w:noWrap/>
          </w:tcPr>
          <w:p w:rsidR="00000000" w:rsidRDefault="00000000">
            <w:pPr>
              <w:spacing w:after="0"/>
            </w:pPr>
            <w:r>
              <w:t>Total number of teachers</w:t>
            </w:r>
          </w:p>
        </w:tc>
        <w:tc>
          <w:tcPr>
            <w:tcW w:w="1080" w:type="dxa"/>
            <w:tcBorders>
              <w:top w:val="single" w:sz="4" w:space="0" w:color="auto"/>
              <w:bottom w:val="nil"/>
            </w:tcBorders>
            <w:noWrap/>
          </w:tcPr>
          <w:p w:rsidR="00000000" w:rsidRDefault="00000000">
            <w:pPr>
              <w:spacing w:after="0"/>
              <w:ind w:right="170"/>
              <w:jc w:val="right"/>
            </w:pPr>
            <w:r>
              <w:t>26 208</w:t>
            </w:r>
          </w:p>
        </w:tc>
        <w:tc>
          <w:tcPr>
            <w:tcW w:w="1320" w:type="dxa"/>
            <w:tcBorders>
              <w:top w:val="single" w:sz="4" w:space="0" w:color="auto"/>
              <w:bottom w:val="nil"/>
            </w:tcBorders>
            <w:noWrap/>
          </w:tcPr>
          <w:p w:rsidR="00000000" w:rsidRDefault="00000000">
            <w:pPr>
              <w:spacing w:after="0"/>
              <w:ind w:right="227"/>
              <w:jc w:val="right"/>
            </w:pPr>
            <w:r>
              <w:t>16 963</w:t>
            </w:r>
          </w:p>
        </w:tc>
        <w:tc>
          <w:tcPr>
            <w:tcW w:w="1080" w:type="dxa"/>
            <w:tcBorders>
              <w:top w:val="single" w:sz="4" w:space="0" w:color="auto"/>
              <w:bottom w:val="nil"/>
            </w:tcBorders>
            <w:noWrap/>
          </w:tcPr>
          <w:p w:rsidR="00000000" w:rsidRDefault="00000000">
            <w:pPr>
              <w:spacing w:after="0"/>
              <w:ind w:right="170"/>
              <w:jc w:val="right"/>
            </w:pPr>
            <w:r>
              <w:t>16 706</w:t>
            </w:r>
          </w:p>
        </w:tc>
        <w:tc>
          <w:tcPr>
            <w:tcW w:w="1196" w:type="dxa"/>
            <w:tcBorders>
              <w:top w:val="single" w:sz="4" w:space="0" w:color="auto"/>
              <w:bottom w:val="nil"/>
            </w:tcBorders>
            <w:noWrap/>
          </w:tcPr>
          <w:p w:rsidR="00000000" w:rsidRDefault="00000000">
            <w:pPr>
              <w:spacing w:after="0"/>
              <w:ind w:right="284"/>
              <w:jc w:val="right"/>
            </w:pPr>
            <w:r>
              <w:t>9 492</w:t>
            </w:r>
          </w:p>
        </w:tc>
      </w:tr>
      <w:tr w:rsidR="00000000">
        <w:trPr>
          <w:trHeight w:val="300"/>
        </w:trPr>
        <w:tc>
          <w:tcPr>
            <w:tcW w:w="758" w:type="dxa"/>
            <w:tcBorders>
              <w:top w:val="nil"/>
              <w:bottom w:val="nil"/>
            </w:tcBorders>
            <w:noWrap/>
          </w:tcPr>
          <w:p w:rsidR="00000000" w:rsidRDefault="00000000">
            <w:pPr>
              <w:spacing w:after="0"/>
              <w:ind w:left="113"/>
            </w:pPr>
            <w:r>
              <w:t>(a)</w:t>
            </w:r>
          </w:p>
        </w:tc>
        <w:tc>
          <w:tcPr>
            <w:tcW w:w="3922" w:type="dxa"/>
            <w:tcBorders>
              <w:top w:val="nil"/>
              <w:bottom w:val="nil"/>
            </w:tcBorders>
            <w:noWrap/>
          </w:tcPr>
          <w:p w:rsidR="00000000" w:rsidRDefault="00000000">
            <w:pPr>
              <w:pStyle w:val="Header"/>
              <w:tabs>
                <w:tab w:val="clear" w:pos="4320"/>
                <w:tab w:val="clear" w:pos="8640"/>
              </w:tabs>
              <w:spacing w:after="0"/>
            </w:pPr>
            <w:r>
              <w:t>Graduated high school</w:t>
            </w:r>
          </w:p>
        </w:tc>
        <w:tc>
          <w:tcPr>
            <w:tcW w:w="1080" w:type="dxa"/>
            <w:tcBorders>
              <w:top w:val="nil"/>
              <w:bottom w:val="nil"/>
            </w:tcBorders>
            <w:noWrap/>
          </w:tcPr>
          <w:p w:rsidR="00000000" w:rsidRDefault="00000000">
            <w:pPr>
              <w:spacing w:after="0"/>
              <w:ind w:right="170"/>
              <w:jc w:val="right"/>
            </w:pPr>
            <w:r>
              <w:t>11 053</w:t>
            </w:r>
          </w:p>
        </w:tc>
        <w:tc>
          <w:tcPr>
            <w:tcW w:w="1320" w:type="dxa"/>
            <w:tcBorders>
              <w:top w:val="nil"/>
              <w:bottom w:val="nil"/>
            </w:tcBorders>
            <w:noWrap/>
          </w:tcPr>
          <w:p w:rsidR="00000000" w:rsidRDefault="00000000">
            <w:pPr>
              <w:spacing w:after="0"/>
              <w:ind w:right="227"/>
              <w:jc w:val="right"/>
            </w:pPr>
            <w:r>
              <w:t>7 091</w:t>
            </w:r>
          </w:p>
        </w:tc>
        <w:tc>
          <w:tcPr>
            <w:tcW w:w="1080" w:type="dxa"/>
            <w:tcBorders>
              <w:top w:val="nil"/>
              <w:bottom w:val="nil"/>
            </w:tcBorders>
            <w:noWrap/>
          </w:tcPr>
          <w:p w:rsidR="00000000" w:rsidRDefault="00000000">
            <w:pPr>
              <w:spacing w:after="0"/>
              <w:ind w:right="170"/>
              <w:jc w:val="right"/>
            </w:pPr>
            <w:r>
              <w:t>8 564</w:t>
            </w:r>
          </w:p>
        </w:tc>
        <w:tc>
          <w:tcPr>
            <w:tcW w:w="1196" w:type="dxa"/>
            <w:tcBorders>
              <w:top w:val="nil"/>
              <w:bottom w:val="nil"/>
            </w:tcBorders>
            <w:noWrap/>
          </w:tcPr>
          <w:p w:rsidR="00000000" w:rsidRDefault="00000000">
            <w:pPr>
              <w:spacing w:after="0"/>
              <w:ind w:right="284"/>
              <w:jc w:val="right"/>
            </w:pPr>
            <w:r>
              <w:t>5 091</w:t>
            </w:r>
          </w:p>
        </w:tc>
      </w:tr>
      <w:tr w:rsidR="00000000">
        <w:trPr>
          <w:trHeight w:val="300"/>
        </w:trPr>
        <w:tc>
          <w:tcPr>
            <w:tcW w:w="758" w:type="dxa"/>
            <w:tcBorders>
              <w:top w:val="nil"/>
            </w:tcBorders>
            <w:noWrap/>
          </w:tcPr>
          <w:p w:rsidR="00000000" w:rsidRDefault="00000000">
            <w:pPr>
              <w:spacing w:after="0"/>
              <w:ind w:left="113"/>
            </w:pPr>
          </w:p>
        </w:tc>
        <w:tc>
          <w:tcPr>
            <w:tcW w:w="3922" w:type="dxa"/>
            <w:tcBorders>
              <w:top w:val="nil"/>
            </w:tcBorders>
            <w:noWrap/>
          </w:tcPr>
          <w:p w:rsidR="00000000" w:rsidRDefault="00000000">
            <w:pPr>
              <w:tabs>
                <w:tab w:val="left" w:pos="227"/>
              </w:tabs>
              <w:spacing w:after="0"/>
            </w:pPr>
            <w:r>
              <w:t>Graduated in pedagogy</w:t>
            </w:r>
          </w:p>
        </w:tc>
        <w:tc>
          <w:tcPr>
            <w:tcW w:w="1080" w:type="dxa"/>
            <w:tcBorders>
              <w:top w:val="nil"/>
            </w:tcBorders>
            <w:noWrap/>
          </w:tcPr>
          <w:p w:rsidR="00000000" w:rsidRDefault="00000000">
            <w:pPr>
              <w:spacing w:after="0"/>
              <w:ind w:right="170"/>
              <w:jc w:val="right"/>
            </w:pPr>
            <w:r>
              <w:t>7 868</w:t>
            </w:r>
          </w:p>
        </w:tc>
        <w:tc>
          <w:tcPr>
            <w:tcW w:w="1320" w:type="dxa"/>
            <w:tcBorders>
              <w:top w:val="nil"/>
            </w:tcBorders>
            <w:noWrap/>
          </w:tcPr>
          <w:p w:rsidR="00000000" w:rsidRDefault="00000000">
            <w:pPr>
              <w:spacing w:after="0"/>
              <w:ind w:right="227"/>
              <w:jc w:val="right"/>
            </w:pPr>
            <w:r>
              <w:t>5 157</w:t>
            </w:r>
          </w:p>
        </w:tc>
        <w:tc>
          <w:tcPr>
            <w:tcW w:w="1080" w:type="dxa"/>
            <w:tcBorders>
              <w:top w:val="nil"/>
            </w:tcBorders>
            <w:noWrap/>
          </w:tcPr>
          <w:p w:rsidR="00000000" w:rsidRDefault="00000000">
            <w:pPr>
              <w:pStyle w:val="Header"/>
              <w:tabs>
                <w:tab w:val="clear" w:pos="4320"/>
                <w:tab w:val="clear" w:pos="8640"/>
              </w:tabs>
              <w:spacing w:after="0"/>
              <w:ind w:right="170"/>
              <w:jc w:val="right"/>
            </w:pPr>
            <w:r>
              <w:t>6 082</w:t>
            </w:r>
          </w:p>
        </w:tc>
        <w:tc>
          <w:tcPr>
            <w:tcW w:w="1196" w:type="dxa"/>
            <w:tcBorders>
              <w:top w:val="nil"/>
            </w:tcBorders>
            <w:noWrap/>
          </w:tcPr>
          <w:p w:rsidR="00000000" w:rsidRDefault="00000000">
            <w:pPr>
              <w:spacing w:after="0"/>
              <w:ind w:right="284"/>
              <w:jc w:val="right"/>
            </w:pPr>
            <w:r>
              <w:t>3 543</w:t>
            </w:r>
          </w:p>
        </w:tc>
      </w:tr>
      <w:tr w:rsidR="00000000">
        <w:trPr>
          <w:trHeight w:val="300"/>
        </w:trPr>
        <w:tc>
          <w:tcPr>
            <w:tcW w:w="758" w:type="dxa"/>
            <w:noWrap/>
          </w:tcPr>
          <w:p w:rsidR="00000000" w:rsidRDefault="00000000">
            <w:pPr>
              <w:spacing w:after="0"/>
              <w:ind w:left="113"/>
            </w:pPr>
            <w:r>
              <w:t>(b)</w:t>
            </w:r>
          </w:p>
        </w:tc>
        <w:tc>
          <w:tcPr>
            <w:tcW w:w="3922" w:type="dxa"/>
            <w:noWrap/>
          </w:tcPr>
          <w:p w:rsidR="00000000" w:rsidRDefault="00000000">
            <w:pPr>
              <w:pStyle w:val="Header"/>
              <w:tabs>
                <w:tab w:val="clear" w:pos="4320"/>
                <w:tab w:val="clear" w:pos="8640"/>
              </w:tabs>
              <w:spacing w:after="0"/>
            </w:pPr>
            <w:r>
              <w:t>University graduates</w:t>
            </w:r>
          </w:p>
        </w:tc>
        <w:tc>
          <w:tcPr>
            <w:tcW w:w="1080" w:type="dxa"/>
            <w:noWrap/>
          </w:tcPr>
          <w:p w:rsidR="00000000" w:rsidRDefault="00000000">
            <w:pPr>
              <w:spacing w:after="0"/>
              <w:ind w:right="170"/>
              <w:jc w:val="right"/>
            </w:pPr>
            <w:r>
              <w:t>15 155</w:t>
            </w:r>
          </w:p>
        </w:tc>
        <w:tc>
          <w:tcPr>
            <w:tcW w:w="1320" w:type="dxa"/>
            <w:noWrap/>
          </w:tcPr>
          <w:p w:rsidR="00000000" w:rsidRDefault="00000000">
            <w:pPr>
              <w:spacing w:after="0"/>
              <w:ind w:right="227"/>
              <w:jc w:val="right"/>
            </w:pPr>
            <w:r>
              <w:t>9 872</w:t>
            </w:r>
          </w:p>
        </w:tc>
        <w:tc>
          <w:tcPr>
            <w:tcW w:w="1080" w:type="dxa"/>
            <w:noWrap/>
          </w:tcPr>
          <w:p w:rsidR="00000000" w:rsidRDefault="00000000">
            <w:pPr>
              <w:spacing w:after="0"/>
              <w:ind w:right="170"/>
              <w:jc w:val="right"/>
            </w:pPr>
            <w:r>
              <w:t>8 142</w:t>
            </w:r>
          </w:p>
        </w:tc>
        <w:tc>
          <w:tcPr>
            <w:tcW w:w="1196" w:type="dxa"/>
            <w:noWrap/>
          </w:tcPr>
          <w:p w:rsidR="00000000" w:rsidRDefault="00000000">
            <w:pPr>
              <w:spacing w:after="0"/>
              <w:ind w:right="284"/>
              <w:jc w:val="right"/>
            </w:pPr>
            <w:r>
              <w:t>4 401</w:t>
            </w:r>
          </w:p>
        </w:tc>
      </w:tr>
      <w:tr w:rsidR="00000000">
        <w:trPr>
          <w:trHeight w:val="315"/>
        </w:trPr>
        <w:tc>
          <w:tcPr>
            <w:tcW w:w="758" w:type="dxa"/>
            <w:noWrap/>
          </w:tcPr>
          <w:p w:rsidR="00000000" w:rsidRDefault="00000000">
            <w:pPr>
              <w:spacing w:after="0"/>
              <w:ind w:left="113"/>
            </w:pPr>
            <w:r>
              <w:t>2</w:t>
            </w:r>
          </w:p>
        </w:tc>
        <w:tc>
          <w:tcPr>
            <w:tcW w:w="3922" w:type="dxa"/>
            <w:noWrap/>
          </w:tcPr>
          <w:p w:rsidR="00000000" w:rsidRDefault="00000000">
            <w:pPr>
              <w:spacing w:after="0"/>
            </w:pPr>
            <w:r>
              <w:t>Lower cycle teachers</w:t>
            </w:r>
          </w:p>
        </w:tc>
        <w:tc>
          <w:tcPr>
            <w:tcW w:w="1080" w:type="dxa"/>
            <w:noWrap/>
          </w:tcPr>
          <w:p w:rsidR="00000000" w:rsidRDefault="00000000">
            <w:pPr>
              <w:spacing w:after="0"/>
              <w:ind w:right="170"/>
              <w:jc w:val="right"/>
            </w:pPr>
            <w:r>
              <w:t>10 889</w:t>
            </w:r>
          </w:p>
        </w:tc>
        <w:tc>
          <w:tcPr>
            <w:tcW w:w="1320" w:type="dxa"/>
            <w:noWrap/>
          </w:tcPr>
          <w:p w:rsidR="00000000" w:rsidRDefault="00000000">
            <w:pPr>
              <w:spacing w:after="0"/>
              <w:ind w:right="227"/>
              <w:jc w:val="right"/>
            </w:pPr>
            <w:r>
              <w:t>8 207</w:t>
            </w:r>
          </w:p>
        </w:tc>
        <w:tc>
          <w:tcPr>
            <w:tcW w:w="1080" w:type="dxa"/>
            <w:noWrap/>
          </w:tcPr>
          <w:p w:rsidR="00000000" w:rsidRDefault="00000000">
            <w:pPr>
              <w:spacing w:after="0"/>
              <w:ind w:right="170"/>
              <w:jc w:val="right"/>
            </w:pPr>
            <w:r>
              <w:t>7 346</w:t>
            </w:r>
          </w:p>
        </w:tc>
        <w:tc>
          <w:tcPr>
            <w:tcW w:w="1196" w:type="dxa"/>
            <w:noWrap/>
          </w:tcPr>
          <w:p w:rsidR="00000000" w:rsidRDefault="00000000">
            <w:pPr>
              <w:spacing w:after="0"/>
              <w:ind w:right="284"/>
              <w:jc w:val="right"/>
            </w:pPr>
            <w:r>
              <w:t>4 968</w:t>
            </w:r>
          </w:p>
        </w:tc>
      </w:tr>
      <w:tr w:rsidR="00000000">
        <w:trPr>
          <w:trHeight w:val="315"/>
        </w:trPr>
        <w:tc>
          <w:tcPr>
            <w:tcW w:w="758" w:type="dxa"/>
            <w:noWrap/>
          </w:tcPr>
          <w:p w:rsidR="00000000" w:rsidRDefault="00000000">
            <w:pPr>
              <w:spacing w:after="0"/>
              <w:ind w:left="113"/>
            </w:pPr>
            <w:r>
              <w:t>2.1</w:t>
            </w:r>
          </w:p>
        </w:tc>
        <w:tc>
          <w:tcPr>
            <w:tcW w:w="3922" w:type="dxa"/>
            <w:noWrap/>
          </w:tcPr>
          <w:p w:rsidR="00000000" w:rsidRDefault="00000000">
            <w:pPr>
              <w:spacing w:after="0"/>
            </w:pPr>
            <w:r>
              <w:t>Separate classes within lower cycle</w:t>
            </w:r>
          </w:p>
        </w:tc>
        <w:tc>
          <w:tcPr>
            <w:tcW w:w="1080" w:type="dxa"/>
            <w:noWrap/>
          </w:tcPr>
          <w:p w:rsidR="00000000" w:rsidRDefault="00000000">
            <w:pPr>
              <w:spacing w:after="0"/>
              <w:ind w:right="170"/>
              <w:jc w:val="right"/>
            </w:pPr>
            <w:r>
              <w:t>8 351</w:t>
            </w:r>
          </w:p>
        </w:tc>
        <w:tc>
          <w:tcPr>
            <w:tcW w:w="1320" w:type="dxa"/>
            <w:noWrap/>
          </w:tcPr>
          <w:p w:rsidR="00000000" w:rsidRDefault="00000000">
            <w:pPr>
              <w:spacing w:after="0"/>
              <w:ind w:right="227"/>
              <w:jc w:val="right"/>
            </w:pPr>
            <w:r>
              <w:t>6 743</w:t>
            </w:r>
          </w:p>
        </w:tc>
        <w:tc>
          <w:tcPr>
            <w:tcW w:w="1080" w:type="dxa"/>
            <w:noWrap/>
          </w:tcPr>
          <w:p w:rsidR="00000000" w:rsidRDefault="00000000">
            <w:pPr>
              <w:spacing w:after="0"/>
              <w:ind w:right="170"/>
              <w:jc w:val="right"/>
            </w:pPr>
            <w:r>
              <w:t>4 900</w:t>
            </w:r>
          </w:p>
        </w:tc>
        <w:tc>
          <w:tcPr>
            <w:tcW w:w="1196" w:type="dxa"/>
            <w:noWrap/>
          </w:tcPr>
          <w:p w:rsidR="00000000" w:rsidRDefault="00000000">
            <w:pPr>
              <w:spacing w:after="0"/>
              <w:ind w:right="284"/>
              <w:jc w:val="right"/>
            </w:pPr>
            <w:r>
              <w:t>3 576</w:t>
            </w:r>
          </w:p>
        </w:tc>
      </w:tr>
      <w:tr w:rsidR="00000000">
        <w:trPr>
          <w:trHeight w:val="300"/>
        </w:trPr>
        <w:tc>
          <w:tcPr>
            <w:tcW w:w="758" w:type="dxa"/>
            <w:noWrap/>
          </w:tcPr>
          <w:p w:rsidR="00000000" w:rsidRDefault="00000000">
            <w:pPr>
              <w:spacing w:after="0"/>
              <w:ind w:left="113"/>
            </w:pPr>
            <w:r>
              <w:t>(a)</w:t>
            </w:r>
          </w:p>
        </w:tc>
        <w:tc>
          <w:tcPr>
            <w:tcW w:w="3922" w:type="dxa"/>
            <w:noWrap/>
          </w:tcPr>
          <w:p w:rsidR="00000000" w:rsidRDefault="00000000">
            <w:pPr>
              <w:spacing w:after="0"/>
            </w:pPr>
            <w:r>
              <w:t>High school graduates</w:t>
            </w:r>
          </w:p>
        </w:tc>
        <w:tc>
          <w:tcPr>
            <w:tcW w:w="1080" w:type="dxa"/>
            <w:noWrap/>
          </w:tcPr>
          <w:p w:rsidR="00000000" w:rsidRDefault="00000000">
            <w:pPr>
              <w:spacing w:after="0"/>
              <w:ind w:right="170"/>
              <w:jc w:val="right"/>
            </w:pPr>
            <w:r>
              <w:t>5 131</w:t>
            </w:r>
          </w:p>
        </w:tc>
        <w:tc>
          <w:tcPr>
            <w:tcW w:w="1320" w:type="dxa"/>
            <w:noWrap/>
          </w:tcPr>
          <w:p w:rsidR="00000000" w:rsidRDefault="00000000">
            <w:pPr>
              <w:spacing w:after="0"/>
              <w:ind w:right="227"/>
              <w:jc w:val="right"/>
            </w:pPr>
            <w:r>
              <w:t>3 877</w:t>
            </w:r>
          </w:p>
        </w:tc>
        <w:tc>
          <w:tcPr>
            <w:tcW w:w="1080" w:type="dxa"/>
            <w:noWrap/>
          </w:tcPr>
          <w:p w:rsidR="00000000" w:rsidRDefault="00000000">
            <w:pPr>
              <w:spacing w:after="0"/>
              <w:ind w:right="170"/>
              <w:jc w:val="right"/>
            </w:pPr>
            <w:r>
              <w:t>3 541</w:t>
            </w:r>
          </w:p>
        </w:tc>
        <w:tc>
          <w:tcPr>
            <w:tcW w:w="1196" w:type="dxa"/>
            <w:noWrap/>
          </w:tcPr>
          <w:p w:rsidR="00000000" w:rsidRDefault="00000000">
            <w:pPr>
              <w:spacing w:after="0"/>
              <w:ind w:right="284"/>
              <w:jc w:val="right"/>
            </w:pPr>
            <w:r>
              <w:t>2 451</w:t>
            </w:r>
          </w:p>
        </w:tc>
      </w:tr>
      <w:tr w:rsidR="00000000">
        <w:trPr>
          <w:trHeight w:val="300"/>
        </w:trPr>
        <w:tc>
          <w:tcPr>
            <w:tcW w:w="758" w:type="dxa"/>
            <w:noWrap/>
          </w:tcPr>
          <w:p w:rsidR="00000000" w:rsidRDefault="00000000">
            <w:pPr>
              <w:spacing w:after="0"/>
              <w:ind w:left="113"/>
            </w:pPr>
          </w:p>
        </w:tc>
        <w:tc>
          <w:tcPr>
            <w:tcW w:w="3922" w:type="dxa"/>
            <w:noWrap/>
          </w:tcPr>
          <w:p w:rsidR="00000000" w:rsidRDefault="00000000">
            <w:pPr>
              <w:tabs>
                <w:tab w:val="left" w:pos="227"/>
              </w:tabs>
              <w:spacing w:after="0"/>
            </w:pPr>
            <w:r>
              <w:t>Graduated in pedagogy</w:t>
            </w:r>
          </w:p>
        </w:tc>
        <w:tc>
          <w:tcPr>
            <w:tcW w:w="1080" w:type="dxa"/>
            <w:noWrap/>
          </w:tcPr>
          <w:p w:rsidR="00000000" w:rsidRDefault="00000000">
            <w:pPr>
              <w:spacing w:after="0"/>
              <w:ind w:right="170"/>
              <w:jc w:val="right"/>
            </w:pPr>
            <w:r>
              <w:t>4 624</w:t>
            </w:r>
          </w:p>
        </w:tc>
        <w:tc>
          <w:tcPr>
            <w:tcW w:w="1320" w:type="dxa"/>
            <w:noWrap/>
          </w:tcPr>
          <w:p w:rsidR="00000000" w:rsidRDefault="00000000">
            <w:pPr>
              <w:spacing w:after="0"/>
              <w:ind w:right="227"/>
              <w:jc w:val="right"/>
            </w:pPr>
            <w:r>
              <w:t>3 539</w:t>
            </w:r>
          </w:p>
        </w:tc>
        <w:tc>
          <w:tcPr>
            <w:tcW w:w="1080" w:type="dxa"/>
            <w:noWrap/>
          </w:tcPr>
          <w:p w:rsidR="00000000" w:rsidRDefault="00000000">
            <w:pPr>
              <w:spacing w:after="0"/>
              <w:ind w:right="170"/>
              <w:jc w:val="right"/>
            </w:pPr>
            <w:r>
              <w:t>3 068</w:t>
            </w:r>
          </w:p>
        </w:tc>
        <w:tc>
          <w:tcPr>
            <w:tcW w:w="1196" w:type="dxa"/>
            <w:noWrap/>
          </w:tcPr>
          <w:p w:rsidR="00000000" w:rsidRDefault="00000000">
            <w:pPr>
              <w:spacing w:after="0"/>
              <w:ind w:right="284"/>
              <w:jc w:val="right"/>
            </w:pPr>
            <w:r>
              <w:t>2 077</w:t>
            </w:r>
          </w:p>
        </w:tc>
      </w:tr>
      <w:tr w:rsidR="00000000">
        <w:trPr>
          <w:trHeight w:val="300"/>
        </w:trPr>
        <w:tc>
          <w:tcPr>
            <w:tcW w:w="758" w:type="dxa"/>
            <w:tcBorders>
              <w:bottom w:val="nil"/>
            </w:tcBorders>
            <w:noWrap/>
          </w:tcPr>
          <w:p w:rsidR="00000000" w:rsidRDefault="00000000">
            <w:pPr>
              <w:spacing w:after="0"/>
              <w:ind w:left="113"/>
            </w:pPr>
            <w:r>
              <w:t>(b)</w:t>
            </w:r>
          </w:p>
        </w:tc>
        <w:tc>
          <w:tcPr>
            <w:tcW w:w="3922" w:type="dxa"/>
            <w:tcBorders>
              <w:bottom w:val="nil"/>
            </w:tcBorders>
            <w:noWrap/>
          </w:tcPr>
          <w:p w:rsidR="00000000" w:rsidRDefault="00000000">
            <w:pPr>
              <w:spacing w:after="0"/>
            </w:pPr>
            <w:r>
              <w:t>University graduates</w:t>
            </w:r>
          </w:p>
        </w:tc>
        <w:tc>
          <w:tcPr>
            <w:tcW w:w="1080" w:type="dxa"/>
            <w:tcBorders>
              <w:bottom w:val="nil"/>
            </w:tcBorders>
            <w:noWrap/>
          </w:tcPr>
          <w:p w:rsidR="00000000" w:rsidRDefault="00000000">
            <w:pPr>
              <w:spacing w:after="0"/>
              <w:ind w:right="170"/>
              <w:jc w:val="right"/>
            </w:pPr>
            <w:r>
              <w:t>3 220</w:t>
            </w:r>
          </w:p>
        </w:tc>
        <w:tc>
          <w:tcPr>
            <w:tcW w:w="1320" w:type="dxa"/>
            <w:tcBorders>
              <w:bottom w:val="nil"/>
            </w:tcBorders>
            <w:noWrap/>
          </w:tcPr>
          <w:p w:rsidR="00000000" w:rsidRDefault="00000000">
            <w:pPr>
              <w:spacing w:after="0"/>
              <w:ind w:right="227"/>
              <w:jc w:val="right"/>
            </w:pPr>
            <w:r>
              <w:t>2 866</w:t>
            </w:r>
          </w:p>
        </w:tc>
        <w:tc>
          <w:tcPr>
            <w:tcW w:w="1080" w:type="dxa"/>
            <w:tcBorders>
              <w:bottom w:val="nil"/>
            </w:tcBorders>
            <w:noWrap/>
          </w:tcPr>
          <w:p w:rsidR="00000000" w:rsidRDefault="00000000">
            <w:pPr>
              <w:spacing w:after="0"/>
              <w:ind w:right="170"/>
              <w:jc w:val="right"/>
            </w:pPr>
            <w:r>
              <w:t>1 359</w:t>
            </w:r>
          </w:p>
        </w:tc>
        <w:tc>
          <w:tcPr>
            <w:tcW w:w="1196" w:type="dxa"/>
            <w:tcBorders>
              <w:bottom w:val="nil"/>
            </w:tcBorders>
            <w:noWrap/>
          </w:tcPr>
          <w:p w:rsidR="00000000" w:rsidRDefault="00000000">
            <w:pPr>
              <w:spacing w:after="0"/>
              <w:ind w:right="284"/>
              <w:jc w:val="right"/>
            </w:pPr>
            <w:r>
              <w:t>1 125</w:t>
            </w:r>
          </w:p>
        </w:tc>
      </w:tr>
      <w:tr w:rsidR="00000000">
        <w:trPr>
          <w:trHeight w:val="315"/>
        </w:trPr>
        <w:tc>
          <w:tcPr>
            <w:tcW w:w="758" w:type="dxa"/>
            <w:tcBorders>
              <w:top w:val="nil"/>
              <w:bottom w:val="nil"/>
            </w:tcBorders>
            <w:noWrap/>
          </w:tcPr>
          <w:p w:rsidR="00000000" w:rsidRDefault="00000000">
            <w:pPr>
              <w:spacing w:after="0"/>
              <w:ind w:left="113"/>
            </w:pPr>
            <w:r>
              <w:t>2.2</w:t>
            </w:r>
          </w:p>
        </w:tc>
        <w:tc>
          <w:tcPr>
            <w:tcW w:w="3922" w:type="dxa"/>
            <w:tcBorders>
              <w:top w:val="nil"/>
              <w:bottom w:val="nil"/>
            </w:tcBorders>
            <w:noWrap/>
          </w:tcPr>
          <w:p w:rsidR="00000000" w:rsidRDefault="00000000">
            <w:pPr>
              <w:spacing w:after="0"/>
            </w:pPr>
            <w:r>
              <w:t>Combined classes within lower cycle</w:t>
            </w:r>
          </w:p>
        </w:tc>
        <w:tc>
          <w:tcPr>
            <w:tcW w:w="1080" w:type="dxa"/>
            <w:tcBorders>
              <w:top w:val="nil"/>
              <w:bottom w:val="nil"/>
            </w:tcBorders>
            <w:noWrap/>
          </w:tcPr>
          <w:p w:rsidR="00000000" w:rsidRDefault="00000000">
            <w:pPr>
              <w:spacing w:after="0"/>
              <w:ind w:right="170"/>
              <w:jc w:val="right"/>
            </w:pPr>
            <w:r>
              <w:t>2 538</w:t>
            </w:r>
          </w:p>
        </w:tc>
        <w:tc>
          <w:tcPr>
            <w:tcW w:w="1320" w:type="dxa"/>
            <w:tcBorders>
              <w:top w:val="nil"/>
              <w:bottom w:val="nil"/>
            </w:tcBorders>
            <w:noWrap/>
          </w:tcPr>
          <w:p w:rsidR="00000000" w:rsidRDefault="00000000">
            <w:pPr>
              <w:spacing w:after="0"/>
              <w:ind w:right="227"/>
              <w:jc w:val="right"/>
            </w:pPr>
            <w:r>
              <w:t>1 464</w:t>
            </w:r>
          </w:p>
        </w:tc>
        <w:tc>
          <w:tcPr>
            <w:tcW w:w="1080" w:type="dxa"/>
            <w:tcBorders>
              <w:top w:val="nil"/>
              <w:bottom w:val="nil"/>
            </w:tcBorders>
            <w:noWrap/>
          </w:tcPr>
          <w:p w:rsidR="00000000" w:rsidRDefault="00000000">
            <w:pPr>
              <w:spacing w:after="0"/>
              <w:ind w:right="170"/>
              <w:jc w:val="right"/>
            </w:pPr>
            <w:r>
              <w:t>2 446</w:t>
            </w:r>
          </w:p>
        </w:tc>
        <w:tc>
          <w:tcPr>
            <w:tcW w:w="1196" w:type="dxa"/>
            <w:tcBorders>
              <w:top w:val="nil"/>
              <w:bottom w:val="nil"/>
            </w:tcBorders>
            <w:noWrap/>
          </w:tcPr>
          <w:p w:rsidR="00000000" w:rsidRDefault="00000000">
            <w:pPr>
              <w:spacing w:after="0"/>
              <w:ind w:right="284"/>
              <w:jc w:val="right"/>
            </w:pPr>
            <w:r>
              <w:t>1 392</w:t>
            </w:r>
          </w:p>
        </w:tc>
      </w:tr>
      <w:tr w:rsidR="00000000">
        <w:trPr>
          <w:trHeight w:val="315"/>
        </w:trPr>
        <w:tc>
          <w:tcPr>
            <w:tcW w:w="758" w:type="dxa"/>
            <w:tcBorders>
              <w:top w:val="nil"/>
              <w:bottom w:val="nil"/>
            </w:tcBorders>
            <w:noWrap/>
          </w:tcPr>
          <w:p w:rsidR="00000000" w:rsidRDefault="00000000">
            <w:pPr>
              <w:spacing w:after="0"/>
              <w:ind w:left="113"/>
            </w:pPr>
            <w:r>
              <w:t>3</w:t>
            </w:r>
          </w:p>
        </w:tc>
        <w:tc>
          <w:tcPr>
            <w:tcW w:w="3922" w:type="dxa"/>
            <w:tcBorders>
              <w:top w:val="nil"/>
              <w:bottom w:val="nil"/>
            </w:tcBorders>
            <w:noWrap/>
          </w:tcPr>
          <w:p w:rsidR="00000000" w:rsidRDefault="00000000">
            <w:pPr>
              <w:spacing w:after="0"/>
            </w:pPr>
            <w:r>
              <w:t>Teachers in higher cycle</w:t>
            </w:r>
          </w:p>
        </w:tc>
        <w:tc>
          <w:tcPr>
            <w:tcW w:w="1080" w:type="dxa"/>
            <w:tcBorders>
              <w:top w:val="nil"/>
              <w:bottom w:val="nil"/>
            </w:tcBorders>
            <w:noWrap/>
          </w:tcPr>
          <w:p w:rsidR="00000000" w:rsidRDefault="00000000">
            <w:pPr>
              <w:spacing w:after="0"/>
              <w:ind w:right="170"/>
              <w:jc w:val="right"/>
            </w:pPr>
            <w:r>
              <w:t>15 319</w:t>
            </w:r>
          </w:p>
        </w:tc>
        <w:tc>
          <w:tcPr>
            <w:tcW w:w="1320" w:type="dxa"/>
            <w:tcBorders>
              <w:top w:val="nil"/>
              <w:bottom w:val="nil"/>
            </w:tcBorders>
            <w:noWrap/>
          </w:tcPr>
          <w:p w:rsidR="00000000" w:rsidRDefault="00000000">
            <w:pPr>
              <w:spacing w:after="0"/>
              <w:ind w:right="227"/>
              <w:jc w:val="right"/>
            </w:pPr>
            <w:r>
              <w:t>8 756</w:t>
            </w:r>
          </w:p>
        </w:tc>
        <w:tc>
          <w:tcPr>
            <w:tcW w:w="1080" w:type="dxa"/>
            <w:tcBorders>
              <w:top w:val="nil"/>
              <w:bottom w:val="nil"/>
            </w:tcBorders>
            <w:noWrap/>
          </w:tcPr>
          <w:p w:rsidR="00000000" w:rsidRDefault="00000000">
            <w:pPr>
              <w:spacing w:after="0"/>
              <w:ind w:right="170"/>
              <w:jc w:val="right"/>
            </w:pPr>
            <w:r>
              <w:t>9 360</w:t>
            </w:r>
          </w:p>
        </w:tc>
        <w:tc>
          <w:tcPr>
            <w:tcW w:w="1196" w:type="dxa"/>
            <w:tcBorders>
              <w:top w:val="nil"/>
              <w:bottom w:val="nil"/>
            </w:tcBorders>
            <w:noWrap/>
          </w:tcPr>
          <w:p w:rsidR="00000000" w:rsidRDefault="00000000">
            <w:pPr>
              <w:spacing w:after="0"/>
              <w:ind w:right="284"/>
              <w:jc w:val="right"/>
            </w:pPr>
            <w:r>
              <w:t>4 524</w:t>
            </w:r>
          </w:p>
        </w:tc>
      </w:tr>
      <w:tr w:rsidR="00000000">
        <w:trPr>
          <w:trHeight w:val="300"/>
        </w:trPr>
        <w:tc>
          <w:tcPr>
            <w:tcW w:w="758" w:type="dxa"/>
            <w:tcBorders>
              <w:top w:val="nil"/>
            </w:tcBorders>
            <w:noWrap/>
          </w:tcPr>
          <w:p w:rsidR="00000000" w:rsidRDefault="00000000">
            <w:pPr>
              <w:spacing w:after="0"/>
              <w:ind w:left="113"/>
            </w:pPr>
            <w:r>
              <w:t>(a)</w:t>
            </w:r>
          </w:p>
        </w:tc>
        <w:tc>
          <w:tcPr>
            <w:tcW w:w="3922" w:type="dxa"/>
            <w:tcBorders>
              <w:top w:val="nil"/>
            </w:tcBorders>
            <w:noWrap/>
          </w:tcPr>
          <w:p w:rsidR="00000000" w:rsidRDefault="00000000">
            <w:pPr>
              <w:spacing w:after="0"/>
            </w:pPr>
            <w:r>
              <w:t>High school graduates</w:t>
            </w:r>
          </w:p>
        </w:tc>
        <w:tc>
          <w:tcPr>
            <w:tcW w:w="1080" w:type="dxa"/>
            <w:tcBorders>
              <w:top w:val="nil"/>
            </w:tcBorders>
            <w:noWrap/>
          </w:tcPr>
          <w:p w:rsidR="00000000" w:rsidRDefault="00000000">
            <w:pPr>
              <w:spacing w:after="0"/>
              <w:ind w:right="170"/>
              <w:jc w:val="right"/>
            </w:pPr>
            <w:r>
              <w:t>3 876</w:t>
            </w:r>
          </w:p>
        </w:tc>
        <w:tc>
          <w:tcPr>
            <w:tcW w:w="1320" w:type="dxa"/>
            <w:tcBorders>
              <w:top w:val="nil"/>
            </w:tcBorders>
            <w:noWrap/>
          </w:tcPr>
          <w:p w:rsidR="00000000" w:rsidRDefault="00000000">
            <w:pPr>
              <w:spacing w:after="0"/>
              <w:ind w:right="227"/>
              <w:jc w:val="right"/>
            </w:pPr>
            <w:r>
              <w:t>2 065</w:t>
            </w:r>
          </w:p>
        </w:tc>
        <w:tc>
          <w:tcPr>
            <w:tcW w:w="1080" w:type="dxa"/>
            <w:tcBorders>
              <w:top w:val="nil"/>
            </w:tcBorders>
            <w:noWrap/>
          </w:tcPr>
          <w:p w:rsidR="00000000" w:rsidRDefault="00000000">
            <w:pPr>
              <w:spacing w:after="0"/>
              <w:ind w:right="170"/>
              <w:jc w:val="right"/>
            </w:pPr>
            <w:r>
              <w:t>3 034</w:t>
            </w:r>
          </w:p>
        </w:tc>
        <w:tc>
          <w:tcPr>
            <w:tcW w:w="1196" w:type="dxa"/>
            <w:tcBorders>
              <w:top w:val="nil"/>
            </w:tcBorders>
            <w:noWrap/>
          </w:tcPr>
          <w:p w:rsidR="00000000" w:rsidRDefault="00000000">
            <w:pPr>
              <w:spacing w:after="0"/>
              <w:ind w:right="284"/>
              <w:jc w:val="right"/>
            </w:pPr>
            <w:r>
              <w:t>1 533</w:t>
            </w:r>
          </w:p>
        </w:tc>
      </w:tr>
      <w:tr w:rsidR="00000000">
        <w:trPr>
          <w:trHeight w:val="300"/>
        </w:trPr>
        <w:tc>
          <w:tcPr>
            <w:tcW w:w="758" w:type="dxa"/>
            <w:noWrap/>
          </w:tcPr>
          <w:p w:rsidR="00000000" w:rsidRDefault="00000000">
            <w:pPr>
              <w:spacing w:after="0"/>
              <w:ind w:left="113"/>
            </w:pPr>
          </w:p>
        </w:tc>
        <w:tc>
          <w:tcPr>
            <w:tcW w:w="3922" w:type="dxa"/>
            <w:noWrap/>
          </w:tcPr>
          <w:p w:rsidR="00000000" w:rsidRDefault="00000000">
            <w:pPr>
              <w:tabs>
                <w:tab w:val="left" w:pos="227"/>
              </w:tabs>
              <w:spacing w:after="0"/>
            </w:pPr>
            <w:r>
              <w:t>Graduated in pedagogy</w:t>
            </w:r>
          </w:p>
        </w:tc>
        <w:tc>
          <w:tcPr>
            <w:tcW w:w="1080" w:type="dxa"/>
            <w:noWrap/>
          </w:tcPr>
          <w:p w:rsidR="00000000" w:rsidRDefault="00000000">
            <w:pPr>
              <w:spacing w:after="0"/>
              <w:ind w:right="170"/>
              <w:jc w:val="right"/>
            </w:pPr>
            <w:r>
              <w:t>1 771</w:t>
            </w:r>
          </w:p>
        </w:tc>
        <w:tc>
          <w:tcPr>
            <w:tcW w:w="1320" w:type="dxa"/>
            <w:noWrap/>
          </w:tcPr>
          <w:p w:rsidR="00000000" w:rsidRDefault="00000000">
            <w:pPr>
              <w:spacing w:after="0"/>
              <w:ind w:right="227"/>
              <w:jc w:val="right"/>
            </w:pPr>
            <w:r>
              <w:t>811</w:t>
            </w:r>
          </w:p>
        </w:tc>
        <w:tc>
          <w:tcPr>
            <w:tcW w:w="1080" w:type="dxa"/>
            <w:noWrap/>
          </w:tcPr>
          <w:p w:rsidR="00000000" w:rsidRDefault="00000000">
            <w:pPr>
              <w:spacing w:after="0"/>
              <w:ind w:right="170"/>
              <w:jc w:val="right"/>
            </w:pPr>
            <w:r>
              <w:t>1 567</w:t>
            </w:r>
          </w:p>
        </w:tc>
        <w:tc>
          <w:tcPr>
            <w:tcW w:w="1196" w:type="dxa"/>
            <w:noWrap/>
          </w:tcPr>
          <w:p w:rsidR="00000000" w:rsidRDefault="00000000">
            <w:pPr>
              <w:spacing w:after="0"/>
              <w:ind w:right="284"/>
              <w:jc w:val="right"/>
            </w:pPr>
            <w:r>
              <w:t>679</w:t>
            </w:r>
          </w:p>
        </w:tc>
      </w:tr>
      <w:tr w:rsidR="00000000">
        <w:trPr>
          <w:trHeight w:val="300"/>
        </w:trPr>
        <w:tc>
          <w:tcPr>
            <w:tcW w:w="758" w:type="dxa"/>
            <w:noWrap/>
          </w:tcPr>
          <w:p w:rsidR="00000000" w:rsidRDefault="00000000">
            <w:pPr>
              <w:spacing w:after="0"/>
              <w:ind w:left="113"/>
            </w:pPr>
            <w:r>
              <w:t>(b)</w:t>
            </w:r>
          </w:p>
        </w:tc>
        <w:tc>
          <w:tcPr>
            <w:tcW w:w="3922" w:type="dxa"/>
            <w:noWrap/>
          </w:tcPr>
          <w:p w:rsidR="00000000" w:rsidRDefault="00000000">
            <w:pPr>
              <w:spacing w:after="0"/>
            </w:pPr>
            <w:r>
              <w:t>University graduates</w:t>
            </w:r>
          </w:p>
        </w:tc>
        <w:tc>
          <w:tcPr>
            <w:tcW w:w="1080" w:type="dxa"/>
            <w:noWrap/>
          </w:tcPr>
          <w:p w:rsidR="00000000" w:rsidRDefault="00000000">
            <w:pPr>
              <w:spacing w:after="0"/>
              <w:ind w:right="170"/>
              <w:jc w:val="right"/>
            </w:pPr>
            <w:r>
              <w:t>11 443</w:t>
            </w:r>
          </w:p>
        </w:tc>
        <w:tc>
          <w:tcPr>
            <w:tcW w:w="1320" w:type="dxa"/>
            <w:noWrap/>
          </w:tcPr>
          <w:p w:rsidR="00000000" w:rsidRDefault="00000000">
            <w:pPr>
              <w:spacing w:after="0"/>
              <w:ind w:right="227"/>
              <w:jc w:val="right"/>
            </w:pPr>
            <w:r>
              <w:t>6 691</w:t>
            </w:r>
          </w:p>
        </w:tc>
        <w:tc>
          <w:tcPr>
            <w:tcW w:w="1080" w:type="dxa"/>
            <w:noWrap/>
          </w:tcPr>
          <w:p w:rsidR="00000000" w:rsidRDefault="00000000">
            <w:pPr>
              <w:spacing w:after="0"/>
              <w:ind w:right="170"/>
              <w:jc w:val="right"/>
            </w:pPr>
            <w:r>
              <w:t>6 326</w:t>
            </w:r>
          </w:p>
        </w:tc>
        <w:tc>
          <w:tcPr>
            <w:tcW w:w="1196" w:type="dxa"/>
            <w:noWrap/>
          </w:tcPr>
          <w:p w:rsidR="00000000" w:rsidRDefault="00000000">
            <w:pPr>
              <w:spacing w:after="0"/>
              <w:ind w:right="284"/>
              <w:jc w:val="right"/>
            </w:pPr>
            <w:r>
              <w:t>2 991</w:t>
            </w:r>
          </w:p>
        </w:tc>
      </w:tr>
    </w:tbl>
    <w:p w:rsidR="00000000" w:rsidRDefault="00000000">
      <w:pPr>
        <w:pStyle w:val="Header"/>
        <w:tabs>
          <w:tab w:val="clear" w:pos="4320"/>
          <w:tab w:val="clear" w:pos="8640"/>
        </w:tabs>
        <w:spacing w:after="480"/>
      </w:pPr>
    </w:p>
    <w:p w:rsidR="00000000" w:rsidRDefault="00000000">
      <w:pPr>
        <w:pStyle w:val="ParaNo"/>
        <w:ind w:left="0" w:firstLine="0"/>
        <w:rPr>
          <w:lang w:val="en-GB"/>
        </w:rPr>
      </w:pPr>
      <w:r>
        <w:rPr>
          <w:lang w:val="en-GB"/>
        </w:rPr>
        <w:t>For persons who have not completed their eight-year education for various reasons, proper measures have been taken so they can complete it.  This was enabled by establishing special schools for this category of persons.  Currently in each main city of the country such kind of schools have been established.</w:t>
      </w:r>
    </w:p>
    <w:p w:rsidR="00000000" w:rsidRDefault="00000000">
      <w:pPr>
        <w:pStyle w:val="Heading3"/>
      </w:pPr>
      <w:r>
        <w:t>High schools</w:t>
      </w:r>
    </w:p>
    <w:p w:rsidR="00000000" w:rsidRDefault="00000000">
      <w:pPr>
        <w:pStyle w:val="Heading2"/>
      </w:pPr>
      <w:r>
        <w:t>Table 54</w:t>
      </w:r>
    </w:p>
    <w:p w:rsidR="00000000" w:rsidRDefault="00000000">
      <w:pPr>
        <w:pStyle w:val="Heading2"/>
      </w:pPr>
      <w:r>
        <w:t>Statistics on the number of schools, 2003/04</w:t>
      </w:r>
    </w:p>
    <w:tbl>
      <w:tblPr>
        <w:tblW w:w="937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28" w:type="dxa"/>
        </w:tblCellMar>
        <w:tblLook w:val="0000" w:firstRow="0" w:lastRow="0" w:firstColumn="0" w:lastColumn="0" w:noHBand="0" w:noVBand="0"/>
      </w:tblPr>
      <w:tblGrid>
        <w:gridCol w:w="1134"/>
        <w:gridCol w:w="4962"/>
        <w:gridCol w:w="1640"/>
        <w:gridCol w:w="1640"/>
      </w:tblGrid>
      <w:tr w:rsidR="00000000">
        <w:tc>
          <w:tcPr>
            <w:tcW w:w="1134" w:type="dxa"/>
            <w:tcBorders>
              <w:bottom w:val="single" w:sz="4" w:space="0" w:color="auto"/>
            </w:tcBorders>
            <w:noWrap/>
          </w:tcPr>
          <w:p w:rsidR="00000000" w:rsidRDefault="00000000">
            <w:pPr>
              <w:pStyle w:val="Header"/>
              <w:tabs>
                <w:tab w:val="clear" w:pos="4320"/>
                <w:tab w:val="clear" w:pos="8640"/>
              </w:tabs>
              <w:spacing w:after="0"/>
              <w:jc w:val="center"/>
            </w:pPr>
            <w:r>
              <w:t>No.</w:t>
            </w:r>
          </w:p>
        </w:tc>
        <w:tc>
          <w:tcPr>
            <w:tcW w:w="4962" w:type="dxa"/>
            <w:tcBorders>
              <w:bottom w:val="single" w:sz="4" w:space="0" w:color="auto"/>
            </w:tcBorders>
            <w:noWrap/>
          </w:tcPr>
          <w:p w:rsidR="00000000" w:rsidRDefault="00000000">
            <w:pPr>
              <w:pStyle w:val="Header"/>
              <w:tabs>
                <w:tab w:val="clear" w:pos="4320"/>
                <w:tab w:val="clear" w:pos="8640"/>
              </w:tabs>
              <w:spacing w:after="0"/>
              <w:jc w:val="center"/>
            </w:pPr>
            <w:r>
              <w:t>Schools and classes</w:t>
            </w:r>
          </w:p>
        </w:tc>
        <w:tc>
          <w:tcPr>
            <w:tcW w:w="1640" w:type="dxa"/>
            <w:tcBorders>
              <w:bottom w:val="single" w:sz="4" w:space="0" w:color="auto"/>
            </w:tcBorders>
            <w:noWrap/>
          </w:tcPr>
          <w:p w:rsidR="00000000" w:rsidRDefault="00000000">
            <w:pPr>
              <w:spacing w:after="0"/>
              <w:jc w:val="center"/>
            </w:pPr>
            <w:r>
              <w:t>Total</w:t>
            </w:r>
          </w:p>
        </w:tc>
        <w:tc>
          <w:tcPr>
            <w:tcW w:w="1640" w:type="dxa"/>
            <w:tcBorders>
              <w:bottom w:val="single" w:sz="4" w:space="0" w:color="auto"/>
            </w:tcBorders>
            <w:noWrap/>
          </w:tcPr>
          <w:p w:rsidR="00000000" w:rsidRDefault="00000000">
            <w:pPr>
              <w:spacing w:after="0"/>
              <w:jc w:val="center"/>
            </w:pPr>
            <w:r>
              <w:t>Rural</w:t>
            </w:r>
          </w:p>
        </w:tc>
      </w:tr>
      <w:tr w:rsidR="00000000">
        <w:tc>
          <w:tcPr>
            <w:tcW w:w="1134" w:type="dxa"/>
            <w:tcBorders>
              <w:top w:val="single" w:sz="4" w:space="0" w:color="auto"/>
              <w:bottom w:val="nil"/>
            </w:tcBorders>
            <w:noWrap/>
          </w:tcPr>
          <w:p w:rsidR="00000000" w:rsidRDefault="00000000">
            <w:pPr>
              <w:spacing w:after="0"/>
              <w:ind w:left="170"/>
            </w:pPr>
            <w:r>
              <w:t>1</w:t>
            </w:r>
          </w:p>
        </w:tc>
        <w:tc>
          <w:tcPr>
            <w:tcW w:w="4962" w:type="dxa"/>
            <w:tcBorders>
              <w:top w:val="single" w:sz="4" w:space="0" w:color="auto"/>
              <w:bottom w:val="nil"/>
            </w:tcBorders>
            <w:noWrap/>
          </w:tcPr>
          <w:p w:rsidR="00000000" w:rsidRDefault="00000000">
            <w:pPr>
              <w:spacing w:after="0"/>
            </w:pPr>
            <w:r>
              <w:t>High schools</w:t>
            </w:r>
          </w:p>
        </w:tc>
        <w:tc>
          <w:tcPr>
            <w:tcW w:w="1640" w:type="dxa"/>
            <w:tcBorders>
              <w:top w:val="single" w:sz="4" w:space="0" w:color="auto"/>
              <w:bottom w:val="nil"/>
            </w:tcBorders>
            <w:noWrap/>
          </w:tcPr>
          <w:p w:rsidR="00000000" w:rsidRDefault="00000000">
            <w:pPr>
              <w:spacing w:after="0"/>
              <w:ind w:right="398"/>
              <w:jc w:val="right"/>
            </w:pPr>
            <w:r>
              <w:t>374</w:t>
            </w:r>
          </w:p>
        </w:tc>
        <w:tc>
          <w:tcPr>
            <w:tcW w:w="1640" w:type="dxa"/>
            <w:tcBorders>
              <w:top w:val="single" w:sz="4" w:space="0" w:color="auto"/>
              <w:bottom w:val="nil"/>
            </w:tcBorders>
            <w:noWrap/>
          </w:tcPr>
          <w:p w:rsidR="00000000" w:rsidRDefault="00000000">
            <w:pPr>
              <w:spacing w:after="0"/>
              <w:ind w:right="479"/>
              <w:jc w:val="right"/>
            </w:pPr>
            <w:r>
              <w:t>221</w:t>
            </w:r>
          </w:p>
        </w:tc>
      </w:tr>
      <w:tr w:rsidR="00000000">
        <w:tc>
          <w:tcPr>
            <w:tcW w:w="1134" w:type="dxa"/>
            <w:tcBorders>
              <w:top w:val="nil"/>
            </w:tcBorders>
            <w:noWrap/>
          </w:tcPr>
          <w:p w:rsidR="00000000" w:rsidRDefault="00000000">
            <w:pPr>
              <w:spacing w:after="0"/>
              <w:ind w:left="170"/>
            </w:pPr>
            <w:r>
              <w:t>1.1</w:t>
            </w:r>
          </w:p>
        </w:tc>
        <w:tc>
          <w:tcPr>
            <w:tcW w:w="4962" w:type="dxa"/>
            <w:tcBorders>
              <w:top w:val="nil"/>
            </w:tcBorders>
            <w:noWrap/>
          </w:tcPr>
          <w:p w:rsidR="00000000" w:rsidRDefault="00000000">
            <w:pPr>
              <w:spacing w:after="0"/>
            </w:pPr>
            <w:r>
              <w:t>General high schools</w:t>
            </w:r>
          </w:p>
        </w:tc>
        <w:tc>
          <w:tcPr>
            <w:tcW w:w="1640" w:type="dxa"/>
            <w:tcBorders>
              <w:top w:val="nil"/>
            </w:tcBorders>
            <w:noWrap/>
          </w:tcPr>
          <w:p w:rsidR="00000000" w:rsidRDefault="00000000">
            <w:pPr>
              <w:spacing w:after="0"/>
              <w:ind w:right="398"/>
              <w:jc w:val="right"/>
            </w:pPr>
            <w:r>
              <w:t>309</w:t>
            </w:r>
          </w:p>
        </w:tc>
        <w:tc>
          <w:tcPr>
            <w:tcW w:w="1640" w:type="dxa"/>
            <w:tcBorders>
              <w:top w:val="nil"/>
            </w:tcBorders>
            <w:noWrap/>
          </w:tcPr>
          <w:p w:rsidR="00000000" w:rsidRDefault="00000000">
            <w:pPr>
              <w:spacing w:after="0"/>
              <w:ind w:right="479"/>
              <w:jc w:val="right"/>
            </w:pPr>
            <w:r>
              <w:t>215</w:t>
            </w:r>
          </w:p>
        </w:tc>
      </w:tr>
      <w:tr w:rsidR="00000000">
        <w:tc>
          <w:tcPr>
            <w:tcW w:w="1134" w:type="dxa"/>
            <w:noWrap/>
          </w:tcPr>
          <w:p w:rsidR="00000000" w:rsidRDefault="00000000">
            <w:pPr>
              <w:spacing w:after="0"/>
              <w:ind w:left="170"/>
            </w:pPr>
            <w:r>
              <w:t>1.2</w:t>
            </w:r>
          </w:p>
        </w:tc>
        <w:tc>
          <w:tcPr>
            <w:tcW w:w="4962" w:type="dxa"/>
            <w:noWrap/>
          </w:tcPr>
          <w:p w:rsidR="00000000" w:rsidRDefault="00000000">
            <w:pPr>
              <w:spacing w:after="0"/>
            </w:pPr>
            <w:r>
              <w:t>Vocational high schools</w:t>
            </w:r>
          </w:p>
        </w:tc>
        <w:tc>
          <w:tcPr>
            <w:tcW w:w="1640" w:type="dxa"/>
            <w:noWrap/>
          </w:tcPr>
          <w:p w:rsidR="00000000" w:rsidRDefault="00000000">
            <w:pPr>
              <w:spacing w:after="0"/>
              <w:ind w:right="398"/>
              <w:jc w:val="right"/>
            </w:pPr>
            <w:r>
              <w:t>53</w:t>
            </w:r>
          </w:p>
        </w:tc>
        <w:tc>
          <w:tcPr>
            <w:tcW w:w="1640" w:type="dxa"/>
            <w:noWrap/>
          </w:tcPr>
          <w:p w:rsidR="00000000" w:rsidRDefault="00000000">
            <w:pPr>
              <w:spacing w:after="0"/>
              <w:ind w:right="479"/>
              <w:jc w:val="right"/>
            </w:pPr>
            <w:r>
              <w:t>4</w:t>
            </w:r>
          </w:p>
        </w:tc>
      </w:tr>
      <w:tr w:rsidR="00000000">
        <w:tc>
          <w:tcPr>
            <w:tcW w:w="1134" w:type="dxa"/>
            <w:noWrap/>
          </w:tcPr>
          <w:p w:rsidR="00000000" w:rsidRDefault="00000000">
            <w:pPr>
              <w:spacing w:after="0"/>
              <w:ind w:left="170"/>
            </w:pPr>
            <w:r>
              <w:t xml:space="preserve">  (a)</w:t>
            </w:r>
          </w:p>
        </w:tc>
        <w:tc>
          <w:tcPr>
            <w:tcW w:w="4962" w:type="dxa"/>
            <w:noWrap/>
          </w:tcPr>
          <w:p w:rsidR="00000000" w:rsidRDefault="00000000">
            <w:pPr>
              <w:tabs>
                <w:tab w:val="left" w:pos="227"/>
              </w:tabs>
              <w:spacing w:after="0"/>
            </w:pPr>
            <w:r>
              <w:tab/>
              <w:t>3-year duration</w:t>
            </w:r>
          </w:p>
        </w:tc>
        <w:tc>
          <w:tcPr>
            <w:tcW w:w="1640" w:type="dxa"/>
            <w:noWrap/>
          </w:tcPr>
          <w:p w:rsidR="00000000" w:rsidRDefault="00000000">
            <w:pPr>
              <w:spacing w:after="0"/>
              <w:ind w:right="398"/>
              <w:jc w:val="right"/>
            </w:pPr>
            <w:r>
              <w:t>10</w:t>
            </w:r>
          </w:p>
        </w:tc>
        <w:tc>
          <w:tcPr>
            <w:tcW w:w="1640" w:type="dxa"/>
            <w:noWrap/>
          </w:tcPr>
          <w:p w:rsidR="00000000" w:rsidRDefault="00000000">
            <w:pPr>
              <w:spacing w:after="0"/>
              <w:ind w:right="479"/>
              <w:jc w:val="right"/>
            </w:pPr>
            <w:r>
              <w:t>2</w:t>
            </w:r>
          </w:p>
        </w:tc>
      </w:tr>
      <w:tr w:rsidR="00000000">
        <w:tc>
          <w:tcPr>
            <w:tcW w:w="1134" w:type="dxa"/>
            <w:noWrap/>
          </w:tcPr>
          <w:p w:rsidR="00000000" w:rsidRDefault="00000000">
            <w:pPr>
              <w:spacing w:after="0"/>
              <w:ind w:left="170"/>
            </w:pPr>
            <w:r>
              <w:t xml:space="preserve">  (b)</w:t>
            </w:r>
          </w:p>
        </w:tc>
        <w:tc>
          <w:tcPr>
            <w:tcW w:w="4962" w:type="dxa"/>
            <w:noWrap/>
          </w:tcPr>
          <w:p w:rsidR="00000000" w:rsidRDefault="00000000">
            <w:pPr>
              <w:tabs>
                <w:tab w:val="left" w:pos="227"/>
              </w:tabs>
              <w:spacing w:after="0"/>
            </w:pPr>
            <w:r>
              <w:tab/>
              <w:t>4-year duration</w:t>
            </w:r>
          </w:p>
        </w:tc>
        <w:tc>
          <w:tcPr>
            <w:tcW w:w="1640" w:type="dxa"/>
            <w:noWrap/>
          </w:tcPr>
          <w:p w:rsidR="00000000" w:rsidRDefault="00000000">
            <w:pPr>
              <w:spacing w:after="0"/>
              <w:ind w:right="398"/>
              <w:jc w:val="right"/>
            </w:pPr>
            <w:r>
              <w:t>21</w:t>
            </w:r>
          </w:p>
        </w:tc>
        <w:tc>
          <w:tcPr>
            <w:tcW w:w="1640" w:type="dxa"/>
            <w:noWrap/>
          </w:tcPr>
          <w:p w:rsidR="00000000" w:rsidRDefault="00000000">
            <w:pPr>
              <w:spacing w:after="0"/>
              <w:ind w:right="479"/>
              <w:jc w:val="right"/>
            </w:pPr>
            <w:r>
              <w:t>0</w:t>
            </w:r>
          </w:p>
        </w:tc>
      </w:tr>
      <w:tr w:rsidR="00000000">
        <w:tc>
          <w:tcPr>
            <w:tcW w:w="1134" w:type="dxa"/>
            <w:noWrap/>
          </w:tcPr>
          <w:p w:rsidR="00000000" w:rsidRDefault="00000000">
            <w:pPr>
              <w:spacing w:after="0"/>
              <w:ind w:left="170"/>
            </w:pPr>
            <w:r>
              <w:t xml:space="preserve">  (c)</w:t>
            </w:r>
          </w:p>
        </w:tc>
        <w:tc>
          <w:tcPr>
            <w:tcW w:w="4962" w:type="dxa"/>
            <w:noWrap/>
          </w:tcPr>
          <w:p w:rsidR="00000000" w:rsidRDefault="00000000">
            <w:pPr>
              <w:tabs>
                <w:tab w:val="left" w:pos="227"/>
              </w:tabs>
              <w:spacing w:after="0"/>
            </w:pPr>
            <w:r>
              <w:tab/>
              <w:t>5-year duration</w:t>
            </w:r>
          </w:p>
        </w:tc>
        <w:tc>
          <w:tcPr>
            <w:tcW w:w="1640" w:type="dxa"/>
            <w:noWrap/>
          </w:tcPr>
          <w:p w:rsidR="00000000" w:rsidRDefault="00000000">
            <w:pPr>
              <w:spacing w:after="0"/>
              <w:ind w:right="398"/>
              <w:jc w:val="right"/>
            </w:pPr>
            <w:r>
              <w:t>22</w:t>
            </w:r>
          </w:p>
        </w:tc>
        <w:tc>
          <w:tcPr>
            <w:tcW w:w="1640" w:type="dxa"/>
            <w:noWrap/>
          </w:tcPr>
          <w:p w:rsidR="00000000" w:rsidRDefault="00000000">
            <w:pPr>
              <w:spacing w:after="0"/>
              <w:ind w:right="479"/>
              <w:jc w:val="right"/>
            </w:pPr>
            <w:r>
              <w:t>2</w:t>
            </w:r>
          </w:p>
        </w:tc>
      </w:tr>
      <w:tr w:rsidR="00000000">
        <w:tc>
          <w:tcPr>
            <w:tcW w:w="1134" w:type="dxa"/>
            <w:noWrap/>
          </w:tcPr>
          <w:p w:rsidR="00000000" w:rsidRDefault="00000000">
            <w:pPr>
              <w:spacing w:after="0"/>
              <w:ind w:left="170"/>
            </w:pPr>
            <w:r>
              <w:t>1.3</w:t>
            </w:r>
          </w:p>
        </w:tc>
        <w:tc>
          <w:tcPr>
            <w:tcW w:w="4962" w:type="dxa"/>
            <w:noWrap/>
          </w:tcPr>
          <w:p w:rsidR="00000000" w:rsidRDefault="00000000">
            <w:pPr>
              <w:spacing w:after="0"/>
            </w:pPr>
            <w:r>
              <w:t>Combined high schools</w:t>
            </w:r>
          </w:p>
        </w:tc>
        <w:tc>
          <w:tcPr>
            <w:tcW w:w="1640" w:type="dxa"/>
            <w:noWrap/>
          </w:tcPr>
          <w:p w:rsidR="00000000" w:rsidRDefault="00000000">
            <w:pPr>
              <w:spacing w:after="0"/>
              <w:ind w:right="398"/>
              <w:jc w:val="right"/>
            </w:pPr>
            <w:r>
              <w:t>12</w:t>
            </w:r>
          </w:p>
        </w:tc>
        <w:tc>
          <w:tcPr>
            <w:tcW w:w="1640" w:type="dxa"/>
            <w:noWrap/>
          </w:tcPr>
          <w:p w:rsidR="00000000" w:rsidRDefault="00000000">
            <w:pPr>
              <w:spacing w:after="0"/>
              <w:ind w:right="479"/>
              <w:jc w:val="right"/>
            </w:pPr>
            <w:r>
              <w:t>2</w:t>
            </w:r>
          </w:p>
        </w:tc>
      </w:tr>
      <w:tr w:rsidR="00000000">
        <w:tc>
          <w:tcPr>
            <w:tcW w:w="1134" w:type="dxa"/>
            <w:noWrap/>
          </w:tcPr>
          <w:p w:rsidR="00000000" w:rsidRDefault="00000000">
            <w:pPr>
              <w:spacing w:after="0"/>
              <w:ind w:left="170"/>
            </w:pPr>
          </w:p>
        </w:tc>
        <w:tc>
          <w:tcPr>
            <w:tcW w:w="4962" w:type="dxa"/>
            <w:noWrap/>
          </w:tcPr>
          <w:p w:rsidR="00000000" w:rsidRDefault="00000000">
            <w:pPr>
              <w:spacing w:after="0"/>
            </w:pPr>
            <w:r>
              <w:t>General and vocational</w:t>
            </w:r>
          </w:p>
        </w:tc>
        <w:tc>
          <w:tcPr>
            <w:tcW w:w="1640" w:type="dxa"/>
            <w:noWrap/>
          </w:tcPr>
          <w:p w:rsidR="00000000" w:rsidRDefault="00000000">
            <w:pPr>
              <w:spacing w:after="0"/>
              <w:ind w:right="398"/>
              <w:jc w:val="right"/>
            </w:pPr>
            <w:r>
              <w:t>12</w:t>
            </w:r>
          </w:p>
        </w:tc>
        <w:tc>
          <w:tcPr>
            <w:tcW w:w="1640" w:type="dxa"/>
            <w:noWrap/>
          </w:tcPr>
          <w:p w:rsidR="00000000" w:rsidRDefault="00000000">
            <w:pPr>
              <w:spacing w:after="0"/>
              <w:ind w:right="479"/>
              <w:jc w:val="right"/>
            </w:pPr>
            <w:r>
              <w:t>2</w:t>
            </w:r>
          </w:p>
        </w:tc>
      </w:tr>
      <w:tr w:rsidR="00000000">
        <w:tc>
          <w:tcPr>
            <w:tcW w:w="1134" w:type="dxa"/>
            <w:noWrap/>
          </w:tcPr>
          <w:p w:rsidR="00000000" w:rsidRDefault="00000000">
            <w:pPr>
              <w:spacing w:after="0"/>
              <w:ind w:left="170"/>
            </w:pPr>
            <w:r>
              <w:t>2</w:t>
            </w:r>
          </w:p>
        </w:tc>
        <w:tc>
          <w:tcPr>
            <w:tcW w:w="4962" w:type="dxa"/>
            <w:noWrap/>
          </w:tcPr>
          <w:p w:rsidR="00000000" w:rsidRDefault="00000000">
            <w:pPr>
              <w:spacing w:after="0"/>
            </w:pPr>
            <w:r>
              <w:t>Classes in general education system</w:t>
            </w:r>
          </w:p>
        </w:tc>
        <w:tc>
          <w:tcPr>
            <w:tcW w:w="1640" w:type="dxa"/>
            <w:noWrap/>
          </w:tcPr>
          <w:p w:rsidR="00000000" w:rsidRDefault="00000000">
            <w:pPr>
              <w:spacing w:after="0"/>
              <w:ind w:right="398"/>
              <w:jc w:val="right"/>
            </w:pPr>
            <w:r>
              <w:t>2 743</w:t>
            </w:r>
          </w:p>
        </w:tc>
        <w:tc>
          <w:tcPr>
            <w:tcW w:w="1640" w:type="dxa"/>
            <w:noWrap/>
          </w:tcPr>
          <w:p w:rsidR="00000000" w:rsidRDefault="00000000">
            <w:pPr>
              <w:spacing w:after="0"/>
              <w:ind w:right="479"/>
              <w:jc w:val="right"/>
            </w:pPr>
            <w:r>
              <w:t>1 093</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First classes</w:t>
            </w:r>
          </w:p>
        </w:tc>
        <w:tc>
          <w:tcPr>
            <w:tcW w:w="1640" w:type="dxa"/>
            <w:noWrap/>
          </w:tcPr>
          <w:p w:rsidR="00000000" w:rsidRDefault="00000000">
            <w:pPr>
              <w:spacing w:after="0"/>
              <w:ind w:right="398"/>
              <w:jc w:val="right"/>
            </w:pPr>
            <w:r>
              <w:t>783</w:t>
            </w:r>
          </w:p>
        </w:tc>
        <w:tc>
          <w:tcPr>
            <w:tcW w:w="1640" w:type="dxa"/>
            <w:noWrap/>
          </w:tcPr>
          <w:p w:rsidR="00000000" w:rsidRDefault="00000000">
            <w:pPr>
              <w:spacing w:after="0"/>
              <w:ind w:right="479"/>
              <w:jc w:val="right"/>
            </w:pPr>
            <w:r>
              <w:t>307</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Second classes</w:t>
            </w:r>
          </w:p>
        </w:tc>
        <w:tc>
          <w:tcPr>
            <w:tcW w:w="1640" w:type="dxa"/>
            <w:noWrap/>
          </w:tcPr>
          <w:p w:rsidR="00000000" w:rsidRDefault="00000000">
            <w:pPr>
              <w:spacing w:after="0"/>
              <w:ind w:right="398"/>
              <w:jc w:val="right"/>
            </w:pPr>
            <w:r>
              <w:t>712</w:t>
            </w:r>
          </w:p>
        </w:tc>
        <w:tc>
          <w:tcPr>
            <w:tcW w:w="1640" w:type="dxa"/>
            <w:noWrap/>
          </w:tcPr>
          <w:p w:rsidR="00000000" w:rsidRDefault="00000000">
            <w:pPr>
              <w:spacing w:after="0"/>
              <w:ind w:right="479"/>
              <w:jc w:val="right"/>
            </w:pPr>
            <w:r>
              <w:t>285</w:t>
            </w:r>
          </w:p>
        </w:tc>
      </w:tr>
      <w:tr w:rsidR="00000000">
        <w:tc>
          <w:tcPr>
            <w:tcW w:w="1134" w:type="dxa"/>
            <w:noWrap/>
          </w:tcPr>
          <w:p w:rsidR="00000000" w:rsidRDefault="00000000">
            <w:pPr>
              <w:spacing w:after="0"/>
              <w:ind w:left="170"/>
            </w:pPr>
          </w:p>
        </w:tc>
        <w:tc>
          <w:tcPr>
            <w:tcW w:w="4962" w:type="dxa"/>
            <w:noWrap/>
          </w:tcPr>
          <w:p w:rsidR="00000000" w:rsidRDefault="00000000">
            <w:pPr>
              <w:pStyle w:val="Header"/>
              <w:tabs>
                <w:tab w:val="clear" w:pos="4320"/>
                <w:tab w:val="clear" w:pos="8640"/>
                <w:tab w:val="left" w:pos="227"/>
              </w:tabs>
              <w:spacing w:after="0"/>
            </w:pPr>
            <w:r>
              <w:tab/>
              <w:t>Third classes</w:t>
            </w:r>
          </w:p>
        </w:tc>
        <w:tc>
          <w:tcPr>
            <w:tcW w:w="1640" w:type="dxa"/>
            <w:noWrap/>
          </w:tcPr>
          <w:p w:rsidR="00000000" w:rsidRDefault="00000000">
            <w:pPr>
              <w:spacing w:after="0"/>
              <w:ind w:right="398"/>
              <w:jc w:val="right"/>
            </w:pPr>
            <w:r>
              <w:t>651</w:t>
            </w:r>
          </w:p>
        </w:tc>
        <w:tc>
          <w:tcPr>
            <w:tcW w:w="1640" w:type="dxa"/>
            <w:noWrap/>
          </w:tcPr>
          <w:p w:rsidR="00000000" w:rsidRDefault="00000000">
            <w:pPr>
              <w:spacing w:after="0"/>
              <w:ind w:right="479"/>
              <w:jc w:val="right"/>
            </w:pPr>
            <w:r>
              <w:t>258</w:t>
            </w:r>
          </w:p>
        </w:tc>
      </w:tr>
      <w:tr w:rsidR="00000000">
        <w:tc>
          <w:tcPr>
            <w:tcW w:w="1134" w:type="dxa"/>
            <w:noWrap/>
          </w:tcPr>
          <w:p w:rsidR="00000000" w:rsidRDefault="00000000">
            <w:pPr>
              <w:spacing w:after="0"/>
              <w:ind w:left="170"/>
            </w:pPr>
          </w:p>
        </w:tc>
        <w:tc>
          <w:tcPr>
            <w:tcW w:w="4962" w:type="dxa"/>
            <w:noWrap/>
          </w:tcPr>
          <w:p w:rsidR="00000000" w:rsidRDefault="00000000">
            <w:pPr>
              <w:pStyle w:val="Header"/>
              <w:tabs>
                <w:tab w:val="clear" w:pos="4320"/>
                <w:tab w:val="clear" w:pos="8640"/>
                <w:tab w:val="left" w:pos="227"/>
              </w:tabs>
              <w:spacing w:after="0"/>
            </w:pPr>
            <w:r>
              <w:tab/>
              <w:t>Fourth classes</w:t>
            </w:r>
          </w:p>
        </w:tc>
        <w:tc>
          <w:tcPr>
            <w:tcW w:w="1640" w:type="dxa"/>
            <w:noWrap/>
          </w:tcPr>
          <w:p w:rsidR="00000000" w:rsidRDefault="00000000">
            <w:pPr>
              <w:spacing w:after="0"/>
              <w:ind w:right="398"/>
              <w:jc w:val="right"/>
            </w:pPr>
            <w:r>
              <w:t>597</w:t>
            </w:r>
          </w:p>
        </w:tc>
        <w:tc>
          <w:tcPr>
            <w:tcW w:w="1640" w:type="dxa"/>
            <w:noWrap/>
          </w:tcPr>
          <w:p w:rsidR="00000000" w:rsidRDefault="00000000">
            <w:pPr>
              <w:spacing w:after="0"/>
              <w:ind w:right="479"/>
              <w:jc w:val="right"/>
            </w:pPr>
            <w:r>
              <w:t>243</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Fifth classes</w:t>
            </w:r>
          </w:p>
        </w:tc>
        <w:tc>
          <w:tcPr>
            <w:tcW w:w="1640" w:type="dxa"/>
            <w:noWrap/>
          </w:tcPr>
          <w:p w:rsidR="00000000" w:rsidRDefault="00000000">
            <w:pPr>
              <w:spacing w:after="0"/>
              <w:ind w:right="398"/>
              <w:jc w:val="right"/>
            </w:pPr>
          </w:p>
        </w:tc>
        <w:tc>
          <w:tcPr>
            <w:tcW w:w="1640" w:type="dxa"/>
            <w:noWrap/>
          </w:tcPr>
          <w:p w:rsidR="00000000" w:rsidRDefault="00000000">
            <w:pPr>
              <w:spacing w:after="0"/>
              <w:ind w:right="479"/>
              <w:jc w:val="right"/>
            </w:pPr>
          </w:p>
        </w:tc>
      </w:tr>
      <w:tr w:rsidR="00000000">
        <w:tc>
          <w:tcPr>
            <w:tcW w:w="1134" w:type="dxa"/>
            <w:noWrap/>
          </w:tcPr>
          <w:p w:rsidR="00000000" w:rsidRDefault="00000000">
            <w:pPr>
              <w:spacing w:after="0"/>
              <w:ind w:left="170"/>
            </w:pPr>
            <w:r>
              <w:t>3</w:t>
            </w:r>
          </w:p>
        </w:tc>
        <w:tc>
          <w:tcPr>
            <w:tcW w:w="4962" w:type="dxa"/>
            <w:noWrap/>
          </w:tcPr>
          <w:p w:rsidR="00000000" w:rsidRDefault="00000000">
            <w:pPr>
              <w:spacing w:after="0"/>
            </w:pPr>
            <w:r>
              <w:t>Classes in vocational education</w:t>
            </w:r>
          </w:p>
        </w:tc>
        <w:tc>
          <w:tcPr>
            <w:tcW w:w="1640" w:type="dxa"/>
            <w:noWrap/>
          </w:tcPr>
          <w:p w:rsidR="00000000" w:rsidRDefault="00000000">
            <w:pPr>
              <w:spacing w:after="0"/>
              <w:ind w:right="398"/>
              <w:jc w:val="right"/>
            </w:pPr>
            <w:r>
              <w:t>715</w:t>
            </w:r>
          </w:p>
        </w:tc>
        <w:tc>
          <w:tcPr>
            <w:tcW w:w="1640" w:type="dxa"/>
            <w:noWrap/>
          </w:tcPr>
          <w:p w:rsidR="00000000" w:rsidRDefault="00000000">
            <w:pPr>
              <w:spacing w:after="0"/>
              <w:ind w:right="479"/>
              <w:jc w:val="right"/>
            </w:pPr>
            <w:r>
              <w:t>57</w:t>
            </w:r>
          </w:p>
        </w:tc>
      </w:tr>
      <w:tr w:rsidR="00000000">
        <w:tc>
          <w:tcPr>
            <w:tcW w:w="1134" w:type="dxa"/>
            <w:noWrap/>
          </w:tcPr>
          <w:p w:rsidR="00000000" w:rsidRDefault="00000000">
            <w:pPr>
              <w:spacing w:after="0"/>
              <w:ind w:left="170"/>
            </w:pPr>
            <w:r>
              <w:t>3.1</w:t>
            </w:r>
          </w:p>
        </w:tc>
        <w:tc>
          <w:tcPr>
            <w:tcW w:w="4962" w:type="dxa"/>
            <w:noWrap/>
          </w:tcPr>
          <w:p w:rsidR="00000000" w:rsidRDefault="00000000">
            <w:pPr>
              <w:spacing w:after="0"/>
            </w:pPr>
            <w:r>
              <w:t>Classes in the 3-year system of vocational education</w:t>
            </w:r>
          </w:p>
        </w:tc>
        <w:tc>
          <w:tcPr>
            <w:tcW w:w="1640" w:type="dxa"/>
            <w:noWrap/>
          </w:tcPr>
          <w:p w:rsidR="00000000" w:rsidRDefault="00000000">
            <w:pPr>
              <w:spacing w:after="0"/>
              <w:ind w:right="398"/>
              <w:jc w:val="right"/>
            </w:pPr>
            <w:r>
              <w:t>246</w:t>
            </w:r>
          </w:p>
        </w:tc>
        <w:tc>
          <w:tcPr>
            <w:tcW w:w="1640" w:type="dxa"/>
            <w:noWrap/>
          </w:tcPr>
          <w:p w:rsidR="00000000" w:rsidRDefault="00000000">
            <w:pPr>
              <w:spacing w:after="0"/>
              <w:ind w:right="479"/>
              <w:jc w:val="right"/>
            </w:pPr>
            <w:r>
              <w:t>24</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First classes</w:t>
            </w:r>
          </w:p>
        </w:tc>
        <w:tc>
          <w:tcPr>
            <w:tcW w:w="1640" w:type="dxa"/>
            <w:noWrap/>
          </w:tcPr>
          <w:p w:rsidR="00000000" w:rsidRDefault="00000000">
            <w:pPr>
              <w:spacing w:after="0"/>
              <w:ind w:right="398"/>
              <w:jc w:val="right"/>
            </w:pPr>
            <w:r>
              <w:t>81</w:t>
            </w:r>
          </w:p>
        </w:tc>
        <w:tc>
          <w:tcPr>
            <w:tcW w:w="1640" w:type="dxa"/>
            <w:noWrap/>
          </w:tcPr>
          <w:p w:rsidR="00000000" w:rsidRDefault="00000000">
            <w:pPr>
              <w:spacing w:after="0"/>
              <w:ind w:right="479"/>
              <w:jc w:val="right"/>
            </w:pPr>
            <w:r>
              <w:t>8</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Second classes</w:t>
            </w:r>
          </w:p>
        </w:tc>
        <w:tc>
          <w:tcPr>
            <w:tcW w:w="1640" w:type="dxa"/>
            <w:noWrap/>
          </w:tcPr>
          <w:p w:rsidR="00000000" w:rsidRDefault="00000000">
            <w:pPr>
              <w:spacing w:after="0"/>
              <w:ind w:right="398"/>
              <w:jc w:val="right"/>
            </w:pPr>
            <w:r>
              <w:t>82</w:t>
            </w:r>
          </w:p>
        </w:tc>
        <w:tc>
          <w:tcPr>
            <w:tcW w:w="1640" w:type="dxa"/>
            <w:noWrap/>
          </w:tcPr>
          <w:p w:rsidR="00000000" w:rsidRDefault="00000000">
            <w:pPr>
              <w:spacing w:after="0"/>
              <w:ind w:right="479"/>
              <w:jc w:val="right"/>
            </w:pPr>
            <w:r>
              <w:t>7</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Third classes</w:t>
            </w:r>
          </w:p>
        </w:tc>
        <w:tc>
          <w:tcPr>
            <w:tcW w:w="1640" w:type="dxa"/>
            <w:noWrap/>
          </w:tcPr>
          <w:p w:rsidR="00000000" w:rsidRDefault="00000000">
            <w:pPr>
              <w:spacing w:after="0"/>
              <w:ind w:right="398"/>
              <w:jc w:val="right"/>
            </w:pPr>
            <w:r>
              <w:t>83</w:t>
            </w:r>
          </w:p>
        </w:tc>
        <w:tc>
          <w:tcPr>
            <w:tcW w:w="1640" w:type="dxa"/>
            <w:noWrap/>
          </w:tcPr>
          <w:p w:rsidR="00000000" w:rsidRDefault="00000000">
            <w:pPr>
              <w:spacing w:after="0"/>
              <w:ind w:right="479"/>
              <w:jc w:val="right"/>
            </w:pPr>
            <w:r>
              <w:t>9</w:t>
            </w:r>
          </w:p>
        </w:tc>
      </w:tr>
      <w:tr w:rsidR="00000000">
        <w:tc>
          <w:tcPr>
            <w:tcW w:w="1134" w:type="dxa"/>
            <w:noWrap/>
          </w:tcPr>
          <w:p w:rsidR="00000000" w:rsidRDefault="00000000">
            <w:pPr>
              <w:spacing w:after="0"/>
              <w:ind w:left="170"/>
            </w:pPr>
            <w:r>
              <w:t>3.2</w:t>
            </w:r>
          </w:p>
        </w:tc>
        <w:tc>
          <w:tcPr>
            <w:tcW w:w="4962" w:type="dxa"/>
            <w:noWrap/>
          </w:tcPr>
          <w:p w:rsidR="00000000" w:rsidRDefault="00000000">
            <w:pPr>
              <w:spacing w:after="0"/>
            </w:pPr>
            <w:r>
              <w:t>Classes in the 4-year system of vocational education</w:t>
            </w:r>
          </w:p>
        </w:tc>
        <w:tc>
          <w:tcPr>
            <w:tcW w:w="1640" w:type="dxa"/>
            <w:noWrap/>
          </w:tcPr>
          <w:p w:rsidR="00000000" w:rsidRDefault="00000000">
            <w:pPr>
              <w:spacing w:after="0"/>
              <w:ind w:right="398"/>
              <w:jc w:val="right"/>
            </w:pPr>
            <w:r>
              <w:t>226</w:t>
            </w:r>
          </w:p>
        </w:tc>
        <w:tc>
          <w:tcPr>
            <w:tcW w:w="1640" w:type="dxa"/>
            <w:noWrap/>
          </w:tcPr>
          <w:p w:rsidR="00000000" w:rsidRDefault="00000000">
            <w:pPr>
              <w:spacing w:after="0"/>
              <w:ind w:right="479"/>
              <w:jc w:val="right"/>
            </w:pPr>
            <w:r>
              <w:t>8</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First classes</w:t>
            </w:r>
          </w:p>
        </w:tc>
        <w:tc>
          <w:tcPr>
            <w:tcW w:w="1640" w:type="dxa"/>
            <w:noWrap/>
          </w:tcPr>
          <w:p w:rsidR="00000000" w:rsidRDefault="00000000">
            <w:pPr>
              <w:spacing w:after="0"/>
              <w:ind w:right="398"/>
              <w:jc w:val="right"/>
            </w:pPr>
            <w:r>
              <w:t>74</w:t>
            </w:r>
          </w:p>
        </w:tc>
        <w:tc>
          <w:tcPr>
            <w:tcW w:w="1640" w:type="dxa"/>
            <w:noWrap/>
          </w:tcPr>
          <w:p w:rsidR="00000000" w:rsidRDefault="00000000">
            <w:pPr>
              <w:spacing w:after="0"/>
              <w:ind w:right="479"/>
              <w:jc w:val="right"/>
            </w:pPr>
            <w:r>
              <w:t>5</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Second classes</w:t>
            </w:r>
          </w:p>
        </w:tc>
        <w:tc>
          <w:tcPr>
            <w:tcW w:w="1640" w:type="dxa"/>
            <w:noWrap/>
          </w:tcPr>
          <w:p w:rsidR="00000000" w:rsidRDefault="00000000">
            <w:pPr>
              <w:spacing w:after="0"/>
              <w:ind w:right="398"/>
              <w:jc w:val="right"/>
            </w:pPr>
            <w:r>
              <w:t>56</w:t>
            </w:r>
          </w:p>
        </w:tc>
        <w:tc>
          <w:tcPr>
            <w:tcW w:w="1640" w:type="dxa"/>
            <w:noWrap/>
          </w:tcPr>
          <w:p w:rsidR="00000000" w:rsidRDefault="00000000">
            <w:pPr>
              <w:spacing w:after="0"/>
              <w:ind w:right="479"/>
              <w:jc w:val="right"/>
            </w:pPr>
            <w:r>
              <w:t>2</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Third classes</w:t>
            </w:r>
          </w:p>
        </w:tc>
        <w:tc>
          <w:tcPr>
            <w:tcW w:w="1640" w:type="dxa"/>
            <w:noWrap/>
          </w:tcPr>
          <w:p w:rsidR="00000000" w:rsidRDefault="00000000">
            <w:pPr>
              <w:spacing w:after="0"/>
              <w:ind w:right="398"/>
              <w:jc w:val="right"/>
            </w:pPr>
            <w:r>
              <w:t>47</w:t>
            </w:r>
          </w:p>
        </w:tc>
        <w:tc>
          <w:tcPr>
            <w:tcW w:w="1640" w:type="dxa"/>
            <w:noWrap/>
          </w:tcPr>
          <w:p w:rsidR="00000000" w:rsidRDefault="00000000">
            <w:pPr>
              <w:spacing w:after="0"/>
              <w:ind w:right="479"/>
              <w:jc w:val="right"/>
            </w:pPr>
            <w:r>
              <w:t>1</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Fourth classes</w:t>
            </w:r>
          </w:p>
        </w:tc>
        <w:tc>
          <w:tcPr>
            <w:tcW w:w="1640" w:type="dxa"/>
            <w:noWrap/>
          </w:tcPr>
          <w:p w:rsidR="00000000" w:rsidRDefault="00000000">
            <w:pPr>
              <w:spacing w:after="0"/>
              <w:ind w:right="398"/>
              <w:jc w:val="right"/>
            </w:pPr>
            <w:r>
              <w:t>49</w:t>
            </w:r>
          </w:p>
        </w:tc>
        <w:tc>
          <w:tcPr>
            <w:tcW w:w="1640" w:type="dxa"/>
            <w:noWrap/>
          </w:tcPr>
          <w:p w:rsidR="00000000" w:rsidRDefault="00000000">
            <w:pPr>
              <w:spacing w:after="0"/>
              <w:ind w:right="479"/>
              <w:jc w:val="right"/>
            </w:pPr>
            <w:r>
              <w:t>0</w:t>
            </w:r>
          </w:p>
        </w:tc>
      </w:tr>
      <w:tr w:rsidR="00000000">
        <w:tc>
          <w:tcPr>
            <w:tcW w:w="1134" w:type="dxa"/>
            <w:noWrap/>
          </w:tcPr>
          <w:p w:rsidR="00000000" w:rsidRDefault="00000000">
            <w:pPr>
              <w:spacing w:after="0"/>
              <w:ind w:left="170"/>
            </w:pPr>
            <w:r>
              <w:t>3.3</w:t>
            </w:r>
          </w:p>
        </w:tc>
        <w:tc>
          <w:tcPr>
            <w:tcW w:w="4962" w:type="dxa"/>
            <w:noWrap/>
          </w:tcPr>
          <w:p w:rsidR="00000000" w:rsidRDefault="00000000">
            <w:pPr>
              <w:spacing w:after="0"/>
            </w:pPr>
            <w:r>
              <w:t>Classes in the 5-year system of vocational education</w:t>
            </w:r>
          </w:p>
        </w:tc>
        <w:tc>
          <w:tcPr>
            <w:tcW w:w="1640" w:type="dxa"/>
            <w:noWrap/>
          </w:tcPr>
          <w:p w:rsidR="00000000" w:rsidRDefault="00000000">
            <w:pPr>
              <w:spacing w:after="0"/>
              <w:ind w:right="398"/>
              <w:jc w:val="right"/>
            </w:pPr>
            <w:r>
              <w:t>243</w:t>
            </w:r>
          </w:p>
        </w:tc>
        <w:tc>
          <w:tcPr>
            <w:tcW w:w="1640" w:type="dxa"/>
            <w:noWrap/>
          </w:tcPr>
          <w:p w:rsidR="00000000" w:rsidRDefault="00000000">
            <w:pPr>
              <w:spacing w:after="0"/>
              <w:ind w:right="479"/>
              <w:jc w:val="right"/>
            </w:pPr>
            <w:r>
              <w:t>25</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First classes</w:t>
            </w:r>
          </w:p>
        </w:tc>
        <w:tc>
          <w:tcPr>
            <w:tcW w:w="1640" w:type="dxa"/>
            <w:noWrap/>
          </w:tcPr>
          <w:p w:rsidR="00000000" w:rsidRDefault="00000000">
            <w:pPr>
              <w:spacing w:after="0"/>
              <w:ind w:right="398"/>
              <w:jc w:val="right"/>
            </w:pPr>
            <w:r>
              <w:t>67</w:t>
            </w:r>
          </w:p>
        </w:tc>
        <w:tc>
          <w:tcPr>
            <w:tcW w:w="1640" w:type="dxa"/>
            <w:noWrap/>
          </w:tcPr>
          <w:p w:rsidR="00000000" w:rsidRDefault="00000000">
            <w:pPr>
              <w:spacing w:after="0"/>
              <w:ind w:right="479"/>
              <w:jc w:val="right"/>
            </w:pPr>
            <w:r>
              <w:t>6</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Second classes</w:t>
            </w:r>
          </w:p>
        </w:tc>
        <w:tc>
          <w:tcPr>
            <w:tcW w:w="1640" w:type="dxa"/>
            <w:noWrap/>
          </w:tcPr>
          <w:p w:rsidR="00000000" w:rsidRDefault="00000000">
            <w:pPr>
              <w:spacing w:after="0"/>
              <w:ind w:right="398"/>
              <w:jc w:val="right"/>
            </w:pPr>
            <w:r>
              <w:t>49</w:t>
            </w:r>
          </w:p>
        </w:tc>
        <w:tc>
          <w:tcPr>
            <w:tcW w:w="1640" w:type="dxa"/>
            <w:noWrap/>
          </w:tcPr>
          <w:p w:rsidR="00000000" w:rsidRDefault="00000000">
            <w:pPr>
              <w:spacing w:after="0"/>
              <w:ind w:right="479"/>
              <w:jc w:val="right"/>
            </w:pPr>
            <w:r>
              <w:t>6</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Third classes</w:t>
            </w:r>
          </w:p>
        </w:tc>
        <w:tc>
          <w:tcPr>
            <w:tcW w:w="1640" w:type="dxa"/>
            <w:noWrap/>
          </w:tcPr>
          <w:p w:rsidR="00000000" w:rsidRDefault="00000000">
            <w:pPr>
              <w:spacing w:after="0"/>
              <w:ind w:right="398"/>
              <w:jc w:val="right"/>
            </w:pPr>
            <w:r>
              <w:t>49</w:t>
            </w:r>
          </w:p>
        </w:tc>
        <w:tc>
          <w:tcPr>
            <w:tcW w:w="1640" w:type="dxa"/>
            <w:noWrap/>
          </w:tcPr>
          <w:p w:rsidR="00000000" w:rsidRDefault="00000000">
            <w:pPr>
              <w:spacing w:after="0"/>
              <w:ind w:right="479"/>
              <w:jc w:val="right"/>
            </w:pPr>
            <w:r>
              <w:t>8</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Fourth classes</w:t>
            </w:r>
          </w:p>
        </w:tc>
        <w:tc>
          <w:tcPr>
            <w:tcW w:w="1640" w:type="dxa"/>
            <w:noWrap/>
          </w:tcPr>
          <w:p w:rsidR="00000000" w:rsidRDefault="00000000">
            <w:pPr>
              <w:spacing w:after="0"/>
              <w:ind w:right="398"/>
              <w:jc w:val="right"/>
            </w:pPr>
            <w:r>
              <w:t>40</w:t>
            </w:r>
          </w:p>
        </w:tc>
        <w:tc>
          <w:tcPr>
            <w:tcW w:w="1640" w:type="dxa"/>
            <w:noWrap/>
          </w:tcPr>
          <w:p w:rsidR="00000000" w:rsidRDefault="00000000">
            <w:pPr>
              <w:spacing w:after="0"/>
              <w:ind w:right="479"/>
              <w:jc w:val="right"/>
            </w:pPr>
            <w:r>
              <w:t>3</w:t>
            </w:r>
          </w:p>
        </w:tc>
      </w:tr>
      <w:tr w:rsidR="00000000">
        <w:tc>
          <w:tcPr>
            <w:tcW w:w="1134" w:type="dxa"/>
            <w:noWrap/>
          </w:tcPr>
          <w:p w:rsidR="00000000" w:rsidRDefault="00000000">
            <w:pPr>
              <w:spacing w:after="0"/>
              <w:ind w:left="170"/>
            </w:pPr>
          </w:p>
        </w:tc>
        <w:tc>
          <w:tcPr>
            <w:tcW w:w="4962" w:type="dxa"/>
            <w:noWrap/>
          </w:tcPr>
          <w:p w:rsidR="00000000" w:rsidRDefault="00000000">
            <w:pPr>
              <w:tabs>
                <w:tab w:val="left" w:pos="227"/>
              </w:tabs>
              <w:spacing w:after="0"/>
            </w:pPr>
            <w:r>
              <w:tab/>
              <w:t>Fifth classes</w:t>
            </w:r>
          </w:p>
        </w:tc>
        <w:tc>
          <w:tcPr>
            <w:tcW w:w="1640" w:type="dxa"/>
            <w:noWrap/>
          </w:tcPr>
          <w:p w:rsidR="00000000" w:rsidRDefault="00000000">
            <w:pPr>
              <w:spacing w:after="0"/>
              <w:ind w:right="398"/>
              <w:jc w:val="right"/>
            </w:pPr>
            <w:r>
              <w:t>38</w:t>
            </w:r>
          </w:p>
        </w:tc>
        <w:tc>
          <w:tcPr>
            <w:tcW w:w="1640" w:type="dxa"/>
            <w:noWrap/>
          </w:tcPr>
          <w:p w:rsidR="00000000" w:rsidRDefault="00000000">
            <w:pPr>
              <w:spacing w:after="0"/>
              <w:ind w:right="479"/>
              <w:jc w:val="right"/>
            </w:pPr>
            <w:r>
              <w:t>2</w:t>
            </w:r>
          </w:p>
        </w:tc>
      </w:tr>
    </w:tbl>
    <w:p w:rsidR="00000000" w:rsidRDefault="00000000">
      <w:pPr>
        <w:pStyle w:val="Heading2"/>
      </w:pPr>
      <w:r>
        <w:t>Table 55</w:t>
      </w:r>
    </w:p>
    <w:p w:rsidR="00000000" w:rsidRDefault="00000000">
      <w:pPr>
        <w:pStyle w:val="Heading2"/>
      </w:pPr>
      <w:r>
        <w:t>Pupils attending high schools, 2003/04</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28" w:type="dxa"/>
        </w:tblCellMar>
        <w:tblLook w:val="0000" w:firstRow="0" w:lastRow="0" w:firstColumn="0" w:lastColumn="0" w:noHBand="0" w:noVBand="0"/>
      </w:tblPr>
      <w:tblGrid>
        <w:gridCol w:w="851"/>
        <w:gridCol w:w="3262"/>
        <w:gridCol w:w="1310"/>
        <w:gridCol w:w="1311"/>
        <w:gridCol w:w="1311"/>
        <w:gridCol w:w="1311"/>
      </w:tblGrid>
      <w:tr w:rsidR="00000000">
        <w:tblPrEx>
          <w:tblCellMar>
            <w:top w:w="0" w:type="dxa"/>
          </w:tblCellMar>
        </w:tblPrEx>
        <w:tc>
          <w:tcPr>
            <w:tcW w:w="851" w:type="dxa"/>
            <w:tcBorders>
              <w:bottom w:val="single" w:sz="4" w:space="0" w:color="auto"/>
            </w:tcBorders>
          </w:tcPr>
          <w:p w:rsidR="00000000" w:rsidRDefault="00000000">
            <w:pPr>
              <w:pStyle w:val="Header"/>
              <w:tabs>
                <w:tab w:val="clear" w:pos="4320"/>
                <w:tab w:val="clear" w:pos="8640"/>
              </w:tabs>
              <w:spacing w:after="0"/>
              <w:jc w:val="center"/>
            </w:pPr>
          </w:p>
        </w:tc>
        <w:tc>
          <w:tcPr>
            <w:tcW w:w="3262" w:type="dxa"/>
            <w:tcBorders>
              <w:bottom w:val="single" w:sz="4" w:space="0" w:color="auto"/>
            </w:tcBorders>
          </w:tcPr>
          <w:p w:rsidR="00000000" w:rsidRDefault="00000000">
            <w:pPr>
              <w:pStyle w:val="Header"/>
              <w:tabs>
                <w:tab w:val="clear" w:pos="4320"/>
                <w:tab w:val="clear" w:pos="8640"/>
              </w:tabs>
              <w:spacing w:after="0"/>
              <w:jc w:val="center"/>
            </w:pPr>
            <w:r>
              <w:t>Enrolled pupils</w:t>
            </w:r>
          </w:p>
        </w:tc>
        <w:tc>
          <w:tcPr>
            <w:tcW w:w="1310" w:type="dxa"/>
            <w:tcBorders>
              <w:bottom w:val="single" w:sz="4" w:space="0" w:color="auto"/>
            </w:tcBorders>
          </w:tcPr>
          <w:p w:rsidR="00000000" w:rsidRDefault="00000000">
            <w:pPr>
              <w:spacing w:after="0"/>
              <w:jc w:val="center"/>
            </w:pPr>
            <w:r>
              <w:t xml:space="preserve">Total </w:t>
            </w:r>
          </w:p>
        </w:tc>
        <w:tc>
          <w:tcPr>
            <w:tcW w:w="1311" w:type="dxa"/>
            <w:tcBorders>
              <w:bottom w:val="single" w:sz="4" w:space="0" w:color="auto"/>
            </w:tcBorders>
          </w:tcPr>
          <w:p w:rsidR="00000000" w:rsidRDefault="00000000">
            <w:pPr>
              <w:spacing w:after="0"/>
              <w:jc w:val="center"/>
            </w:pPr>
            <w:r>
              <w:t>Females</w:t>
            </w:r>
          </w:p>
        </w:tc>
        <w:tc>
          <w:tcPr>
            <w:tcW w:w="1311" w:type="dxa"/>
            <w:tcBorders>
              <w:bottom w:val="single" w:sz="4" w:space="0" w:color="auto"/>
            </w:tcBorders>
          </w:tcPr>
          <w:p w:rsidR="00000000" w:rsidRDefault="00000000">
            <w:pPr>
              <w:spacing w:after="0"/>
              <w:jc w:val="center"/>
            </w:pPr>
            <w:r>
              <w:t>Rural areas</w:t>
            </w:r>
          </w:p>
        </w:tc>
        <w:tc>
          <w:tcPr>
            <w:tcW w:w="1311" w:type="dxa"/>
            <w:tcBorders>
              <w:bottom w:val="single" w:sz="4" w:space="0" w:color="auto"/>
            </w:tcBorders>
          </w:tcPr>
          <w:p w:rsidR="00000000" w:rsidRDefault="00000000">
            <w:pPr>
              <w:spacing w:after="0"/>
              <w:jc w:val="center"/>
            </w:pPr>
            <w:r>
              <w:t>Females</w:t>
            </w:r>
          </w:p>
        </w:tc>
      </w:tr>
      <w:tr w:rsidR="00000000">
        <w:tblPrEx>
          <w:tblCellMar>
            <w:top w:w="0" w:type="dxa"/>
          </w:tblCellMar>
        </w:tblPrEx>
        <w:tc>
          <w:tcPr>
            <w:tcW w:w="851" w:type="dxa"/>
            <w:tcBorders>
              <w:top w:val="single" w:sz="4" w:space="0" w:color="auto"/>
              <w:bottom w:val="nil"/>
            </w:tcBorders>
          </w:tcPr>
          <w:p w:rsidR="00000000" w:rsidRDefault="00000000">
            <w:pPr>
              <w:spacing w:after="0"/>
              <w:ind w:left="113"/>
            </w:pPr>
            <w:r>
              <w:t>1</w:t>
            </w:r>
          </w:p>
        </w:tc>
        <w:tc>
          <w:tcPr>
            <w:tcW w:w="3262" w:type="dxa"/>
            <w:tcBorders>
              <w:top w:val="single" w:sz="4" w:space="0" w:color="auto"/>
              <w:bottom w:val="nil"/>
            </w:tcBorders>
          </w:tcPr>
          <w:p w:rsidR="00000000" w:rsidRDefault="00000000">
            <w:pPr>
              <w:spacing w:after="0"/>
            </w:pPr>
            <w:r>
              <w:t>Total number of enrolled (2+3)</w:t>
            </w:r>
          </w:p>
        </w:tc>
        <w:tc>
          <w:tcPr>
            <w:tcW w:w="1310" w:type="dxa"/>
            <w:tcBorders>
              <w:top w:val="single" w:sz="4" w:space="0" w:color="auto"/>
              <w:bottom w:val="nil"/>
            </w:tcBorders>
          </w:tcPr>
          <w:p w:rsidR="00000000" w:rsidRDefault="00000000">
            <w:pPr>
              <w:spacing w:after="0"/>
              <w:ind w:right="170"/>
              <w:jc w:val="right"/>
            </w:pPr>
            <w:r>
              <w:t>118 361</w:t>
            </w:r>
          </w:p>
        </w:tc>
        <w:tc>
          <w:tcPr>
            <w:tcW w:w="1311" w:type="dxa"/>
            <w:tcBorders>
              <w:top w:val="single" w:sz="4" w:space="0" w:color="auto"/>
              <w:bottom w:val="nil"/>
            </w:tcBorders>
          </w:tcPr>
          <w:p w:rsidR="00000000" w:rsidRDefault="00000000">
            <w:pPr>
              <w:spacing w:after="0"/>
              <w:ind w:right="227"/>
              <w:jc w:val="right"/>
            </w:pPr>
            <w:r>
              <w:t>57 196</w:t>
            </w:r>
          </w:p>
        </w:tc>
        <w:tc>
          <w:tcPr>
            <w:tcW w:w="1311" w:type="dxa"/>
            <w:tcBorders>
              <w:top w:val="single" w:sz="4" w:space="0" w:color="auto"/>
              <w:bottom w:val="nil"/>
            </w:tcBorders>
          </w:tcPr>
          <w:p w:rsidR="00000000" w:rsidRDefault="00000000">
            <w:pPr>
              <w:spacing w:after="0"/>
              <w:ind w:right="227"/>
              <w:jc w:val="right"/>
            </w:pPr>
            <w:r>
              <w:t>39 356</w:t>
            </w:r>
          </w:p>
        </w:tc>
        <w:tc>
          <w:tcPr>
            <w:tcW w:w="1311" w:type="dxa"/>
            <w:tcBorders>
              <w:top w:val="single" w:sz="4" w:space="0" w:color="auto"/>
              <w:bottom w:val="nil"/>
            </w:tcBorders>
          </w:tcPr>
          <w:p w:rsidR="00000000" w:rsidRDefault="00000000">
            <w:pPr>
              <w:pStyle w:val="Header"/>
              <w:tabs>
                <w:tab w:val="clear" w:pos="4320"/>
                <w:tab w:val="clear" w:pos="8640"/>
              </w:tabs>
              <w:spacing w:after="0"/>
              <w:ind w:right="227"/>
              <w:jc w:val="right"/>
            </w:pPr>
            <w:r>
              <w:t>17 666</w:t>
            </w:r>
          </w:p>
        </w:tc>
      </w:tr>
      <w:tr w:rsidR="00000000">
        <w:tblPrEx>
          <w:tblCellMar>
            <w:top w:w="0" w:type="dxa"/>
          </w:tblCellMar>
        </w:tblPrEx>
        <w:tc>
          <w:tcPr>
            <w:tcW w:w="851" w:type="dxa"/>
            <w:tcBorders>
              <w:top w:val="nil"/>
            </w:tcBorders>
          </w:tcPr>
          <w:p w:rsidR="00000000" w:rsidRDefault="00000000">
            <w:pPr>
              <w:spacing w:after="0"/>
              <w:ind w:left="113"/>
            </w:pPr>
          </w:p>
        </w:tc>
        <w:tc>
          <w:tcPr>
            <w:tcW w:w="3262" w:type="dxa"/>
            <w:tcBorders>
              <w:top w:val="nil"/>
            </w:tcBorders>
          </w:tcPr>
          <w:p w:rsidR="00000000" w:rsidRDefault="00000000">
            <w:pPr>
              <w:tabs>
                <w:tab w:val="left" w:pos="227"/>
              </w:tabs>
              <w:spacing w:after="0"/>
            </w:pPr>
            <w:r>
              <w:tab/>
              <w:t>First-time enrolled</w:t>
            </w:r>
          </w:p>
        </w:tc>
        <w:tc>
          <w:tcPr>
            <w:tcW w:w="1310" w:type="dxa"/>
            <w:tcBorders>
              <w:top w:val="nil"/>
            </w:tcBorders>
          </w:tcPr>
          <w:p w:rsidR="00000000" w:rsidRDefault="00000000">
            <w:pPr>
              <w:spacing w:after="0"/>
              <w:ind w:right="170"/>
              <w:jc w:val="right"/>
            </w:pPr>
            <w:r>
              <w:t>37 704</w:t>
            </w:r>
          </w:p>
        </w:tc>
        <w:tc>
          <w:tcPr>
            <w:tcW w:w="1311" w:type="dxa"/>
            <w:tcBorders>
              <w:top w:val="nil"/>
            </w:tcBorders>
          </w:tcPr>
          <w:p w:rsidR="00000000" w:rsidRDefault="00000000">
            <w:pPr>
              <w:spacing w:after="0"/>
              <w:ind w:right="227"/>
              <w:jc w:val="right"/>
            </w:pPr>
            <w:r>
              <w:t>16 592</w:t>
            </w:r>
          </w:p>
        </w:tc>
        <w:tc>
          <w:tcPr>
            <w:tcW w:w="1311" w:type="dxa"/>
            <w:tcBorders>
              <w:top w:val="nil"/>
            </w:tcBorders>
          </w:tcPr>
          <w:p w:rsidR="00000000" w:rsidRDefault="00000000">
            <w:pPr>
              <w:spacing w:after="0"/>
              <w:ind w:right="227"/>
              <w:jc w:val="right"/>
            </w:pPr>
            <w:r>
              <w:t>13 111</w:t>
            </w:r>
          </w:p>
        </w:tc>
        <w:tc>
          <w:tcPr>
            <w:tcW w:w="1311" w:type="dxa"/>
            <w:tcBorders>
              <w:top w:val="nil"/>
            </w:tcBorders>
          </w:tcPr>
          <w:p w:rsidR="00000000" w:rsidRDefault="00000000">
            <w:pPr>
              <w:spacing w:after="0"/>
              <w:ind w:right="227"/>
              <w:jc w:val="right"/>
            </w:pPr>
            <w:r>
              <w:t>5 531</w:t>
            </w:r>
          </w:p>
        </w:tc>
      </w:tr>
      <w:tr w:rsidR="00000000">
        <w:tblPrEx>
          <w:tblCellMar>
            <w:top w:w="0" w:type="dxa"/>
          </w:tblCellMar>
        </w:tblPrEx>
        <w:tc>
          <w:tcPr>
            <w:tcW w:w="851" w:type="dxa"/>
          </w:tcPr>
          <w:p w:rsidR="00000000" w:rsidRDefault="00000000">
            <w:pPr>
              <w:spacing w:after="0"/>
              <w:ind w:left="113"/>
            </w:pPr>
            <w:r>
              <w:t>1.1</w:t>
            </w:r>
          </w:p>
        </w:tc>
        <w:tc>
          <w:tcPr>
            <w:tcW w:w="3262" w:type="dxa"/>
          </w:tcPr>
          <w:p w:rsidR="00000000" w:rsidRDefault="00000000">
            <w:pPr>
              <w:spacing w:after="0"/>
            </w:pPr>
            <w:r>
              <w:t>Pupils attending first class</w:t>
            </w:r>
          </w:p>
        </w:tc>
        <w:tc>
          <w:tcPr>
            <w:tcW w:w="1310" w:type="dxa"/>
          </w:tcPr>
          <w:p w:rsidR="00000000" w:rsidRDefault="00000000">
            <w:pPr>
              <w:spacing w:after="0"/>
              <w:ind w:right="170"/>
              <w:jc w:val="right"/>
            </w:pPr>
            <w:r>
              <w:t>39 051</w:t>
            </w:r>
          </w:p>
        </w:tc>
        <w:tc>
          <w:tcPr>
            <w:tcW w:w="1311" w:type="dxa"/>
          </w:tcPr>
          <w:p w:rsidR="00000000" w:rsidRDefault="00000000">
            <w:pPr>
              <w:spacing w:after="0"/>
              <w:ind w:right="227"/>
              <w:jc w:val="right"/>
            </w:pPr>
            <w:r>
              <w:t>16 851</w:t>
            </w:r>
          </w:p>
        </w:tc>
        <w:tc>
          <w:tcPr>
            <w:tcW w:w="1311" w:type="dxa"/>
          </w:tcPr>
          <w:p w:rsidR="00000000" w:rsidRDefault="00000000">
            <w:pPr>
              <w:spacing w:after="0"/>
              <w:ind w:right="227"/>
              <w:jc w:val="right"/>
            </w:pPr>
            <w:r>
              <w:t>13 582</w:t>
            </w:r>
          </w:p>
        </w:tc>
        <w:tc>
          <w:tcPr>
            <w:tcW w:w="1311" w:type="dxa"/>
          </w:tcPr>
          <w:p w:rsidR="00000000" w:rsidRDefault="00000000">
            <w:pPr>
              <w:spacing w:after="0"/>
              <w:ind w:right="227"/>
              <w:jc w:val="right"/>
            </w:pPr>
            <w:r>
              <w:t>5 626</w:t>
            </w:r>
          </w:p>
        </w:tc>
      </w:tr>
      <w:tr w:rsidR="00000000">
        <w:tblPrEx>
          <w:tblCellMar>
            <w:top w:w="0" w:type="dxa"/>
          </w:tblCellMar>
        </w:tblPrEx>
        <w:tc>
          <w:tcPr>
            <w:tcW w:w="851" w:type="dxa"/>
          </w:tcPr>
          <w:p w:rsidR="00000000" w:rsidRDefault="00000000">
            <w:pPr>
              <w:spacing w:after="0"/>
              <w:ind w:left="113"/>
            </w:pPr>
            <w:r>
              <w:t>1.2</w:t>
            </w:r>
          </w:p>
        </w:tc>
        <w:tc>
          <w:tcPr>
            <w:tcW w:w="3262" w:type="dxa"/>
          </w:tcPr>
          <w:p w:rsidR="00000000" w:rsidRDefault="00000000">
            <w:pPr>
              <w:spacing w:after="0"/>
            </w:pPr>
            <w:r>
              <w:t>Pupils attending second class</w:t>
            </w:r>
          </w:p>
        </w:tc>
        <w:tc>
          <w:tcPr>
            <w:tcW w:w="1310" w:type="dxa"/>
          </w:tcPr>
          <w:p w:rsidR="00000000" w:rsidRDefault="00000000">
            <w:pPr>
              <w:spacing w:after="0"/>
              <w:ind w:right="170"/>
              <w:jc w:val="right"/>
            </w:pPr>
            <w:r>
              <w:t>30 789</w:t>
            </w:r>
          </w:p>
        </w:tc>
        <w:tc>
          <w:tcPr>
            <w:tcW w:w="1311" w:type="dxa"/>
          </w:tcPr>
          <w:p w:rsidR="00000000" w:rsidRDefault="00000000">
            <w:pPr>
              <w:spacing w:after="0"/>
              <w:ind w:right="227"/>
              <w:jc w:val="right"/>
            </w:pPr>
            <w:r>
              <w:t>14 857</w:t>
            </w:r>
          </w:p>
        </w:tc>
        <w:tc>
          <w:tcPr>
            <w:tcW w:w="1311" w:type="dxa"/>
          </w:tcPr>
          <w:p w:rsidR="00000000" w:rsidRDefault="00000000">
            <w:pPr>
              <w:spacing w:after="0"/>
              <w:ind w:right="227"/>
              <w:jc w:val="right"/>
            </w:pPr>
            <w:r>
              <w:t>10 239</w:t>
            </w:r>
          </w:p>
        </w:tc>
        <w:tc>
          <w:tcPr>
            <w:tcW w:w="1311" w:type="dxa"/>
          </w:tcPr>
          <w:p w:rsidR="00000000" w:rsidRDefault="00000000">
            <w:pPr>
              <w:spacing w:after="0"/>
              <w:ind w:right="227"/>
              <w:jc w:val="right"/>
            </w:pPr>
            <w:r>
              <w:t>4 648</w:t>
            </w:r>
          </w:p>
        </w:tc>
      </w:tr>
      <w:tr w:rsidR="00000000">
        <w:tblPrEx>
          <w:tblCellMar>
            <w:top w:w="0" w:type="dxa"/>
          </w:tblCellMar>
        </w:tblPrEx>
        <w:tc>
          <w:tcPr>
            <w:tcW w:w="851" w:type="dxa"/>
          </w:tcPr>
          <w:p w:rsidR="00000000" w:rsidRDefault="00000000">
            <w:pPr>
              <w:spacing w:after="0"/>
              <w:ind w:left="113"/>
            </w:pPr>
            <w:r>
              <w:t>1.3</w:t>
            </w:r>
          </w:p>
        </w:tc>
        <w:tc>
          <w:tcPr>
            <w:tcW w:w="3262" w:type="dxa"/>
          </w:tcPr>
          <w:p w:rsidR="00000000" w:rsidRDefault="00000000">
            <w:pPr>
              <w:spacing w:after="0"/>
            </w:pPr>
            <w:r>
              <w:t>Pupils attending third class</w:t>
            </w:r>
          </w:p>
        </w:tc>
        <w:tc>
          <w:tcPr>
            <w:tcW w:w="1310" w:type="dxa"/>
          </w:tcPr>
          <w:p w:rsidR="00000000" w:rsidRDefault="00000000">
            <w:pPr>
              <w:spacing w:after="0"/>
              <w:ind w:right="170"/>
              <w:jc w:val="right"/>
            </w:pPr>
            <w:r>
              <w:t>26 739</w:t>
            </w:r>
          </w:p>
        </w:tc>
        <w:tc>
          <w:tcPr>
            <w:tcW w:w="1311" w:type="dxa"/>
          </w:tcPr>
          <w:p w:rsidR="00000000" w:rsidRDefault="00000000">
            <w:pPr>
              <w:spacing w:after="0"/>
              <w:ind w:right="227"/>
              <w:jc w:val="right"/>
            </w:pPr>
            <w:r>
              <w:t>13 616</w:t>
            </w:r>
          </w:p>
        </w:tc>
        <w:tc>
          <w:tcPr>
            <w:tcW w:w="1311" w:type="dxa"/>
          </w:tcPr>
          <w:p w:rsidR="00000000" w:rsidRDefault="00000000">
            <w:pPr>
              <w:spacing w:after="0"/>
              <w:ind w:right="227"/>
              <w:jc w:val="right"/>
            </w:pPr>
            <w:r>
              <w:t>8 762</w:t>
            </w:r>
          </w:p>
        </w:tc>
        <w:tc>
          <w:tcPr>
            <w:tcW w:w="1311" w:type="dxa"/>
          </w:tcPr>
          <w:p w:rsidR="00000000" w:rsidRDefault="00000000">
            <w:pPr>
              <w:spacing w:after="0"/>
              <w:ind w:right="227"/>
              <w:jc w:val="right"/>
            </w:pPr>
            <w:r>
              <w:t>4 046</w:t>
            </w:r>
          </w:p>
        </w:tc>
      </w:tr>
      <w:tr w:rsidR="00000000">
        <w:tblPrEx>
          <w:tblCellMar>
            <w:top w:w="0" w:type="dxa"/>
          </w:tblCellMar>
        </w:tblPrEx>
        <w:tc>
          <w:tcPr>
            <w:tcW w:w="851" w:type="dxa"/>
          </w:tcPr>
          <w:p w:rsidR="00000000" w:rsidRDefault="00000000">
            <w:pPr>
              <w:spacing w:after="0"/>
              <w:ind w:left="113"/>
            </w:pPr>
            <w:r>
              <w:t>1.4</w:t>
            </w:r>
          </w:p>
        </w:tc>
        <w:tc>
          <w:tcPr>
            <w:tcW w:w="3262" w:type="dxa"/>
          </w:tcPr>
          <w:p w:rsidR="00000000" w:rsidRDefault="00000000">
            <w:pPr>
              <w:spacing w:after="0"/>
            </w:pPr>
            <w:r>
              <w:t>Pupils attending fourth class</w:t>
            </w:r>
          </w:p>
        </w:tc>
        <w:tc>
          <w:tcPr>
            <w:tcW w:w="1310" w:type="dxa"/>
          </w:tcPr>
          <w:p w:rsidR="00000000" w:rsidRDefault="00000000">
            <w:pPr>
              <w:spacing w:after="0"/>
              <w:ind w:right="170"/>
              <w:jc w:val="right"/>
            </w:pPr>
            <w:r>
              <w:t>20 916</w:t>
            </w:r>
          </w:p>
        </w:tc>
        <w:tc>
          <w:tcPr>
            <w:tcW w:w="1311" w:type="dxa"/>
          </w:tcPr>
          <w:p w:rsidR="00000000" w:rsidRDefault="00000000">
            <w:pPr>
              <w:spacing w:after="0"/>
              <w:ind w:right="227"/>
              <w:jc w:val="right"/>
            </w:pPr>
            <w:r>
              <w:t>11 634</w:t>
            </w:r>
          </w:p>
        </w:tc>
        <w:tc>
          <w:tcPr>
            <w:tcW w:w="1311" w:type="dxa"/>
          </w:tcPr>
          <w:p w:rsidR="00000000" w:rsidRDefault="00000000">
            <w:pPr>
              <w:spacing w:after="0"/>
              <w:ind w:right="227"/>
              <w:jc w:val="right"/>
            </w:pPr>
            <w:r>
              <w:t>6 645</w:t>
            </w:r>
          </w:p>
        </w:tc>
        <w:tc>
          <w:tcPr>
            <w:tcW w:w="1311" w:type="dxa"/>
          </w:tcPr>
          <w:p w:rsidR="00000000" w:rsidRDefault="00000000">
            <w:pPr>
              <w:spacing w:after="0"/>
              <w:ind w:right="227"/>
              <w:jc w:val="right"/>
            </w:pPr>
            <w:r>
              <w:t>3 327</w:t>
            </w:r>
          </w:p>
        </w:tc>
      </w:tr>
      <w:tr w:rsidR="00000000">
        <w:tblPrEx>
          <w:tblCellMar>
            <w:top w:w="0" w:type="dxa"/>
          </w:tblCellMar>
        </w:tblPrEx>
        <w:tc>
          <w:tcPr>
            <w:tcW w:w="851" w:type="dxa"/>
          </w:tcPr>
          <w:p w:rsidR="00000000" w:rsidRDefault="00000000">
            <w:pPr>
              <w:spacing w:after="0"/>
              <w:ind w:left="113"/>
            </w:pPr>
            <w:r>
              <w:t>1.5</w:t>
            </w:r>
          </w:p>
        </w:tc>
        <w:tc>
          <w:tcPr>
            <w:tcW w:w="3262" w:type="dxa"/>
          </w:tcPr>
          <w:p w:rsidR="00000000" w:rsidRDefault="00000000">
            <w:pPr>
              <w:spacing w:after="0"/>
            </w:pPr>
            <w:r>
              <w:t>Pupils attending fifth class</w:t>
            </w:r>
          </w:p>
        </w:tc>
        <w:tc>
          <w:tcPr>
            <w:tcW w:w="1310" w:type="dxa"/>
          </w:tcPr>
          <w:p w:rsidR="00000000" w:rsidRDefault="00000000">
            <w:pPr>
              <w:spacing w:after="0"/>
              <w:ind w:right="170"/>
              <w:jc w:val="right"/>
            </w:pPr>
            <w:r>
              <w:t>866</w:t>
            </w:r>
          </w:p>
        </w:tc>
        <w:tc>
          <w:tcPr>
            <w:tcW w:w="1311" w:type="dxa"/>
          </w:tcPr>
          <w:p w:rsidR="00000000" w:rsidRDefault="00000000">
            <w:pPr>
              <w:spacing w:after="0"/>
              <w:ind w:right="227"/>
              <w:jc w:val="right"/>
            </w:pPr>
            <w:r>
              <w:t>238</w:t>
            </w:r>
          </w:p>
        </w:tc>
        <w:tc>
          <w:tcPr>
            <w:tcW w:w="1311" w:type="dxa"/>
          </w:tcPr>
          <w:p w:rsidR="00000000" w:rsidRDefault="00000000">
            <w:pPr>
              <w:spacing w:after="0"/>
              <w:ind w:right="227"/>
              <w:jc w:val="right"/>
            </w:pPr>
            <w:r>
              <w:t>128</w:t>
            </w:r>
          </w:p>
        </w:tc>
        <w:tc>
          <w:tcPr>
            <w:tcW w:w="1311" w:type="dxa"/>
          </w:tcPr>
          <w:p w:rsidR="00000000" w:rsidRDefault="00000000">
            <w:pPr>
              <w:spacing w:after="0"/>
              <w:ind w:right="227"/>
              <w:jc w:val="right"/>
            </w:pPr>
            <w:r>
              <w:t>19</w:t>
            </w:r>
          </w:p>
        </w:tc>
      </w:tr>
      <w:tr w:rsidR="00000000">
        <w:tblPrEx>
          <w:tblCellMar>
            <w:top w:w="0" w:type="dxa"/>
          </w:tblCellMar>
        </w:tblPrEx>
        <w:tc>
          <w:tcPr>
            <w:tcW w:w="851" w:type="dxa"/>
          </w:tcPr>
          <w:p w:rsidR="00000000" w:rsidRDefault="00000000">
            <w:pPr>
              <w:spacing w:after="0"/>
              <w:ind w:left="113"/>
            </w:pPr>
            <w:r>
              <w:t>2</w:t>
            </w:r>
          </w:p>
        </w:tc>
        <w:tc>
          <w:tcPr>
            <w:tcW w:w="3262" w:type="dxa"/>
          </w:tcPr>
          <w:p w:rsidR="00000000" w:rsidRDefault="00000000">
            <w:pPr>
              <w:spacing w:after="0"/>
            </w:pPr>
            <w:r>
              <w:t>General education</w:t>
            </w:r>
          </w:p>
        </w:tc>
        <w:tc>
          <w:tcPr>
            <w:tcW w:w="1310" w:type="dxa"/>
          </w:tcPr>
          <w:p w:rsidR="00000000" w:rsidRDefault="00000000">
            <w:pPr>
              <w:spacing w:after="0"/>
              <w:ind w:right="170"/>
              <w:jc w:val="right"/>
            </w:pPr>
            <w:r>
              <w:t>96 637</w:t>
            </w:r>
          </w:p>
        </w:tc>
        <w:tc>
          <w:tcPr>
            <w:tcW w:w="1311" w:type="dxa"/>
          </w:tcPr>
          <w:p w:rsidR="00000000" w:rsidRDefault="00000000">
            <w:pPr>
              <w:spacing w:after="0"/>
              <w:ind w:right="227"/>
              <w:jc w:val="right"/>
            </w:pPr>
            <w:r>
              <w:t>50 143</w:t>
            </w:r>
          </w:p>
        </w:tc>
        <w:tc>
          <w:tcPr>
            <w:tcW w:w="1311" w:type="dxa"/>
          </w:tcPr>
          <w:p w:rsidR="00000000" w:rsidRDefault="00000000">
            <w:pPr>
              <w:spacing w:after="0"/>
              <w:ind w:right="227"/>
              <w:jc w:val="right"/>
            </w:pPr>
            <w:r>
              <w:t>35 164</w:t>
            </w:r>
          </w:p>
        </w:tc>
        <w:tc>
          <w:tcPr>
            <w:tcW w:w="1311" w:type="dxa"/>
          </w:tcPr>
          <w:p w:rsidR="00000000" w:rsidRDefault="00000000">
            <w:pPr>
              <w:spacing w:after="0"/>
              <w:ind w:right="227"/>
              <w:jc w:val="right"/>
            </w:pPr>
            <w:r>
              <w:t>16 519</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tabs>
                <w:tab w:val="left" w:pos="227"/>
              </w:tabs>
              <w:spacing w:after="0"/>
            </w:pPr>
            <w:r>
              <w:tab/>
              <w:t>First-time enrolled</w:t>
            </w:r>
          </w:p>
        </w:tc>
        <w:tc>
          <w:tcPr>
            <w:tcW w:w="1310" w:type="dxa"/>
          </w:tcPr>
          <w:p w:rsidR="00000000" w:rsidRDefault="00000000">
            <w:pPr>
              <w:spacing w:after="0"/>
              <w:ind w:right="170"/>
              <w:jc w:val="right"/>
            </w:pPr>
            <w:r>
              <w:t>30 307</w:t>
            </w:r>
          </w:p>
        </w:tc>
        <w:tc>
          <w:tcPr>
            <w:tcW w:w="1311" w:type="dxa"/>
          </w:tcPr>
          <w:p w:rsidR="00000000" w:rsidRDefault="00000000">
            <w:pPr>
              <w:spacing w:after="0"/>
              <w:ind w:right="227"/>
              <w:jc w:val="right"/>
            </w:pPr>
            <w:r>
              <w:t>14 514</w:t>
            </w:r>
          </w:p>
        </w:tc>
        <w:tc>
          <w:tcPr>
            <w:tcW w:w="1311" w:type="dxa"/>
          </w:tcPr>
          <w:p w:rsidR="00000000" w:rsidRDefault="00000000">
            <w:pPr>
              <w:spacing w:after="0"/>
              <w:ind w:right="227"/>
              <w:jc w:val="right"/>
            </w:pPr>
            <w:r>
              <w:t>11 756</w:t>
            </w:r>
          </w:p>
        </w:tc>
        <w:tc>
          <w:tcPr>
            <w:tcW w:w="1311" w:type="dxa"/>
          </w:tcPr>
          <w:p w:rsidR="00000000" w:rsidRDefault="00000000">
            <w:pPr>
              <w:spacing w:after="0"/>
              <w:ind w:right="227"/>
              <w:jc w:val="right"/>
            </w:pPr>
            <w:r>
              <w:t>5 081</w:t>
            </w:r>
          </w:p>
        </w:tc>
      </w:tr>
      <w:tr w:rsidR="00000000">
        <w:tblPrEx>
          <w:tblCellMar>
            <w:top w:w="0" w:type="dxa"/>
          </w:tblCellMar>
        </w:tblPrEx>
        <w:tc>
          <w:tcPr>
            <w:tcW w:w="851" w:type="dxa"/>
          </w:tcPr>
          <w:p w:rsidR="00000000" w:rsidRDefault="00000000">
            <w:pPr>
              <w:spacing w:after="0"/>
              <w:ind w:left="113"/>
            </w:pPr>
            <w:r>
              <w:t>2.1</w:t>
            </w:r>
          </w:p>
        </w:tc>
        <w:tc>
          <w:tcPr>
            <w:tcW w:w="3262" w:type="dxa"/>
          </w:tcPr>
          <w:p w:rsidR="00000000" w:rsidRDefault="00000000">
            <w:pPr>
              <w:spacing w:after="0"/>
            </w:pPr>
            <w:r>
              <w:t>Pupils attending first class</w:t>
            </w:r>
          </w:p>
        </w:tc>
        <w:tc>
          <w:tcPr>
            <w:tcW w:w="1310" w:type="dxa"/>
          </w:tcPr>
          <w:p w:rsidR="00000000" w:rsidRDefault="00000000">
            <w:pPr>
              <w:spacing w:after="0"/>
              <w:ind w:right="170"/>
              <w:jc w:val="right"/>
            </w:pPr>
            <w:r>
              <w:t>31 543</w:t>
            </w:r>
          </w:p>
        </w:tc>
        <w:tc>
          <w:tcPr>
            <w:tcW w:w="1311" w:type="dxa"/>
          </w:tcPr>
          <w:p w:rsidR="00000000" w:rsidRDefault="00000000">
            <w:pPr>
              <w:spacing w:after="0"/>
              <w:ind w:right="227"/>
              <w:jc w:val="right"/>
            </w:pPr>
            <w:r>
              <w:t>14 621</w:t>
            </w:r>
          </w:p>
        </w:tc>
        <w:tc>
          <w:tcPr>
            <w:tcW w:w="1311" w:type="dxa"/>
          </w:tcPr>
          <w:p w:rsidR="00000000" w:rsidRDefault="00000000">
            <w:pPr>
              <w:spacing w:after="0"/>
              <w:ind w:right="227"/>
              <w:jc w:val="right"/>
            </w:pPr>
            <w:r>
              <w:t>12 026</w:t>
            </w:r>
          </w:p>
        </w:tc>
        <w:tc>
          <w:tcPr>
            <w:tcW w:w="1311" w:type="dxa"/>
          </w:tcPr>
          <w:p w:rsidR="00000000" w:rsidRDefault="00000000">
            <w:pPr>
              <w:spacing w:after="0"/>
              <w:ind w:right="227"/>
              <w:jc w:val="right"/>
            </w:pPr>
            <w:r>
              <w:t>5 174</w:t>
            </w:r>
          </w:p>
        </w:tc>
      </w:tr>
      <w:tr w:rsidR="00000000">
        <w:tblPrEx>
          <w:tblCellMar>
            <w:top w:w="0" w:type="dxa"/>
          </w:tblCellMar>
        </w:tblPrEx>
        <w:tc>
          <w:tcPr>
            <w:tcW w:w="851" w:type="dxa"/>
          </w:tcPr>
          <w:p w:rsidR="00000000" w:rsidRDefault="00000000">
            <w:pPr>
              <w:spacing w:after="0"/>
              <w:ind w:left="113"/>
            </w:pPr>
            <w:r>
              <w:t>2.2</w:t>
            </w:r>
          </w:p>
        </w:tc>
        <w:tc>
          <w:tcPr>
            <w:tcW w:w="3262" w:type="dxa"/>
          </w:tcPr>
          <w:p w:rsidR="00000000" w:rsidRDefault="00000000">
            <w:pPr>
              <w:spacing w:after="0"/>
            </w:pPr>
            <w:r>
              <w:t>Pupils attending second class</w:t>
            </w:r>
          </w:p>
        </w:tc>
        <w:tc>
          <w:tcPr>
            <w:tcW w:w="1310" w:type="dxa"/>
          </w:tcPr>
          <w:p w:rsidR="00000000" w:rsidRDefault="00000000">
            <w:pPr>
              <w:spacing w:after="0"/>
              <w:ind w:right="170"/>
              <w:jc w:val="right"/>
            </w:pPr>
            <w:r>
              <w:t>25 006</w:t>
            </w:r>
          </w:p>
        </w:tc>
        <w:tc>
          <w:tcPr>
            <w:tcW w:w="1311" w:type="dxa"/>
          </w:tcPr>
          <w:p w:rsidR="00000000" w:rsidRDefault="00000000">
            <w:pPr>
              <w:spacing w:after="0"/>
              <w:ind w:right="227"/>
              <w:jc w:val="right"/>
            </w:pPr>
            <w:r>
              <w:t>13 149</w:t>
            </w:r>
          </w:p>
        </w:tc>
        <w:tc>
          <w:tcPr>
            <w:tcW w:w="1311" w:type="dxa"/>
          </w:tcPr>
          <w:p w:rsidR="00000000" w:rsidRDefault="00000000">
            <w:pPr>
              <w:spacing w:after="0"/>
              <w:ind w:right="227"/>
              <w:jc w:val="right"/>
            </w:pPr>
            <w:r>
              <w:t>9 137</w:t>
            </w:r>
          </w:p>
        </w:tc>
        <w:tc>
          <w:tcPr>
            <w:tcW w:w="1311" w:type="dxa"/>
          </w:tcPr>
          <w:p w:rsidR="00000000" w:rsidRDefault="00000000">
            <w:pPr>
              <w:spacing w:after="0"/>
              <w:ind w:right="227"/>
              <w:jc w:val="right"/>
            </w:pPr>
            <w:r>
              <w:t>4 375</w:t>
            </w:r>
          </w:p>
        </w:tc>
      </w:tr>
      <w:tr w:rsidR="00000000">
        <w:tblPrEx>
          <w:tblCellMar>
            <w:top w:w="0" w:type="dxa"/>
          </w:tblCellMar>
        </w:tblPrEx>
        <w:tc>
          <w:tcPr>
            <w:tcW w:w="851" w:type="dxa"/>
          </w:tcPr>
          <w:p w:rsidR="00000000" w:rsidRDefault="00000000">
            <w:pPr>
              <w:spacing w:after="0"/>
              <w:ind w:left="113"/>
            </w:pPr>
            <w:r>
              <w:t>2.3</w:t>
            </w:r>
          </w:p>
        </w:tc>
        <w:tc>
          <w:tcPr>
            <w:tcW w:w="3262" w:type="dxa"/>
          </w:tcPr>
          <w:p w:rsidR="00000000" w:rsidRDefault="00000000">
            <w:pPr>
              <w:spacing w:after="0"/>
            </w:pPr>
            <w:r>
              <w:t>Pupils attending third class</w:t>
            </w:r>
          </w:p>
        </w:tc>
        <w:tc>
          <w:tcPr>
            <w:tcW w:w="1310" w:type="dxa"/>
          </w:tcPr>
          <w:p w:rsidR="00000000" w:rsidRDefault="00000000">
            <w:pPr>
              <w:spacing w:after="0"/>
              <w:ind w:right="170"/>
              <w:jc w:val="right"/>
            </w:pPr>
            <w:r>
              <w:t>21 790</w:t>
            </w:r>
          </w:p>
        </w:tc>
        <w:tc>
          <w:tcPr>
            <w:tcW w:w="1311" w:type="dxa"/>
          </w:tcPr>
          <w:p w:rsidR="00000000" w:rsidRDefault="00000000">
            <w:pPr>
              <w:spacing w:after="0"/>
              <w:ind w:right="227"/>
              <w:jc w:val="right"/>
            </w:pPr>
            <w:r>
              <w:t>12 014</w:t>
            </w:r>
          </w:p>
        </w:tc>
        <w:tc>
          <w:tcPr>
            <w:tcW w:w="1311" w:type="dxa"/>
          </w:tcPr>
          <w:p w:rsidR="00000000" w:rsidRDefault="00000000">
            <w:pPr>
              <w:spacing w:after="0"/>
              <w:ind w:right="227"/>
              <w:jc w:val="right"/>
            </w:pPr>
            <w:r>
              <w:t>7 739</w:t>
            </w:r>
          </w:p>
        </w:tc>
        <w:tc>
          <w:tcPr>
            <w:tcW w:w="1311" w:type="dxa"/>
          </w:tcPr>
          <w:p w:rsidR="00000000" w:rsidRDefault="00000000">
            <w:pPr>
              <w:spacing w:after="0"/>
              <w:ind w:right="227"/>
              <w:jc w:val="right"/>
            </w:pPr>
            <w:r>
              <w:t>3 792</w:t>
            </w:r>
          </w:p>
        </w:tc>
      </w:tr>
      <w:tr w:rsidR="00000000">
        <w:tblPrEx>
          <w:tblCellMar>
            <w:top w:w="0" w:type="dxa"/>
          </w:tblCellMar>
        </w:tblPrEx>
        <w:tc>
          <w:tcPr>
            <w:tcW w:w="851" w:type="dxa"/>
          </w:tcPr>
          <w:p w:rsidR="00000000" w:rsidRDefault="00000000">
            <w:pPr>
              <w:spacing w:after="0"/>
              <w:ind w:left="113"/>
            </w:pPr>
            <w:r>
              <w:t xml:space="preserve">  (a)</w:t>
            </w:r>
          </w:p>
        </w:tc>
        <w:tc>
          <w:tcPr>
            <w:tcW w:w="3262" w:type="dxa"/>
          </w:tcPr>
          <w:p w:rsidR="00000000" w:rsidRDefault="00000000">
            <w:pPr>
              <w:tabs>
                <w:tab w:val="left" w:pos="227"/>
              </w:tabs>
              <w:spacing w:after="0"/>
            </w:pPr>
            <w:r>
              <w:tab/>
              <w:t>Natural branches</w:t>
            </w:r>
          </w:p>
        </w:tc>
        <w:tc>
          <w:tcPr>
            <w:tcW w:w="1310" w:type="dxa"/>
          </w:tcPr>
          <w:p w:rsidR="00000000" w:rsidRDefault="00000000">
            <w:pPr>
              <w:spacing w:after="0"/>
              <w:ind w:right="170"/>
              <w:jc w:val="right"/>
            </w:pPr>
            <w:r>
              <w:t>1 409</w:t>
            </w:r>
          </w:p>
        </w:tc>
        <w:tc>
          <w:tcPr>
            <w:tcW w:w="1311" w:type="dxa"/>
          </w:tcPr>
          <w:p w:rsidR="00000000" w:rsidRDefault="00000000">
            <w:pPr>
              <w:spacing w:after="0"/>
              <w:ind w:right="227"/>
              <w:jc w:val="right"/>
            </w:pPr>
            <w:r>
              <w:t>769</w:t>
            </w:r>
          </w:p>
        </w:tc>
        <w:tc>
          <w:tcPr>
            <w:tcW w:w="1311" w:type="dxa"/>
          </w:tcPr>
          <w:p w:rsidR="00000000" w:rsidRDefault="00000000">
            <w:pPr>
              <w:spacing w:after="0"/>
              <w:ind w:right="227"/>
              <w:jc w:val="right"/>
            </w:pPr>
            <w:r>
              <w:t>0</w:t>
            </w:r>
          </w:p>
        </w:tc>
        <w:tc>
          <w:tcPr>
            <w:tcW w:w="1311" w:type="dxa"/>
          </w:tcPr>
          <w:p w:rsidR="00000000" w:rsidRDefault="00000000">
            <w:pPr>
              <w:spacing w:after="0"/>
              <w:ind w:right="227"/>
              <w:jc w:val="right"/>
            </w:pPr>
            <w:r>
              <w:t>0</w:t>
            </w:r>
          </w:p>
        </w:tc>
      </w:tr>
      <w:tr w:rsidR="00000000">
        <w:tblPrEx>
          <w:tblCellMar>
            <w:top w:w="0" w:type="dxa"/>
          </w:tblCellMar>
        </w:tblPrEx>
        <w:tc>
          <w:tcPr>
            <w:tcW w:w="851" w:type="dxa"/>
          </w:tcPr>
          <w:p w:rsidR="00000000" w:rsidRDefault="00000000">
            <w:pPr>
              <w:spacing w:after="0"/>
              <w:ind w:left="113"/>
            </w:pPr>
            <w:r>
              <w:t xml:space="preserve">  (b)</w:t>
            </w:r>
          </w:p>
        </w:tc>
        <w:tc>
          <w:tcPr>
            <w:tcW w:w="3262" w:type="dxa"/>
          </w:tcPr>
          <w:p w:rsidR="00000000" w:rsidRDefault="00000000">
            <w:pPr>
              <w:tabs>
                <w:tab w:val="left" w:pos="227"/>
              </w:tabs>
              <w:spacing w:after="0"/>
            </w:pPr>
            <w:r>
              <w:tab/>
              <w:t>Social branches</w:t>
            </w:r>
          </w:p>
        </w:tc>
        <w:tc>
          <w:tcPr>
            <w:tcW w:w="1310" w:type="dxa"/>
          </w:tcPr>
          <w:p w:rsidR="00000000" w:rsidRDefault="00000000">
            <w:pPr>
              <w:spacing w:after="0"/>
              <w:ind w:right="170"/>
              <w:jc w:val="right"/>
            </w:pPr>
            <w:r>
              <w:t>2 176</w:t>
            </w:r>
          </w:p>
        </w:tc>
        <w:tc>
          <w:tcPr>
            <w:tcW w:w="1311" w:type="dxa"/>
          </w:tcPr>
          <w:p w:rsidR="00000000" w:rsidRDefault="00000000">
            <w:pPr>
              <w:spacing w:after="0"/>
              <w:ind w:right="227"/>
              <w:jc w:val="right"/>
            </w:pPr>
            <w:r>
              <w:t>1 322</w:t>
            </w:r>
          </w:p>
        </w:tc>
        <w:tc>
          <w:tcPr>
            <w:tcW w:w="1311" w:type="dxa"/>
          </w:tcPr>
          <w:p w:rsidR="00000000" w:rsidRDefault="00000000">
            <w:pPr>
              <w:spacing w:after="0"/>
              <w:ind w:right="227"/>
              <w:jc w:val="right"/>
            </w:pPr>
            <w:r>
              <w:t>0</w:t>
            </w:r>
          </w:p>
        </w:tc>
        <w:tc>
          <w:tcPr>
            <w:tcW w:w="1311" w:type="dxa"/>
          </w:tcPr>
          <w:p w:rsidR="00000000" w:rsidRDefault="00000000">
            <w:pPr>
              <w:spacing w:after="0"/>
              <w:ind w:right="227"/>
              <w:jc w:val="right"/>
            </w:pPr>
            <w:r>
              <w:t>0</w:t>
            </w:r>
          </w:p>
        </w:tc>
      </w:tr>
      <w:tr w:rsidR="00000000">
        <w:tblPrEx>
          <w:tblCellMar>
            <w:top w:w="0" w:type="dxa"/>
          </w:tblCellMar>
        </w:tblPrEx>
        <w:tc>
          <w:tcPr>
            <w:tcW w:w="851" w:type="dxa"/>
          </w:tcPr>
          <w:p w:rsidR="00000000" w:rsidRDefault="00000000">
            <w:pPr>
              <w:spacing w:after="0"/>
              <w:ind w:left="113"/>
            </w:pPr>
            <w:r>
              <w:t>2.4</w:t>
            </w:r>
          </w:p>
        </w:tc>
        <w:tc>
          <w:tcPr>
            <w:tcW w:w="3262" w:type="dxa"/>
          </w:tcPr>
          <w:p w:rsidR="00000000" w:rsidRDefault="00000000">
            <w:pPr>
              <w:spacing w:after="0"/>
            </w:pPr>
            <w:r>
              <w:t>Pupils attending fourth class</w:t>
            </w:r>
          </w:p>
        </w:tc>
        <w:tc>
          <w:tcPr>
            <w:tcW w:w="1310" w:type="dxa"/>
          </w:tcPr>
          <w:p w:rsidR="00000000" w:rsidRDefault="00000000">
            <w:pPr>
              <w:spacing w:after="0"/>
              <w:ind w:right="170"/>
              <w:jc w:val="right"/>
            </w:pPr>
            <w:r>
              <w:t>18 298</w:t>
            </w:r>
          </w:p>
        </w:tc>
        <w:tc>
          <w:tcPr>
            <w:tcW w:w="1311" w:type="dxa"/>
          </w:tcPr>
          <w:p w:rsidR="00000000" w:rsidRDefault="00000000">
            <w:pPr>
              <w:spacing w:after="0"/>
              <w:ind w:right="227"/>
              <w:jc w:val="right"/>
            </w:pPr>
            <w:r>
              <w:t>10 359</w:t>
            </w:r>
          </w:p>
        </w:tc>
        <w:tc>
          <w:tcPr>
            <w:tcW w:w="1311" w:type="dxa"/>
          </w:tcPr>
          <w:p w:rsidR="00000000" w:rsidRDefault="00000000">
            <w:pPr>
              <w:spacing w:after="0"/>
              <w:ind w:right="227"/>
              <w:jc w:val="right"/>
            </w:pPr>
            <w:r>
              <w:t>6 262</w:t>
            </w:r>
          </w:p>
        </w:tc>
        <w:tc>
          <w:tcPr>
            <w:tcW w:w="1311" w:type="dxa"/>
          </w:tcPr>
          <w:p w:rsidR="00000000" w:rsidRDefault="00000000">
            <w:pPr>
              <w:spacing w:after="0"/>
              <w:ind w:right="227"/>
              <w:jc w:val="right"/>
            </w:pPr>
            <w:r>
              <w:t>3 178</w:t>
            </w:r>
          </w:p>
        </w:tc>
      </w:tr>
      <w:tr w:rsidR="00000000">
        <w:tblPrEx>
          <w:tblCellMar>
            <w:top w:w="0" w:type="dxa"/>
          </w:tblCellMar>
        </w:tblPrEx>
        <w:tc>
          <w:tcPr>
            <w:tcW w:w="851" w:type="dxa"/>
          </w:tcPr>
          <w:p w:rsidR="00000000" w:rsidRDefault="00000000">
            <w:pPr>
              <w:spacing w:after="0"/>
              <w:ind w:left="113"/>
            </w:pPr>
            <w:r>
              <w:t xml:space="preserve">  (a)</w:t>
            </w:r>
          </w:p>
        </w:tc>
        <w:tc>
          <w:tcPr>
            <w:tcW w:w="3262" w:type="dxa"/>
          </w:tcPr>
          <w:p w:rsidR="00000000" w:rsidRDefault="00000000">
            <w:pPr>
              <w:tabs>
                <w:tab w:val="left" w:pos="227"/>
              </w:tabs>
              <w:spacing w:after="0"/>
            </w:pPr>
            <w:r>
              <w:tab/>
              <w:t>Natural branches</w:t>
            </w:r>
          </w:p>
        </w:tc>
        <w:tc>
          <w:tcPr>
            <w:tcW w:w="1310" w:type="dxa"/>
          </w:tcPr>
          <w:p w:rsidR="00000000" w:rsidRDefault="00000000">
            <w:pPr>
              <w:spacing w:after="0"/>
              <w:ind w:right="170"/>
              <w:jc w:val="right"/>
            </w:pPr>
            <w:r>
              <w:t>1 346</w:t>
            </w:r>
          </w:p>
        </w:tc>
        <w:tc>
          <w:tcPr>
            <w:tcW w:w="1311" w:type="dxa"/>
          </w:tcPr>
          <w:p w:rsidR="00000000" w:rsidRDefault="00000000">
            <w:pPr>
              <w:spacing w:after="0"/>
              <w:ind w:right="227"/>
              <w:jc w:val="right"/>
            </w:pPr>
            <w:r>
              <w:t>769</w:t>
            </w:r>
          </w:p>
        </w:tc>
        <w:tc>
          <w:tcPr>
            <w:tcW w:w="1311" w:type="dxa"/>
          </w:tcPr>
          <w:p w:rsidR="00000000" w:rsidRDefault="00000000">
            <w:pPr>
              <w:spacing w:after="0"/>
              <w:ind w:right="227"/>
              <w:jc w:val="right"/>
            </w:pPr>
            <w:r>
              <w:t>0</w:t>
            </w:r>
          </w:p>
        </w:tc>
        <w:tc>
          <w:tcPr>
            <w:tcW w:w="1311" w:type="dxa"/>
          </w:tcPr>
          <w:p w:rsidR="00000000" w:rsidRDefault="00000000">
            <w:pPr>
              <w:spacing w:after="0"/>
              <w:ind w:right="227"/>
              <w:jc w:val="right"/>
            </w:pPr>
            <w:r>
              <w:t>0</w:t>
            </w:r>
          </w:p>
        </w:tc>
      </w:tr>
      <w:tr w:rsidR="00000000">
        <w:tblPrEx>
          <w:tblCellMar>
            <w:top w:w="0" w:type="dxa"/>
          </w:tblCellMar>
        </w:tblPrEx>
        <w:tc>
          <w:tcPr>
            <w:tcW w:w="851" w:type="dxa"/>
          </w:tcPr>
          <w:p w:rsidR="00000000" w:rsidRDefault="00000000">
            <w:pPr>
              <w:spacing w:after="0"/>
              <w:ind w:left="113"/>
            </w:pPr>
            <w:r>
              <w:t xml:space="preserve">  (b)</w:t>
            </w:r>
          </w:p>
        </w:tc>
        <w:tc>
          <w:tcPr>
            <w:tcW w:w="3262" w:type="dxa"/>
          </w:tcPr>
          <w:p w:rsidR="00000000" w:rsidRDefault="00000000">
            <w:pPr>
              <w:tabs>
                <w:tab w:val="left" w:pos="227"/>
              </w:tabs>
              <w:spacing w:after="0"/>
            </w:pPr>
            <w:r>
              <w:tab/>
              <w:t>Social branches</w:t>
            </w:r>
          </w:p>
        </w:tc>
        <w:tc>
          <w:tcPr>
            <w:tcW w:w="1310" w:type="dxa"/>
          </w:tcPr>
          <w:p w:rsidR="00000000" w:rsidRDefault="00000000">
            <w:pPr>
              <w:spacing w:after="0"/>
              <w:ind w:right="170"/>
              <w:jc w:val="right"/>
            </w:pPr>
            <w:r>
              <w:t>1 714</w:t>
            </w:r>
          </w:p>
        </w:tc>
        <w:tc>
          <w:tcPr>
            <w:tcW w:w="1311" w:type="dxa"/>
          </w:tcPr>
          <w:p w:rsidR="00000000" w:rsidRDefault="00000000">
            <w:pPr>
              <w:spacing w:after="0"/>
              <w:ind w:right="227"/>
              <w:jc w:val="right"/>
            </w:pPr>
            <w:r>
              <w:t>1 116</w:t>
            </w:r>
          </w:p>
        </w:tc>
        <w:tc>
          <w:tcPr>
            <w:tcW w:w="1311" w:type="dxa"/>
          </w:tcPr>
          <w:p w:rsidR="00000000" w:rsidRDefault="00000000">
            <w:pPr>
              <w:spacing w:after="0"/>
              <w:ind w:right="227"/>
              <w:jc w:val="right"/>
            </w:pPr>
            <w:r>
              <w:t>0</w:t>
            </w:r>
          </w:p>
        </w:tc>
        <w:tc>
          <w:tcPr>
            <w:tcW w:w="1311" w:type="dxa"/>
          </w:tcPr>
          <w:p w:rsidR="00000000" w:rsidRDefault="00000000">
            <w:pPr>
              <w:spacing w:after="0"/>
              <w:ind w:right="227"/>
              <w:jc w:val="right"/>
            </w:pPr>
            <w:r>
              <w:t>0</w:t>
            </w:r>
          </w:p>
        </w:tc>
      </w:tr>
      <w:tr w:rsidR="00000000">
        <w:tblPrEx>
          <w:tblCellMar>
            <w:top w:w="0" w:type="dxa"/>
          </w:tblCellMar>
        </w:tblPrEx>
        <w:tc>
          <w:tcPr>
            <w:tcW w:w="851" w:type="dxa"/>
          </w:tcPr>
          <w:p w:rsidR="00000000" w:rsidRDefault="00000000">
            <w:pPr>
              <w:spacing w:after="0"/>
              <w:ind w:left="113"/>
            </w:pPr>
            <w:r>
              <w:t>2.5</w:t>
            </w:r>
          </w:p>
        </w:tc>
        <w:tc>
          <w:tcPr>
            <w:tcW w:w="3262" w:type="dxa"/>
          </w:tcPr>
          <w:p w:rsidR="00000000" w:rsidRDefault="00000000">
            <w:pPr>
              <w:spacing w:after="0"/>
            </w:pPr>
            <w:r>
              <w:t>Pupils attending fifth class</w:t>
            </w:r>
          </w:p>
        </w:tc>
        <w:tc>
          <w:tcPr>
            <w:tcW w:w="1310" w:type="dxa"/>
          </w:tcPr>
          <w:p w:rsidR="00000000" w:rsidRDefault="00000000">
            <w:pPr>
              <w:spacing w:after="0"/>
              <w:ind w:right="170"/>
              <w:jc w:val="right"/>
            </w:pPr>
          </w:p>
        </w:tc>
        <w:tc>
          <w:tcPr>
            <w:tcW w:w="1311" w:type="dxa"/>
          </w:tcPr>
          <w:p w:rsidR="00000000" w:rsidRDefault="00000000">
            <w:pPr>
              <w:spacing w:after="0"/>
              <w:ind w:right="227"/>
              <w:jc w:val="right"/>
            </w:pPr>
          </w:p>
        </w:tc>
        <w:tc>
          <w:tcPr>
            <w:tcW w:w="1311" w:type="dxa"/>
          </w:tcPr>
          <w:p w:rsidR="00000000" w:rsidRDefault="00000000">
            <w:pPr>
              <w:spacing w:after="0"/>
              <w:ind w:right="227"/>
              <w:jc w:val="right"/>
            </w:pPr>
          </w:p>
        </w:tc>
        <w:tc>
          <w:tcPr>
            <w:tcW w:w="1311" w:type="dxa"/>
          </w:tcPr>
          <w:p w:rsidR="00000000" w:rsidRDefault="00000000">
            <w:pPr>
              <w:spacing w:after="0"/>
              <w:ind w:right="227"/>
              <w:jc w:val="right"/>
            </w:pPr>
          </w:p>
        </w:tc>
      </w:tr>
      <w:tr w:rsidR="00000000">
        <w:tblPrEx>
          <w:tblCellMar>
            <w:top w:w="0" w:type="dxa"/>
          </w:tblCellMar>
        </w:tblPrEx>
        <w:tc>
          <w:tcPr>
            <w:tcW w:w="851" w:type="dxa"/>
          </w:tcPr>
          <w:p w:rsidR="00000000" w:rsidRDefault="00000000">
            <w:pPr>
              <w:spacing w:after="0"/>
              <w:ind w:left="113"/>
            </w:pPr>
            <w:r>
              <w:t>3</w:t>
            </w:r>
          </w:p>
        </w:tc>
        <w:tc>
          <w:tcPr>
            <w:tcW w:w="3262" w:type="dxa"/>
          </w:tcPr>
          <w:p w:rsidR="00000000" w:rsidRDefault="00000000">
            <w:pPr>
              <w:spacing w:after="0"/>
            </w:pPr>
            <w:r>
              <w:t>Vocational education</w:t>
            </w:r>
          </w:p>
        </w:tc>
        <w:tc>
          <w:tcPr>
            <w:tcW w:w="1310" w:type="dxa"/>
          </w:tcPr>
          <w:p w:rsidR="00000000" w:rsidRDefault="00000000">
            <w:pPr>
              <w:spacing w:after="0"/>
              <w:ind w:right="170"/>
              <w:jc w:val="right"/>
            </w:pPr>
            <w:r>
              <w:t>21 724</w:t>
            </w:r>
          </w:p>
        </w:tc>
        <w:tc>
          <w:tcPr>
            <w:tcW w:w="1311" w:type="dxa"/>
          </w:tcPr>
          <w:p w:rsidR="00000000" w:rsidRDefault="00000000">
            <w:pPr>
              <w:spacing w:after="0"/>
              <w:ind w:right="227"/>
              <w:jc w:val="right"/>
            </w:pPr>
            <w:r>
              <w:t>7 053</w:t>
            </w:r>
          </w:p>
        </w:tc>
        <w:tc>
          <w:tcPr>
            <w:tcW w:w="1311" w:type="dxa"/>
          </w:tcPr>
          <w:p w:rsidR="00000000" w:rsidRDefault="00000000">
            <w:pPr>
              <w:spacing w:after="0"/>
              <w:ind w:right="227"/>
              <w:jc w:val="right"/>
            </w:pPr>
            <w:r>
              <w:t>4 192</w:t>
            </w:r>
          </w:p>
        </w:tc>
        <w:tc>
          <w:tcPr>
            <w:tcW w:w="1311" w:type="dxa"/>
          </w:tcPr>
          <w:p w:rsidR="00000000" w:rsidRDefault="00000000">
            <w:pPr>
              <w:spacing w:after="0"/>
              <w:ind w:right="227"/>
              <w:jc w:val="right"/>
            </w:pPr>
            <w:r>
              <w:t>1 147</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tabs>
                <w:tab w:val="left" w:pos="227"/>
              </w:tabs>
              <w:spacing w:after="0"/>
            </w:pPr>
            <w:r>
              <w:tab/>
              <w:t>First-time enrolled</w:t>
            </w:r>
          </w:p>
        </w:tc>
        <w:tc>
          <w:tcPr>
            <w:tcW w:w="1310" w:type="dxa"/>
          </w:tcPr>
          <w:p w:rsidR="00000000" w:rsidRDefault="00000000">
            <w:pPr>
              <w:spacing w:after="0"/>
              <w:ind w:right="170"/>
              <w:jc w:val="right"/>
            </w:pPr>
            <w:r>
              <w:t>7 397</w:t>
            </w:r>
          </w:p>
        </w:tc>
        <w:tc>
          <w:tcPr>
            <w:tcW w:w="1311" w:type="dxa"/>
          </w:tcPr>
          <w:p w:rsidR="00000000" w:rsidRDefault="00000000">
            <w:pPr>
              <w:spacing w:after="0"/>
              <w:ind w:right="227"/>
              <w:jc w:val="right"/>
            </w:pPr>
            <w:r>
              <w:t>2 084</w:t>
            </w:r>
          </w:p>
        </w:tc>
        <w:tc>
          <w:tcPr>
            <w:tcW w:w="1311" w:type="dxa"/>
          </w:tcPr>
          <w:p w:rsidR="00000000" w:rsidRDefault="00000000">
            <w:pPr>
              <w:spacing w:after="0"/>
              <w:ind w:right="227"/>
              <w:jc w:val="right"/>
            </w:pPr>
            <w:r>
              <w:t>1 355</w:t>
            </w:r>
          </w:p>
        </w:tc>
        <w:tc>
          <w:tcPr>
            <w:tcW w:w="1311" w:type="dxa"/>
          </w:tcPr>
          <w:p w:rsidR="00000000" w:rsidRDefault="00000000">
            <w:pPr>
              <w:spacing w:after="0"/>
              <w:ind w:right="227"/>
              <w:jc w:val="right"/>
            </w:pPr>
            <w:r>
              <w:t>450</w:t>
            </w:r>
          </w:p>
        </w:tc>
      </w:tr>
      <w:tr w:rsidR="00000000">
        <w:tblPrEx>
          <w:tblCellMar>
            <w:top w:w="0" w:type="dxa"/>
          </w:tblCellMar>
        </w:tblPrEx>
        <w:tc>
          <w:tcPr>
            <w:tcW w:w="851" w:type="dxa"/>
          </w:tcPr>
          <w:p w:rsidR="00000000" w:rsidRDefault="00000000">
            <w:pPr>
              <w:spacing w:after="0"/>
              <w:ind w:left="113"/>
            </w:pPr>
            <w:r>
              <w:t>3.1</w:t>
            </w:r>
          </w:p>
        </w:tc>
        <w:tc>
          <w:tcPr>
            <w:tcW w:w="3262" w:type="dxa"/>
          </w:tcPr>
          <w:p w:rsidR="00000000" w:rsidRDefault="00000000">
            <w:pPr>
              <w:spacing w:after="0"/>
            </w:pPr>
            <w:r>
              <w:t>3-year vocational education</w:t>
            </w:r>
          </w:p>
        </w:tc>
        <w:tc>
          <w:tcPr>
            <w:tcW w:w="1310" w:type="dxa"/>
          </w:tcPr>
          <w:p w:rsidR="00000000" w:rsidRDefault="00000000">
            <w:pPr>
              <w:spacing w:after="0"/>
              <w:ind w:right="170"/>
              <w:jc w:val="right"/>
            </w:pPr>
            <w:r>
              <w:t>6 688</w:t>
            </w:r>
          </w:p>
        </w:tc>
        <w:tc>
          <w:tcPr>
            <w:tcW w:w="1311" w:type="dxa"/>
          </w:tcPr>
          <w:p w:rsidR="00000000" w:rsidRDefault="00000000">
            <w:pPr>
              <w:spacing w:after="0"/>
              <w:ind w:right="227"/>
              <w:jc w:val="right"/>
            </w:pPr>
            <w:r>
              <w:t>532</w:t>
            </w:r>
          </w:p>
        </w:tc>
        <w:tc>
          <w:tcPr>
            <w:tcW w:w="1311" w:type="dxa"/>
          </w:tcPr>
          <w:p w:rsidR="00000000" w:rsidRDefault="00000000">
            <w:pPr>
              <w:spacing w:after="0"/>
              <w:ind w:right="227"/>
              <w:jc w:val="right"/>
            </w:pPr>
            <w:r>
              <w:t>1 410</w:t>
            </w:r>
          </w:p>
        </w:tc>
        <w:tc>
          <w:tcPr>
            <w:tcW w:w="1311" w:type="dxa"/>
          </w:tcPr>
          <w:p w:rsidR="00000000" w:rsidRDefault="00000000">
            <w:pPr>
              <w:spacing w:after="0"/>
              <w:ind w:right="227"/>
              <w:jc w:val="right"/>
            </w:pPr>
            <w:r>
              <w:t>38</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tabs>
                <w:tab w:val="left" w:pos="227"/>
              </w:tabs>
              <w:spacing w:after="0"/>
            </w:pPr>
            <w:r>
              <w:tab/>
              <w:t>First-time enrolled</w:t>
            </w:r>
          </w:p>
        </w:tc>
        <w:tc>
          <w:tcPr>
            <w:tcW w:w="1310" w:type="dxa"/>
          </w:tcPr>
          <w:p w:rsidR="00000000" w:rsidRDefault="00000000">
            <w:pPr>
              <w:spacing w:after="0"/>
              <w:ind w:right="170"/>
              <w:jc w:val="right"/>
            </w:pPr>
            <w:r>
              <w:t>2 604</w:t>
            </w:r>
          </w:p>
        </w:tc>
        <w:tc>
          <w:tcPr>
            <w:tcW w:w="1311" w:type="dxa"/>
          </w:tcPr>
          <w:p w:rsidR="00000000" w:rsidRDefault="00000000">
            <w:pPr>
              <w:spacing w:after="0"/>
              <w:ind w:right="227"/>
              <w:jc w:val="right"/>
            </w:pPr>
            <w:r>
              <w:t>159</w:t>
            </w:r>
          </w:p>
        </w:tc>
        <w:tc>
          <w:tcPr>
            <w:tcW w:w="1311" w:type="dxa"/>
          </w:tcPr>
          <w:p w:rsidR="00000000" w:rsidRDefault="00000000">
            <w:pPr>
              <w:spacing w:after="0"/>
              <w:ind w:right="227"/>
              <w:jc w:val="right"/>
            </w:pPr>
            <w:r>
              <w:t>485</w:t>
            </w:r>
          </w:p>
        </w:tc>
        <w:tc>
          <w:tcPr>
            <w:tcW w:w="1311" w:type="dxa"/>
          </w:tcPr>
          <w:p w:rsidR="00000000" w:rsidRDefault="00000000">
            <w:pPr>
              <w:spacing w:after="0"/>
              <w:ind w:right="227"/>
              <w:jc w:val="right"/>
            </w:pPr>
            <w:r>
              <w:t>7</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first class</w:t>
            </w:r>
          </w:p>
        </w:tc>
        <w:tc>
          <w:tcPr>
            <w:tcW w:w="1310" w:type="dxa"/>
          </w:tcPr>
          <w:p w:rsidR="00000000" w:rsidRDefault="00000000">
            <w:pPr>
              <w:spacing w:after="0"/>
              <w:ind w:right="170"/>
              <w:jc w:val="right"/>
            </w:pPr>
            <w:r>
              <w:t>2 604</w:t>
            </w:r>
          </w:p>
        </w:tc>
        <w:tc>
          <w:tcPr>
            <w:tcW w:w="1311" w:type="dxa"/>
          </w:tcPr>
          <w:p w:rsidR="00000000" w:rsidRDefault="00000000">
            <w:pPr>
              <w:spacing w:after="0"/>
              <w:ind w:right="227"/>
              <w:jc w:val="right"/>
            </w:pPr>
            <w:r>
              <w:t>159</w:t>
            </w:r>
          </w:p>
        </w:tc>
        <w:tc>
          <w:tcPr>
            <w:tcW w:w="1311" w:type="dxa"/>
          </w:tcPr>
          <w:p w:rsidR="00000000" w:rsidRDefault="00000000">
            <w:pPr>
              <w:spacing w:after="0"/>
              <w:ind w:right="227"/>
              <w:jc w:val="right"/>
            </w:pPr>
            <w:r>
              <w:t>541</w:t>
            </w:r>
          </w:p>
        </w:tc>
        <w:tc>
          <w:tcPr>
            <w:tcW w:w="1311" w:type="dxa"/>
          </w:tcPr>
          <w:p w:rsidR="00000000" w:rsidRDefault="00000000">
            <w:pPr>
              <w:spacing w:after="0"/>
              <w:ind w:right="227"/>
              <w:jc w:val="right"/>
            </w:pPr>
            <w:r>
              <w:t>7</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second class</w:t>
            </w:r>
          </w:p>
        </w:tc>
        <w:tc>
          <w:tcPr>
            <w:tcW w:w="1310" w:type="dxa"/>
          </w:tcPr>
          <w:p w:rsidR="00000000" w:rsidRDefault="00000000">
            <w:pPr>
              <w:spacing w:after="0"/>
              <w:ind w:right="170"/>
              <w:jc w:val="right"/>
            </w:pPr>
            <w:r>
              <w:t>2 126</w:t>
            </w:r>
          </w:p>
        </w:tc>
        <w:tc>
          <w:tcPr>
            <w:tcW w:w="1311" w:type="dxa"/>
          </w:tcPr>
          <w:p w:rsidR="00000000" w:rsidRDefault="00000000">
            <w:pPr>
              <w:spacing w:after="0"/>
              <w:ind w:right="227"/>
              <w:jc w:val="right"/>
            </w:pPr>
            <w:r>
              <w:t>155</w:t>
            </w:r>
          </w:p>
        </w:tc>
        <w:tc>
          <w:tcPr>
            <w:tcW w:w="1311" w:type="dxa"/>
          </w:tcPr>
          <w:p w:rsidR="00000000" w:rsidRDefault="00000000">
            <w:pPr>
              <w:spacing w:after="0"/>
              <w:ind w:right="227"/>
              <w:jc w:val="right"/>
            </w:pPr>
            <w:r>
              <w:t>451</w:t>
            </w:r>
          </w:p>
        </w:tc>
        <w:tc>
          <w:tcPr>
            <w:tcW w:w="1311" w:type="dxa"/>
          </w:tcPr>
          <w:p w:rsidR="00000000" w:rsidRDefault="00000000">
            <w:pPr>
              <w:spacing w:after="0"/>
              <w:ind w:right="227"/>
              <w:jc w:val="right"/>
            </w:pPr>
            <w:r>
              <w:t>13</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third class</w:t>
            </w:r>
          </w:p>
        </w:tc>
        <w:tc>
          <w:tcPr>
            <w:tcW w:w="1310" w:type="dxa"/>
          </w:tcPr>
          <w:p w:rsidR="00000000" w:rsidRDefault="00000000">
            <w:pPr>
              <w:spacing w:after="0"/>
              <w:ind w:right="170"/>
              <w:jc w:val="right"/>
            </w:pPr>
            <w:r>
              <w:t>1 958</w:t>
            </w:r>
          </w:p>
        </w:tc>
        <w:tc>
          <w:tcPr>
            <w:tcW w:w="1311" w:type="dxa"/>
          </w:tcPr>
          <w:p w:rsidR="00000000" w:rsidRDefault="00000000">
            <w:pPr>
              <w:spacing w:after="0"/>
              <w:ind w:right="227"/>
              <w:jc w:val="right"/>
            </w:pPr>
            <w:r>
              <w:t>218</w:t>
            </w:r>
          </w:p>
        </w:tc>
        <w:tc>
          <w:tcPr>
            <w:tcW w:w="1311" w:type="dxa"/>
          </w:tcPr>
          <w:p w:rsidR="00000000" w:rsidRDefault="00000000">
            <w:pPr>
              <w:spacing w:after="0"/>
              <w:ind w:right="227"/>
              <w:jc w:val="right"/>
            </w:pPr>
            <w:r>
              <w:t>418</w:t>
            </w:r>
          </w:p>
        </w:tc>
        <w:tc>
          <w:tcPr>
            <w:tcW w:w="1311" w:type="dxa"/>
          </w:tcPr>
          <w:p w:rsidR="00000000" w:rsidRDefault="00000000">
            <w:pPr>
              <w:spacing w:after="0"/>
              <w:ind w:right="227"/>
              <w:jc w:val="right"/>
            </w:pPr>
            <w:r>
              <w:t>18</w:t>
            </w:r>
          </w:p>
        </w:tc>
      </w:tr>
      <w:tr w:rsidR="00000000">
        <w:tblPrEx>
          <w:tblCellMar>
            <w:top w:w="0" w:type="dxa"/>
          </w:tblCellMar>
        </w:tblPrEx>
        <w:tc>
          <w:tcPr>
            <w:tcW w:w="851" w:type="dxa"/>
          </w:tcPr>
          <w:p w:rsidR="00000000" w:rsidRDefault="00000000">
            <w:pPr>
              <w:spacing w:after="0"/>
              <w:ind w:left="113"/>
            </w:pPr>
            <w:r>
              <w:t>3.2</w:t>
            </w:r>
          </w:p>
        </w:tc>
        <w:tc>
          <w:tcPr>
            <w:tcW w:w="3262" w:type="dxa"/>
          </w:tcPr>
          <w:p w:rsidR="00000000" w:rsidRDefault="00000000">
            <w:pPr>
              <w:spacing w:after="0"/>
            </w:pPr>
            <w:r>
              <w:t>4-year vocational education</w:t>
            </w:r>
          </w:p>
        </w:tc>
        <w:tc>
          <w:tcPr>
            <w:tcW w:w="1310" w:type="dxa"/>
          </w:tcPr>
          <w:p w:rsidR="00000000" w:rsidRDefault="00000000">
            <w:pPr>
              <w:spacing w:after="0"/>
              <w:ind w:right="170"/>
              <w:jc w:val="right"/>
            </w:pPr>
            <w:r>
              <w:t>7 418</w:t>
            </w:r>
          </w:p>
        </w:tc>
        <w:tc>
          <w:tcPr>
            <w:tcW w:w="1311" w:type="dxa"/>
          </w:tcPr>
          <w:p w:rsidR="00000000" w:rsidRDefault="00000000">
            <w:pPr>
              <w:spacing w:after="0"/>
              <w:ind w:right="227"/>
              <w:jc w:val="right"/>
            </w:pPr>
            <w:r>
              <w:t>4 723</w:t>
            </w:r>
          </w:p>
        </w:tc>
        <w:tc>
          <w:tcPr>
            <w:tcW w:w="1311" w:type="dxa"/>
          </w:tcPr>
          <w:p w:rsidR="00000000" w:rsidRDefault="00000000">
            <w:pPr>
              <w:spacing w:after="0"/>
              <w:ind w:right="227"/>
              <w:jc w:val="right"/>
            </w:pPr>
            <w:r>
              <w:t>1 106</w:t>
            </w:r>
          </w:p>
        </w:tc>
        <w:tc>
          <w:tcPr>
            <w:tcW w:w="1311" w:type="dxa"/>
          </w:tcPr>
          <w:p w:rsidR="00000000" w:rsidRDefault="00000000">
            <w:pPr>
              <w:spacing w:after="0"/>
              <w:ind w:right="227"/>
              <w:jc w:val="right"/>
            </w:pPr>
            <w:r>
              <w:t>772</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tabs>
                <w:tab w:val="left" w:pos="227"/>
              </w:tabs>
              <w:spacing w:after="0"/>
            </w:pPr>
            <w:r>
              <w:tab/>
              <w:t>First-time enrolled</w:t>
            </w:r>
          </w:p>
        </w:tc>
        <w:tc>
          <w:tcPr>
            <w:tcW w:w="1310" w:type="dxa"/>
          </w:tcPr>
          <w:p w:rsidR="00000000" w:rsidRDefault="00000000">
            <w:pPr>
              <w:spacing w:after="0"/>
              <w:ind w:right="170"/>
              <w:jc w:val="right"/>
            </w:pPr>
            <w:r>
              <w:t>2 390</w:t>
            </w:r>
          </w:p>
        </w:tc>
        <w:tc>
          <w:tcPr>
            <w:tcW w:w="1311" w:type="dxa"/>
          </w:tcPr>
          <w:p w:rsidR="00000000" w:rsidRDefault="00000000">
            <w:pPr>
              <w:spacing w:after="0"/>
              <w:ind w:right="227"/>
              <w:jc w:val="right"/>
            </w:pPr>
            <w:r>
              <w:t>1 446</w:t>
            </w:r>
          </w:p>
        </w:tc>
        <w:tc>
          <w:tcPr>
            <w:tcW w:w="1311" w:type="dxa"/>
          </w:tcPr>
          <w:p w:rsidR="00000000" w:rsidRDefault="00000000">
            <w:pPr>
              <w:spacing w:after="0"/>
              <w:ind w:right="227"/>
              <w:jc w:val="right"/>
            </w:pPr>
            <w:r>
              <w:t>335</w:t>
            </w:r>
          </w:p>
        </w:tc>
        <w:tc>
          <w:tcPr>
            <w:tcW w:w="1311" w:type="dxa"/>
          </w:tcPr>
          <w:p w:rsidR="00000000" w:rsidRDefault="00000000">
            <w:pPr>
              <w:spacing w:after="0"/>
              <w:ind w:right="227"/>
              <w:jc w:val="right"/>
            </w:pPr>
            <w:r>
              <w:t>342</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first class</w:t>
            </w:r>
          </w:p>
        </w:tc>
        <w:tc>
          <w:tcPr>
            <w:tcW w:w="1310" w:type="dxa"/>
          </w:tcPr>
          <w:p w:rsidR="00000000" w:rsidRDefault="00000000">
            <w:pPr>
              <w:spacing w:after="0"/>
              <w:ind w:right="170"/>
              <w:jc w:val="right"/>
            </w:pPr>
            <w:r>
              <w:t>2 446</w:t>
            </w:r>
          </w:p>
        </w:tc>
        <w:tc>
          <w:tcPr>
            <w:tcW w:w="1311" w:type="dxa"/>
          </w:tcPr>
          <w:p w:rsidR="00000000" w:rsidRDefault="00000000">
            <w:pPr>
              <w:spacing w:after="0"/>
              <w:ind w:right="227"/>
              <w:jc w:val="right"/>
            </w:pPr>
            <w:r>
              <w:t>1 578</w:t>
            </w:r>
          </w:p>
        </w:tc>
        <w:tc>
          <w:tcPr>
            <w:tcW w:w="1311" w:type="dxa"/>
          </w:tcPr>
          <w:p w:rsidR="00000000" w:rsidRDefault="00000000">
            <w:pPr>
              <w:spacing w:after="0"/>
              <w:ind w:right="227"/>
              <w:jc w:val="right"/>
            </w:pPr>
            <w:r>
              <w:t>478</w:t>
            </w:r>
          </w:p>
        </w:tc>
        <w:tc>
          <w:tcPr>
            <w:tcW w:w="1311" w:type="dxa"/>
          </w:tcPr>
          <w:p w:rsidR="00000000" w:rsidRDefault="00000000">
            <w:pPr>
              <w:spacing w:after="0"/>
              <w:ind w:right="227"/>
              <w:jc w:val="right"/>
            </w:pPr>
            <w:r>
              <w:t>343</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second class</w:t>
            </w:r>
          </w:p>
        </w:tc>
        <w:tc>
          <w:tcPr>
            <w:tcW w:w="1310" w:type="dxa"/>
          </w:tcPr>
          <w:p w:rsidR="00000000" w:rsidRDefault="00000000">
            <w:pPr>
              <w:spacing w:after="0"/>
              <w:ind w:right="170"/>
              <w:jc w:val="right"/>
            </w:pPr>
            <w:r>
              <w:t>1 928</w:t>
            </w:r>
          </w:p>
        </w:tc>
        <w:tc>
          <w:tcPr>
            <w:tcW w:w="1311" w:type="dxa"/>
          </w:tcPr>
          <w:p w:rsidR="00000000" w:rsidRDefault="00000000">
            <w:pPr>
              <w:spacing w:after="0"/>
              <w:ind w:right="227"/>
              <w:jc w:val="right"/>
            </w:pPr>
            <w:r>
              <w:t>1 172</w:t>
            </w:r>
          </w:p>
        </w:tc>
        <w:tc>
          <w:tcPr>
            <w:tcW w:w="1311" w:type="dxa"/>
          </w:tcPr>
          <w:p w:rsidR="00000000" w:rsidRDefault="00000000">
            <w:pPr>
              <w:spacing w:after="0"/>
              <w:ind w:right="227"/>
              <w:jc w:val="right"/>
            </w:pPr>
            <w:r>
              <w:t>248</w:t>
            </w:r>
          </w:p>
        </w:tc>
        <w:tc>
          <w:tcPr>
            <w:tcW w:w="1311" w:type="dxa"/>
          </w:tcPr>
          <w:p w:rsidR="00000000" w:rsidRDefault="00000000">
            <w:pPr>
              <w:spacing w:after="0"/>
              <w:ind w:right="227"/>
              <w:jc w:val="right"/>
            </w:pPr>
            <w:r>
              <w:t>171</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third class</w:t>
            </w:r>
          </w:p>
        </w:tc>
        <w:tc>
          <w:tcPr>
            <w:tcW w:w="1310" w:type="dxa"/>
          </w:tcPr>
          <w:p w:rsidR="00000000" w:rsidRDefault="00000000">
            <w:pPr>
              <w:spacing w:after="0"/>
              <w:ind w:right="170"/>
              <w:jc w:val="right"/>
            </w:pPr>
            <w:r>
              <w:t>1 474</w:t>
            </w:r>
          </w:p>
        </w:tc>
        <w:tc>
          <w:tcPr>
            <w:tcW w:w="1311" w:type="dxa"/>
          </w:tcPr>
          <w:p w:rsidR="00000000" w:rsidRDefault="00000000">
            <w:pPr>
              <w:spacing w:after="0"/>
              <w:ind w:right="227"/>
              <w:jc w:val="right"/>
            </w:pPr>
            <w:r>
              <w:t>994</w:t>
            </w:r>
          </w:p>
        </w:tc>
        <w:tc>
          <w:tcPr>
            <w:tcW w:w="1311" w:type="dxa"/>
          </w:tcPr>
          <w:p w:rsidR="00000000" w:rsidRDefault="00000000">
            <w:pPr>
              <w:spacing w:after="0"/>
              <w:ind w:right="227"/>
              <w:jc w:val="right"/>
            </w:pPr>
            <w:r>
              <w:t>199</w:t>
            </w:r>
          </w:p>
        </w:tc>
        <w:tc>
          <w:tcPr>
            <w:tcW w:w="1311" w:type="dxa"/>
          </w:tcPr>
          <w:p w:rsidR="00000000" w:rsidRDefault="00000000">
            <w:pPr>
              <w:spacing w:after="0"/>
              <w:ind w:right="227"/>
              <w:jc w:val="right"/>
            </w:pPr>
            <w:r>
              <w:t>142</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fourth class</w:t>
            </w:r>
          </w:p>
        </w:tc>
        <w:tc>
          <w:tcPr>
            <w:tcW w:w="1310" w:type="dxa"/>
          </w:tcPr>
          <w:p w:rsidR="00000000" w:rsidRDefault="00000000">
            <w:pPr>
              <w:spacing w:after="0"/>
              <w:ind w:right="170"/>
              <w:jc w:val="right"/>
            </w:pPr>
            <w:r>
              <w:t>1 570</w:t>
            </w:r>
          </w:p>
        </w:tc>
        <w:tc>
          <w:tcPr>
            <w:tcW w:w="1311" w:type="dxa"/>
          </w:tcPr>
          <w:p w:rsidR="00000000" w:rsidRDefault="00000000">
            <w:pPr>
              <w:spacing w:after="0"/>
              <w:ind w:right="227"/>
              <w:jc w:val="right"/>
            </w:pPr>
            <w:r>
              <w:t>979</w:t>
            </w:r>
          </w:p>
        </w:tc>
        <w:tc>
          <w:tcPr>
            <w:tcW w:w="1311" w:type="dxa"/>
          </w:tcPr>
          <w:p w:rsidR="00000000" w:rsidRDefault="00000000">
            <w:pPr>
              <w:spacing w:after="0"/>
              <w:ind w:right="227"/>
              <w:jc w:val="right"/>
            </w:pPr>
            <w:r>
              <w:t>181</w:t>
            </w:r>
          </w:p>
        </w:tc>
        <w:tc>
          <w:tcPr>
            <w:tcW w:w="1311" w:type="dxa"/>
          </w:tcPr>
          <w:p w:rsidR="00000000" w:rsidRDefault="00000000">
            <w:pPr>
              <w:spacing w:after="0"/>
              <w:ind w:right="227"/>
              <w:jc w:val="right"/>
            </w:pPr>
            <w:r>
              <w:t>116</w:t>
            </w:r>
          </w:p>
        </w:tc>
      </w:tr>
      <w:tr w:rsidR="00000000">
        <w:tblPrEx>
          <w:tblCellMar>
            <w:top w:w="0" w:type="dxa"/>
          </w:tblCellMar>
        </w:tblPrEx>
        <w:tc>
          <w:tcPr>
            <w:tcW w:w="851" w:type="dxa"/>
          </w:tcPr>
          <w:p w:rsidR="00000000" w:rsidRDefault="00000000">
            <w:pPr>
              <w:spacing w:after="0"/>
              <w:ind w:left="113"/>
            </w:pPr>
            <w:r>
              <w:t>3.3</w:t>
            </w:r>
          </w:p>
        </w:tc>
        <w:tc>
          <w:tcPr>
            <w:tcW w:w="3262" w:type="dxa"/>
          </w:tcPr>
          <w:p w:rsidR="00000000" w:rsidRDefault="00000000">
            <w:pPr>
              <w:spacing w:after="0"/>
            </w:pPr>
            <w:r>
              <w:t>5-year vocational education</w:t>
            </w:r>
          </w:p>
        </w:tc>
        <w:tc>
          <w:tcPr>
            <w:tcW w:w="1310" w:type="dxa"/>
          </w:tcPr>
          <w:p w:rsidR="00000000" w:rsidRDefault="00000000">
            <w:pPr>
              <w:spacing w:after="0"/>
              <w:ind w:right="170"/>
              <w:jc w:val="right"/>
            </w:pPr>
            <w:r>
              <w:t>7 618</w:t>
            </w:r>
          </w:p>
        </w:tc>
        <w:tc>
          <w:tcPr>
            <w:tcW w:w="1311" w:type="dxa"/>
          </w:tcPr>
          <w:p w:rsidR="00000000" w:rsidRDefault="00000000">
            <w:pPr>
              <w:spacing w:after="0"/>
              <w:ind w:right="227"/>
              <w:jc w:val="right"/>
            </w:pPr>
            <w:r>
              <w:t>1 798</w:t>
            </w:r>
          </w:p>
        </w:tc>
        <w:tc>
          <w:tcPr>
            <w:tcW w:w="1311" w:type="dxa"/>
          </w:tcPr>
          <w:p w:rsidR="00000000" w:rsidRDefault="00000000">
            <w:pPr>
              <w:spacing w:after="0"/>
              <w:ind w:right="227"/>
              <w:jc w:val="right"/>
            </w:pPr>
            <w:r>
              <w:t>1 676</w:t>
            </w:r>
          </w:p>
        </w:tc>
        <w:tc>
          <w:tcPr>
            <w:tcW w:w="1311" w:type="dxa"/>
          </w:tcPr>
          <w:p w:rsidR="00000000" w:rsidRDefault="00000000">
            <w:pPr>
              <w:spacing w:after="0"/>
              <w:ind w:right="227"/>
              <w:jc w:val="right"/>
            </w:pPr>
            <w:r>
              <w:t>337</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tabs>
                <w:tab w:val="left" w:pos="227"/>
              </w:tabs>
              <w:spacing w:after="0"/>
            </w:pPr>
            <w:r>
              <w:tab/>
              <w:t>First-time enrolled</w:t>
            </w:r>
          </w:p>
        </w:tc>
        <w:tc>
          <w:tcPr>
            <w:tcW w:w="1310" w:type="dxa"/>
          </w:tcPr>
          <w:p w:rsidR="00000000" w:rsidRDefault="00000000">
            <w:pPr>
              <w:spacing w:after="0"/>
              <w:ind w:right="170"/>
              <w:jc w:val="right"/>
            </w:pPr>
            <w:r>
              <w:t>2 403</w:t>
            </w:r>
          </w:p>
        </w:tc>
        <w:tc>
          <w:tcPr>
            <w:tcW w:w="1311" w:type="dxa"/>
          </w:tcPr>
          <w:p w:rsidR="00000000" w:rsidRDefault="00000000">
            <w:pPr>
              <w:spacing w:after="0"/>
              <w:ind w:right="227"/>
              <w:jc w:val="right"/>
            </w:pPr>
            <w:r>
              <w:t>479</w:t>
            </w:r>
          </w:p>
        </w:tc>
        <w:tc>
          <w:tcPr>
            <w:tcW w:w="1311" w:type="dxa"/>
          </w:tcPr>
          <w:p w:rsidR="00000000" w:rsidRDefault="00000000">
            <w:pPr>
              <w:spacing w:after="0"/>
              <w:ind w:right="227"/>
              <w:jc w:val="right"/>
            </w:pPr>
            <w:r>
              <w:t>535</w:t>
            </w:r>
          </w:p>
        </w:tc>
        <w:tc>
          <w:tcPr>
            <w:tcW w:w="1311" w:type="dxa"/>
          </w:tcPr>
          <w:p w:rsidR="00000000" w:rsidRDefault="00000000">
            <w:pPr>
              <w:spacing w:after="0"/>
              <w:ind w:right="227"/>
              <w:jc w:val="right"/>
            </w:pPr>
            <w:r>
              <w:t>101</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first class</w:t>
            </w:r>
          </w:p>
        </w:tc>
        <w:tc>
          <w:tcPr>
            <w:tcW w:w="1310" w:type="dxa"/>
          </w:tcPr>
          <w:p w:rsidR="00000000" w:rsidRDefault="00000000">
            <w:pPr>
              <w:spacing w:after="0"/>
              <w:ind w:right="170"/>
              <w:jc w:val="right"/>
            </w:pPr>
            <w:r>
              <w:t>2 458</w:t>
            </w:r>
          </w:p>
        </w:tc>
        <w:tc>
          <w:tcPr>
            <w:tcW w:w="1311" w:type="dxa"/>
          </w:tcPr>
          <w:p w:rsidR="00000000" w:rsidRDefault="00000000">
            <w:pPr>
              <w:spacing w:after="0"/>
              <w:ind w:right="227"/>
              <w:jc w:val="right"/>
            </w:pPr>
            <w:r>
              <w:t>493</w:t>
            </w:r>
          </w:p>
        </w:tc>
        <w:tc>
          <w:tcPr>
            <w:tcW w:w="1311" w:type="dxa"/>
          </w:tcPr>
          <w:p w:rsidR="00000000" w:rsidRDefault="00000000">
            <w:pPr>
              <w:spacing w:after="0"/>
              <w:ind w:right="227"/>
              <w:jc w:val="right"/>
            </w:pPr>
            <w:r>
              <w:t>537</w:t>
            </w:r>
          </w:p>
        </w:tc>
        <w:tc>
          <w:tcPr>
            <w:tcW w:w="1311" w:type="dxa"/>
          </w:tcPr>
          <w:p w:rsidR="00000000" w:rsidRDefault="00000000">
            <w:pPr>
              <w:spacing w:after="0"/>
              <w:ind w:right="227"/>
              <w:jc w:val="right"/>
            </w:pPr>
            <w:r>
              <w:t>102</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second class</w:t>
            </w:r>
          </w:p>
        </w:tc>
        <w:tc>
          <w:tcPr>
            <w:tcW w:w="1310" w:type="dxa"/>
          </w:tcPr>
          <w:p w:rsidR="00000000" w:rsidRDefault="00000000">
            <w:pPr>
              <w:spacing w:after="0"/>
              <w:ind w:right="170"/>
              <w:jc w:val="right"/>
            </w:pPr>
            <w:r>
              <w:t>1 729</w:t>
            </w:r>
          </w:p>
        </w:tc>
        <w:tc>
          <w:tcPr>
            <w:tcW w:w="1311" w:type="dxa"/>
          </w:tcPr>
          <w:p w:rsidR="00000000" w:rsidRDefault="00000000">
            <w:pPr>
              <w:spacing w:after="0"/>
              <w:ind w:right="227"/>
              <w:jc w:val="right"/>
            </w:pPr>
            <w:r>
              <w:t>381</w:t>
            </w:r>
          </w:p>
        </w:tc>
        <w:tc>
          <w:tcPr>
            <w:tcW w:w="1311" w:type="dxa"/>
          </w:tcPr>
          <w:p w:rsidR="00000000" w:rsidRDefault="00000000">
            <w:pPr>
              <w:spacing w:after="0"/>
              <w:ind w:right="227"/>
              <w:jc w:val="right"/>
            </w:pPr>
            <w:r>
              <w:t>403</w:t>
            </w:r>
          </w:p>
        </w:tc>
        <w:tc>
          <w:tcPr>
            <w:tcW w:w="1311" w:type="dxa"/>
          </w:tcPr>
          <w:p w:rsidR="00000000" w:rsidRDefault="00000000">
            <w:pPr>
              <w:spacing w:after="0"/>
              <w:ind w:right="227"/>
              <w:jc w:val="right"/>
            </w:pPr>
            <w:r>
              <w:t>89</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third class</w:t>
            </w:r>
          </w:p>
        </w:tc>
        <w:tc>
          <w:tcPr>
            <w:tcW w:w="1310" w:type="dxa"/>
          </w:tcPr>
          <w:p w:rsidR="00000000" w:rsidRDefault="00000000">
            <w:pPr>
              <w:spacing w:after="0"/>
              <w:ind w:right="170"/>
              <w:jc w:val="right"/>
            </w:pPr>
            <w:r>
              <w:t>1 517</w:t>
            </w:r>
          </w:p>
        </w:tc>
        <w:tc>
          <w:tcPr>
            <w:tcW w:w="1311" w:type="dxa"/>
          </w:tcPr>
          <w:p w:rsidR="00000000" w:rsidRDefault="00000000">
            <w:pPr>
              <w:spacing w:after="0"/>
              <w:ind w:right="227"/>
              <w:jc w:val="right"/>
            </w:pPr>
            <w:r>
              <w:t>390</w:t>
            </w:r>
          </w:p>
        </w:tc>
        <w:tc>
          <w:tcPr>
            <w:tcW w:w="1311" w:type="dxa"/>
          </w:tcPr>
          <w:p w:rsidR="00000000" w:rsidRDefault="00000000">
            <w:pPr>
              <w:spacing w:after="0"/>
              <w:ind w:right="227"/>
              <w:jc w:val="right"/>
            </w:pPr>
            <w:r>
              <w:t>406</w:t>
            </w:r>
          </w:p>
        </w:tc>
        <w:tc>
          <w:tcPr>
            <w:tcW w:w="1311" w:type="dxa"/>
          </w:tcPr>
          <w:p w:rsidR="00000000" w:rsidRDefault="00000000">
            <w:pPr>
              <w:spacing w:after="0"/>
              <w:ind w:right="227"/>
              <w:jc w:val="right"/>
            </w:pPr>
            <w:r>
              <w:t>94</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fourth class</w:t>
            </w:r>
          </w:p>
        </w:tc>
        <w:tc>
          <w:tcPr>
            <w:tcW w:w="1310" w:type="dxa"/>
          </w:tcPr>
          <w:p w:rsidR="00000000" w:rsidRDefault="00000000">
            <w:pPr>
              <w:spacing w:after="0"/>
              <w:ind w:right="170"/>
              <w:jc w:val="right"/>
            </w:pPr>
            <w:r>
              <w:t>1 048</w:t>
            </w:r>
          </w:p>
        </w:tc>
        <w:tc>
          <w:tcPr>
            <w:tcW w:w="1311" w:type="dxa"/>
          </w:tcPr>
          <w:p w:rsidR="00000000" w:rsidRDefault="00000000">
            <w:pPr>
              <w:spacing w:after="0"/>
              <w:ind w:right="227"/>
              <w:jc w:val="right"/>
            </w:pPr>
            <w:r>
              <w:t>296</w:t>
            </w:r>
          </w:p>
        </w:tc>
        <w:tc>
          <w:tcPr>
            <w:tcW w:w="1311" w:type="dxa"/>
          </w:tcPr>
          <w:p w:rsidR="00000000" w:rsidRDefault="00000000">
            <w:pPr>
              <w:spacing w:after="0"/>
              <w:ind w:right="227"/>
              <w:jc w:val="right"/>
            </w:pPr>
            <w:r>
              <w:t>202</w:t>
            </w:r>
          </w:p>
        </w:tc>
        <w:tc>
          <w:tcPr>
            <w:tcW w:w="1311" w:type="dxa"/>
          </w:tcPr>
          <w:p w:rsidR="00000000" w:rsidRDefault="00000000">
            <w:pPr>
              <w:spacing w:after="0"/>
              <w:ind w:right="227"/>
              <w:jc w:val="right"/>
            </w:pPr>
            <w:r>
              <w:t>33</w:t>
            </w:r>
          </w:p>
        </w:tc>
      </w:tr>
      <w:tr w:rsidR="00000000">
        <w:tblPrEx>
          <w:tblCellMar>
            <w:top w:w="0" w:type="dxa"/>
          </w:tblCellMar>
        </w:tblPrEx>
        <w:tc>
          <w:tcPr>
            <w:tcW w:w="851" w:type="dxa"/>
          </w:tcPr>
          <w:p w:rsidR="00000000" w:rsidRDefault="00000000">
            <w:pPr>
              <w:spacing w:after="0"/>
              <w:ind w:left="113"/>
            </w:pPr>
          </w:p>
        </w:tc>
        <w:tc>
          <w:tcPr>
            <w:tcW w:w="3262" w:type="dxa"/>
          </w:tcPr>
          <w:p w:rsidR="00000000" w:rsidRDefault="00000000">
            <w:pPr>
              <w:spacing w:after="0"/>
            </w:pPr>
            <w:r>
              <w:t>Pupils attending fifth class</w:t>
            </w:r>
          </w:p>
        </w:tc>
        <w:tc>
          <w:tcPr>
            <w:tcW w:w="1310" w:type="dxa"/>
          </w:tcPr>
          <w:p w:rsidR="00000000" w:rsidRDefault="00000000">
            <w:pPr>
              <w:spacing w:after="0"/>
              <w:ind w:right="170"/>
              <w:jc w:val="right"/>
            </w:pPr>
            <w:r>
              <w:t>866</w:t>
            </w:r>
          </w:p>
        </w:tc>
        <w:tc>
          <w:tcPr>
            <w:tcW w:w="1311" w:type="dxa"/>
          </w:tcPr>
          <w:p w:rsidR="00000000" w:rsidRDefault="00000000">
            <w:pPr>
              <w:spacing w:after="0"/>
              <w:ind w:right="227"/>
              <w:jc w:val="right"/>
            </w:pPr>
            <w:r>
              <w:t>238</w:t>
            </w:r>
          </w:p>
        </w:tc>
        <w:tc>
          <w:tcPr>
            <w:tcW w:w="1311" w:type="dxa"/>
          </w:tcPr>
          <w:p w:rsidR="00000000" w:rsidRDefault="00000000">
            <w:pPr>
              <w:spacing w:after="0"/>
              <w:ind w:right="227"/>
              <w:jc w:val="right"/>
            </w:pPr>
            <w:r>
              <w:t>128</w:t>
            </w:r>
          </w:p>
        </w:tc>
        <w:tc>
          <w:tcPr>
            <w:tcW w:w="1311" w:type="dxa"/>
          </w:tcPr>
          <w:p w:rsidR="00000000" w:rsidRDefault="00000000">
            <w:pPr>
              <w:spacing w:after="0"/>
              <w:ind w:right="227"/>
              <w:jc w:val="right"/>
            </w:pPr>
            <w:r>
              <w:t>19</w:t>
            </w:r>
          </w:p>
        </w:tc>
      </w:tr>
    </w:tbl>
    <w:p w:rsidR="00000000" w:rsidRDefault="00000000">
      <w:pPr>
        <w:pStyle w:val="Heading2"/>
      </w:pPr>
      <w:r>
        <w:t>Table 56</w:t>
      </w:r>
    </w:p>
    <w:p w:rsidR="00000000" w:rsidRDefault="00000000">
      <w:pPr>
        <w:pStyle w:val="Heading2"/>
      </w:pPr>
      <w:r>
        <w:t>Teachers in high schools, 2003/04</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51"/>
        <w:gridCol w:w="3685"/>
        <w:gridCol w:w="1205"/>
        <w:gridCol w:w="1205"/>
        <w:gridCol w:w="1205"/>
        <w:gridCol w:w="1205"/>
      </w:tblGrid>
      <w:tr w:rsidR="00000000">
        <w:trPr>
          <w:trHeight w:val="315"/>
        </w:trPr>
        <w:tc>
          <w:tcPr>
            <w:tcW w:w="851" w:type="dxa"/>
            <w:tcBorders>
              <w:bottom w:val="single" w:sz="4" w:space="0" w:color="auto"/>
            </w:tcBorders>
            <w:noWrap/>
          </w:tcPr>
          <w:p w:rsidR="00000000" w:rsidRDefault="00000000">
            <w:pPr>
              <w:spacing w:after="0"/>
              <w:jc w:val="center"/>
            </w:pPr>
            <w:r>
              <w:t>No.</w:t>
            </w:r>
          </w:p>
        </w:tc>
        <w:tc>
          <w:tcPr>
            <w:tcW w:w="3685" w:type="dxa"/>
            <w:tcBorders>
              <w:bottom w:val="single" w:sz="4" w:space="0" w:color="auto"/>
            </w:tcBorders>
            <w:noWrap/>
          </w:tcPr>
          <w:p w:rsidR="00000000" w:rsidRDefault="00000000">
            <w:pPr>
              <w:spacing w:after="0"/>
              <w:jc w:val="center"/>
            </w:pPr>
            <w:r>
              <w:t>Teachers</w:t>
            </w:r>
          </w:p>
        </w:tc>
        <w:tc>
          <w:tcPr>
            <w:tcW w:w="1205" w:type="dxa"/>
            <w:tcBorders>
              <w:bottom w:val="single" w:sz="4" w:space="0" w:color="auto"/>
            </w:tcBorders>
            <w:noWrap/>
          </w:tcPr>
          <w:p w:rsidR="00000000" w:rsidRDefault="00000000">
            <w:pPr>
              <w:spacing w:after="0"/>
              <w:jc w:val="center"/>
            </w:pPr>
            <w:r>
              <w:t>Total</w:t>
            </w:r>
          </w:p>
        </w:tc>
        <w:tc>
          <w:tcPr>
            <w:tcW w:w="1205" w:type="dxa"/>
            <w:tcBorders>
              <w:bottom w:val="single" w:sz="4" w:space="0" w:color="auto"/>
            </w:tcBorders>
            <w:noWrap/>
          </w:tcPr>
          <w:p w:rsidR="00000000" w:rsidRDefault="00000000">
            <w:pPr>
              <w:spacing w:after="0"/>
              <w:jc w:val="center"/>
            </w:pPr>
            <w:r>
              <w:t>Females</w:t>
            </w:r>
          </w:p>
        </w:tc>
        <w:tc>
          <w:tcPr>
            <w:tcW w:w="1205" w:type="dxa"/>
            <w:tcBorders>
              <w:bottom w:val="single" w:sz="4" w:space="0" w:color="auto"/>
            </w:tcBorders>
            <w:noWrap/>
          </w:tcPr>
          <w:p w:rsidR="00000000" w:rsidRDefault="00000000">
            <w:pPr>
              <w:spacing w:after="0"/>
              <w:jc w:val="center"/>
            </w:pPr>
            <w:r>
              <w:t>Rural areas</w:t>
            </w:r>
          </w:p>
        </w:tc>
        <w:tc>
          <w:tcPr>
            <w:tcW w:w="1205" w:type="dxa"/>
            <w:tcBorders>
              <w:bottom w:val="single" w:sz="4" w:space="0" w:color="auto"/>
            </w:tcBorders>
            <w:noWrap/>
          </w:tcPr>
          <w:p w:rsidR="00000000" w:rsidRDefault="00000000">
            <w:pPr>
              <w:spacing w:after="0"/>
              <w:jc w:val="center"/>
            </w:pPr>
            <w:r>
              <w:t>Females</w:t>
            </w:r>
          </w:p>
        </w:tc>
      </w:tr>
      <w:tr w:rsidR="00000000">
        <w:trPr>
          <w:trHeight w:val="315"/>
        </w:trPr>
        <w:tc>
          <w:tcPr>
            <w:tcW w:w="851" w:type="dxa"/>
            <w:tcBorders>
              <w:top w:val="single" w:sz="4" w:space="0" w:color="auto"/>
              <w:bottom w:val="nil"/>
            </w:tcBorders>
            <w:noWrap/>
          </w:tcPr>
          <w:p w:rsidR="00000000" w:rsidRDefault="00000000">
            <w:pPr>
              <w:spacing w:after="0"/>
              <w:ind w:left="113"/>
            </w:pPr>
            <w:r>
              <w:t>1</w:t>
            </w:r>
          </w:p>
        </w:tc>
        <w:tc>
          <w:tcPr>
            <w:tcW w:w="3685" w:type="dxa"/>
            <w:tcBorders>
              <w:top w:val="single" w:sz="4" w:space="0" w:color="auto"/>
              <w:bottom w:val="nil"/>
            </w:tcBorders>
            <w:noWrap/>
          </w:tcPr>
          <w:p w:rsidR="00000000" w:rsidRDefault="00000000">
            <w:pPr>
              <w:spacing w:after="0"/>
            </w:pPr>
            <w:r>
              <w:t>Teachers in total</w:t>
            </w:r>
          </w:p>
        </w:tc>
        <w:tc>
          <w:tcPr>
            <w:tcW w:w="1205" w:type="dxa"/>
            <w:tcBorders>
              <w:top w:val="single" w:sz="4" w:space="0" w:color="auto"/>
              <w:bottom w:val="nil"/>
            </w:tcBorders>
            <w:noWrap/>
          </w:tcPr>
          <w:p w:rsidR="00000000" w:rsidRDefault="00000000">
            <w:pPr>
              <w:spacing w:after="0"/>
              <w:ind w:right="227"/>
              <w:jc w:val="right"/>
            </w:pPr>
            <w:r>
              <w:t>6 133</w:t>
            </w:r>
          </w:p>
        </w:tc>
        <w:tc>
          <w:tcPr>
            <w:tcW w:w="1205" w:type="dxa"/>
            <w:tcBorders>
              <w:top w:val="single" w:sz="4" w:space="0" w:color="auto"/>
              <w:bottom w:val="nil"/>
            </w:tcBorders>
            <w:noWrap/>
          </w:tcPr>
          <w:p w:rsidR="00000000" w:rsidRDefault="00000000">
            <w:pPr>
              <w:spacing w:after="0"/>
              <w:ind w:right="198"/>
              <w:jc w:val="right"/>
            </w:pPr>
            <w:r>
              <w:t>3 467</w:t>
            </w:r>
          </w:p>
        </w:tc>
        <w:tc>
          <w:tcPr>
            <w:tcW w:w="1205" w:type="dxa"/>
            <w:tcBorders>
              <w:top w:val="single" w:sz="4" w:space="0" w:color="auto"/>
              <w:bottom w:val="nil"/>
            </w:tcBorders>
            <w:noWrap/>
          </w:tcPr>
          <w:p w:rsidR="00000000" w:rsidRDefault="00000000">
            <w:pPr>
              <w:spacing w:after="0"/>
              <w:ind w:right="198"/>
              <w:jc w:val="right"/>
            </w:pPr>
            <w:r>
              <w:t>1 889</w:t>
            </w:r>
          </w:p>
        </w:tc>
        <w:tc>
          <w:tcPr>
            <w:tcW w:w="1205" w:type="dxa"/>
            <w:tcBorders>
              <w:top w:val="single" w:sz="4" w:space="0" w:color="auto"/>
              <w:bottom w:val="nil"/>
            </w:tcBorders>
            <w:noWrap/>
          </w:tcPr>
          <w:p w:rsidR="00000000" w:rsidRDefault="00000000">
            <w:pPr>
              <w:spacing w:after="0"/>
              <w:ind w:right="312"/>
              <w:jc w:val="right"/>
            </w:pPr>
            <w:r>
              <w:t>788</w:t>
            </w:r>
          </w:p>
        </w:tc>
      </w:tr>
      <w:tr w:rsidR="00000000">
        <w:trPr>
          <w:trHeight w:val="300"/>
        </w:trPr>
        <w:tc>
          <w:tcPr>
            <w:tcW w:w="851" w:type="dxa"/>
            <w:tcBorders>
              <w:top w:val="nil"/>
            </w:tcBorders>
            <w:noWrap/>
          </w:tcPr>
          <w:p w:rsidR="00000000" w:rsidRDefault="00000000">
            <w:pPr>
              <w:spacing w:after="0"/>
              <w:ind w:left="113"/>
            </w:pPr>
            <w:r>
              <w:t>1.1</w:t>
            </w:r>
          </w:p>
        </w:tc>
        <w:tc>
          <w:tcPr>
            <w:tcW w:w="3685" w:type="dxa"/>
            <w:tcBorders>
              <w:top w:val="nil"/>
            </w:tcBorders>
            <w:noWrap/>
          </w:tcPr>
          <w:p w:rsidR="00000000" w:rsidRDefault="00000000">
            <w:pPr>
              <w:pStyle w:val="Header"/>
              <w:tabs>
                <w:tab w:val="clear" w:pos="4320"/>
                <w:tab w:val="clear" w:pos="8640"/>
                <w:tab w:val="left" w:pos="227"/>
              </w:tabs>
              <w:spacing w:after="0"/>
            </w:pPr>
            <w:r>
              <w:tab/>
              <w:t>With high-school education</w:t>
            </w:r>
          </w:p>
        </w:tc>
        <w:tc>
          <w:tcPr>
            <w:tcW w:w="1205" w:type="dxa"/>
            <w:tcBorders>
              <w:top w:val="nil"/>
            </w:tcBorders>
            <w:noWrap/>
          </w:tcPr>
          <w:p w:rsidR="00000000" w:rsidRDefault="00000000">
            <w:pPr>
              <w:spacing w:after="0"/>
              <w:ind w:right="227"/>
              <w:jc w:val="right"/>
            </w:pPr>
            <w:r>
              <w:t>211</w:t>
            </w:r>
          </w:p>
        </w:tc>
        <w:tc>
          <w:tcPr>
            <w:tcW w:w="1205" w:type="dxa"/>
            <w:tcBorders>
              <w:top w:val="nil"/>
            </w:tcBorders>
            <w:noWrap/>
          </w:tcPr>
          <w:p w:rsidR="00000000" w:rsidRDefault="00000000">
            <w:pPr>
              <w:spacing w:after="0"/>
              <w:ind w:right="198"/>
              <w:jc w:val="right"/>
            </w:pPr>
            <w:r>
              <w:t>91</w:t>
            </w:r>
          </w:p>
        </w:tc>
        <w:tc>
          <w:tcPr>
            <w:tcW w:w="1205" w:type="dxa"/>
            <w:tcBorders>
              <w:top w:val="nil"/>
            </w:tcBorders>
            <w:noWrap/>
          </w:tcPr>
          <w:p w:rsidR="00000000" w:rsidRDefault="00000000">
            <w:pPr>
              <w:spacing w:after="0"/>
              <w:ind w:right="198"/>
              <w:jc w:val="right"/>
            </w:pPr>
            <w:r>
              <w:t>76</w:t>
            </w:r>
          </w:p>
        </w:tc>
        <w:tc>
          <w:tcPr>
            <w:tcW w:w="1205" w:type="dxa"/>
            <w:tcBorders>
              <w:top w:val="nil"/>
            </w:tcBorders>
            <w:noWrap/>
          </w:tcPr>
          <w:p w:rsidR="00000000" w:rsidRDefault="00000000">
            <w:pPr>
              <w:spacing w:after="0"/>
              <w:ind w:right="312"/>
              <w:jc w:val="right"/>
            </w:pPr>
            <w:r>
              <w:t>39</w:t>
            </w:r>
          </w:p>
        </w:tc>
      </w:tr>
      <w:tr w:rsidR="00000000">
        <w:trPr>
          <w:trHeight w:val="300"/>
        </w:trPr>
        <w:tc>
          <w:tcPr>
            <w:tcW w:w="851" w:type="dxa"/>
            <w:noWrap/>
          </w:tcPr>
          <w:p w:rsidR="00000000" w:rsidRDefault="00000000">
            <w:pPr>
              <w:spacing w:after="0"/>
              <w:ind w:left="113"/>
            </w:pPr>
            <w:r>
              <w:t>1.2</w:t>
            </w:r>
          </w:p>
        </w:tc>
        <w:tc>
          <w:tcPr>
            <w:tcW w:w="3685" w:type="dxa"/>
            <w:noWrap/>
          </w:tcPr>
          <w:p w:rsidR="00000000" w:rsidRDefault="00000000">
            <w:pPr>
              <w:pStyle w:val="Header"/>
              <w:tabs>
                <w:tab w:val="clear" w:pos="4320"/>
                <w:tab w:val="clear" w:pos="8640"/>
                <w:tab w:val="left" w:pos="227"/>
              </w:tabs>
              <w:spacing w:after="0"/>
            </w:pPr>
            <w:r>
              <w:tab/>
              <w:t>Graduated</w:t>
            </w:r>
          </w:p>
        </w:tc>
        <w:tc>
          <w:tcPr>
            <w:tcW w:w="1205" w:type="dxa"/>
            <w:noWrap/>
          </w:tcPr>
          <w:p w:rsidR="00000000" w:rsidRDefault="00000000">
            <w:pPr>
              <w:spacing w:after="0"/>
              <w:ind w:right="227"/>
              <w:jc w:val="right"/>
            </w:pPr>
            <w:r>
              <w:t>5 922</w:t>
            </w:r>
          </w:p>
        </w:tc>
        <w:tc>
          <w:tcPr>
            <w:tcW w:w="1205" w:type="dxa"/>
            <w:noWrap/>
          </w:tcPr>
          <w:p w:rsidR="00000000" w:rsidRDefault="00000000">
            <w:pPr>
              <w:spacing w:after="0"/>
              <w:ind w:right="198"/>
              <w:jc w:val="right"/>
            </w:pPr>
            <w:r>
              <w:t>3 376</w:t>
            </w:r>
          </w:p>
        </w:tc>
        <w:tc>
          <w:tcPr>
            <w:tcW w:w="1205" w:type="dxa"/>
            <w:noWrap/>
          </w:tcPr>
          <w:p w:rsidR="00000000" w:rsidRDefault="00000000">
            <w:pPr>
              <w:spacing w:after="0"/>
              <w:ind w:right="198"/>
              <w:jc w:val="right"/>
            </w:pPr>
            <w:r>
              <w:t>1 813</w:t>
            </w:r>
          </w:p>
        </w:tc>
        <w:tc>
          <w:tcPr>
            <w:tcW w:w="1205" w:type="dxa"/>
            <w:noWrap/>
          </w:tcPr>
          <w:p w:rsidR="00000000" w:rsidRDefault="00000000">
            <w:pPr>
              <w:spacing w:after="0"/>
              <w:ind w:right="312"/>
              <w:jc w:val="right"/>
            </w:pPr>
            <w:r>
              <w:t>749</w:t>
            </w:r>
          </w:p>
        </w:tc>
      </w:tr>
      <w:tr w:rsidR="00000000">
        <w:trPr>
          <w:trHeight w:val="315"/>
        </w:trPr>
        <w:tc>
          <w:tcPr>
            <w:tcW w:w="851" w:type="dxa"/>
            <w:noWrap/>
          </w:tcPr>
          <w:p w:rsidR="00000000" w:rsidRDefault="00000000">
            <w:pPr>
              <w:spacing w:after="0"/>
              <w:ind w:left="113"/>
            </w:pPr>
            <w:r>
              <w:t>2</w:t>
            </w:r>
          </w:p>
        </w:tc>
        <w:tc>
          <w:tcPr>
            <w:tcW w:w="3685" w:type="dxa"/>
            <w:noWrap/>
          </w:tcPr>
          <w:p w:rsidR="00000000" w:rsidRDefault="00000000">
            <w:pPr>
              <w:spacing w:after="0"/>
            </w:pPr>
            <w:r>
              <w:t>Teachers in high-school system</w:t>
            </w:r>
          </w:p>
        </w:tc>
        <w:tc>
          <w:tcPr>
            <w:tcW w:w="1205" w:type="dxa"/>
            <w:noWrap/>
          </w:tcPr>
          <w:p w:rsidR="00000000" w:rsidRDefault="00000000">
            <w:pPr>
              <w:spacing w:after="0"/>
              <w:ind w:right="227"/>
              <w:jc w:val="right"/>
            </w:pPr>
            <w:r>
              <w:t>4 625</w:t>
            </w:r>
          </w:p>
        </w:tc>
        <w:tc>
          <w:tcPr>
            <w:tcW w:w="1205" w:type="dxa"/>
            <w:noWrap/>
          </w:tcPr>
          <w:p w:rsidR="00000000" w:rsidRDefault="00000000">
            <w:pPr>
              <w:spacing w:after="0"/>
              <w:ind w:right="198"/>
              <w:jc w:val="right"/>
            </w:pPr>
            <w:r>
              <w:t>2 598</w:t>
            </w:r>
          </w:p>
        </w:tc>
        <w:tc>
          <w:tcPr>
            <w:tcW w:w="1205" w:type="dxa"/>
            <w:noWrap/>
          </w:tcPr>
          <w:p w:rsidR="00000000" w:rsidRDefault="00000000">
            <w:pPr>
              <w:spacing w:after="0"/>
              <w:ind w:right="198"/>
              <w:jc w:val="right"/>
            </w:pPr>
            <w:r>
              <w:t>1 791</w:t>
            </w:r>
          </w:p>
        </w:tc>
        <w:tc>
          <w:tcPr>
            <w:tcW w:w="1205" w:type="dxa"/>
            <w:noWrap/>
          </w:tcPr>
          <w:p w:rsidR="00000000" w:rsidRDefault="00000000">
            <w:pPr>
              <w:spacing w:after="0"/>
              <w:ind w:right="312"/>
              <w:jc w:val="right"/>
            </w:pPr>
            <w:r>
              <w:t>742</w:t>
            </w:r>
          </w:p>
        </w:tc>
      </w:tr>
      <w:tr w:rsidR="00000000">
        <w:trPr>
          <w:trHeight w:val="300"/>
        </w:trPr>
        <w:tc>
          <w:tcPr>
            <w:tcW w:w="851" w:type="dxa"/>
            <w:noWrap/>
          </w:tcPr>
          <w:p w:rsidR="00000000" w:rsidRDefault="00000000">
            <w:pPr>
              <w:spacing w:after="0"/>
              <w:ind w:left="113"/>
            </w:pPr>
            <w:r>
              <w:t>2.1</w:t>
            </w:r>
          </w:p>
        </w:tc>
        <w:tc>
          <w:tcPr>
            <w:tcW w:w="3685" w:type="dxa"/>
            <w:noWrap/>
          </w:tcPr>
          <w:p w:rsidR="00000000" w:rsidRDefault="00000000">
            <w:pPr>
              <w:pStyle w:val="Header"/>
              <w:tabs>
                <w:tab w:val="clear" w:pos="4320"/>
                <w:tab w:val="clear" w:pos="8640"/>
                <w:tab w:val="left" w:pos="227"/>
              </w:tabs>
              <w:spacing w:after="0"/>
            </w:pPr>
            <w:r>
              <w:tab/>
              <w:t>With high-school education</w:t>
            </w:r>
          </w:p>
        </w:tc>
        <w:tc>
          <w:tcPr>
            <w:tcW w:w="1205" w:type="dxa"/>
            <w:noWrap/>
          </w:tcPr>
          <w:p w:rsidR="00000000" w:rsidRDefault="00000000">
            <w:pPr>
              <w:spacing w:after="0"/>
              <w:ind w:right="227"/>
              <w:jc w:val="right"/>
            </w:pPr>
            <w:r>
              <w:t>104</w:t>
            </w:r>
          </w:p>
        </w:tc>
        <w:tc>
          <w:tcPr>
            <w:tcW w:w="1205" w:type="dxa"/>
            <w:noWrap/>
          </w:tcPr>
          <w:p w:rsidR="00000000" w:rsidRDefault="00000000">
            <w:pPr>
              <w:spacing w:after="0"/>
              <w:ind w:right="198"/>
              <w:jc w:val="right"/>
            </w:pPr>
            <w:r>
              <w:t>61</w:t>
            </w:r>
          </w:p>
        </w:tc>
        <w:tc>
          <w:tcPr>
            <w:tcW w:w="1205" w:type="dxa"/>
            <w:noWrap/>
          </w:tcPr>
          <w:p w:rsidR="00000000" w:rsidRDefault="00000000">
            <w:pPr>
              <w:spacing w:after="0"/>
              <w:ind w:right="198"/>
              <w:jc w:val="right"/>
            </w:pPr>
            <w:r>
              <w:t>70</w:t>
            </w:r>
          </w:p>
        </w:tc>
        <w:tc>
          <w:tcPr>
            <w:tcW w:w="1205" w:type="dxa"/>
            <w:noWrap/>
          </w:tcPr>
          <w:p w:rsidR="00000000" w:rsidRDefault="00000000">
            <w:pPr>
              <w:spacing w:after="0"/>
              <w:ind w:right="312"/>
              <w:jc w:val="right"/>
            </w:pPr>
            <w:r>
              <w:t>38</w:t>
            </w:r>
          </w:p>
        </w:tc>
      </w:tr>
      <w:tr w:rsidR="00000000">
        <w:trPr>
          <w:trHeight w:val="300"/>
        </w:trPr>
        <w:tc>
          <w:tcPr>
            <w:tcW w:w="851" w:type="dxa"/>
            <w:noWrap/>
          </w:tcPr>
          <w:p w:rsidR="00000000" w:rsidRDefault="00000000">
            <w:pPr>
              <w:spacing w:after="0"/>
              <w:ind w:left="113"/>
            </w:pPr>
            <w:r>
              <w:t>2.2</w:t>
            </w:r>
          </w:p>
        </w:tc>
        <w:tc>
          <w:tcPr>
            <w:tcW w:w="3685" w:type="dxa"/>
            <w:noWrap/>
          </w:tcPr>
          <w:p w:rsidR="00000000" w:rsidRDefault="00000000">
            <w:pPr>
              <w:pStyle w:val="Header"/>
              <w:tabs>
                <w:tab w:val="clear" w:pos="4320"/>
                <w:tab w:val="clear" w:pos="8640"/>
                <w:tab w:val="left" w:pos="227"/>
              </w:tabs>
              <w:spacing w:after="0"/>
            </w:pPr>
            <w:r>
              <w:tab/>
              <w:t>Graduated</w:t>
            </w:r>
          </w:p>
        </w:tc>
        <w:tc>
          <w:tcPr>
            <w:tcW w:w="1205" w:type="dxa"/>
            <w:noWrap/>
          </w:tcPr>
          <w:p w:rsidR="00000000" w:rsidRDefault="00000000">
            <w:pPr>
              <w:spacing w:after="0"/>
              <w:ind w:right="227"/>
              <w:jc w:val="right"/>
            </w:pPr>
            <w:r>
              <w:t>4 521</w:t>
            </w:r>
          </w:p>
        </w:tc>
        <w:tc>
          <w:tcPr>
            <w:tcW w:w="1205" w:type="dxa"/>
            <w:noWrap/>
          </w:tcPr>
          <w:p w:rsidR="00000000" w:rsidRDefault="00000000">
            <w:pPr>
              <w:spacing w:after="0"/>
              <w:ind w:right="198"/>
              <w:jc w:val="right"/>
            </w:pPr>
            <w:r>
              <w:t>2 537</w:t>
            </w:r>
          </w:p>
        </w:tc>
        <w:tc>
          <w:tcPr>
            <w:tcW w:w="1205" w:type="dxa"/>
            <w:noWrap/>
          </w:tcPr>
          <w:p w:rsidR="00000000" w:rsidRDefault="00000000">
            <w:pPr>
              <w:spacing w:after="0"/>
              <w:ind w:right="198"/>
              <w:jc w:val="right"/>
            </w:pPr>
            <w:r>
              <w:t>1 721</w:t>
            </w:r>
          </w:p>
        </w:tc>
        <w:tc>
          <w:tcPr>
            <w:tcW w:w="1205" w:type="dxa"/>
            <w:noWrap/>
          </w:tcPr>
          <w:p w:rsidR="00000000" w:rsidRDefault="00000000">
            <w:pPr>
              <w:spacing w:after="0"/>
              <w:ind w:right="312"/>
              <w:jc w:val="right"/>
            </w:pPr>
            <w:r>
              <w:t>704</w:t>
            </w:r>
          </w:p>
        </w:tc>
      </w:tr>
      <w:tr w:rsidR="00000000">
        <w:trPr>
          <w:trHeight w:val="315"/>
        </w:trPr>
        <w:tc>
          <w:tcPr>
            <w:tcW w:w="851" w:type="dxa"/>
            <w:noWrap/>
          </w:tcPr>
          <w:p w:rsidR="00000000" w:rsidRDefault="00000000">
            <w:pPr>
              <w:spacing w:after="0"/>
              <w:ind w:left="113"/>
            </w:pPr>
            <w:r>
              <w:t>3</w:t>
            </w:r>
          </w:p>
        </w:tc>
        <w:tc>
          <w:tcPr>
            <w:tcW w:w="3685" w:type="dxa"/>
            <w:noWrap/>
          </w:tcPr>
          <w:p w:rsidR="00000000" w:rsidRDefault="00000000">
            <w:pPr>
              <w:spacing w:after="0"/>
            </w:pPr>
            <w:r>
              <w:t>Teachers in vocational education</w:t>
            </w:r>
          </w:p>
        </w:tc>
        <w:tc>
          <w:tcPr>
            <w:tcW w:w="1205" w:type="dxa"/>
            <w:noWrap/>
          </w:tcPr>
          <w:p w:rsidR="00000000" w:rsidRDefault="00000000">
            <w:pPr>
              <w:spacing w:after="0"/>
              <w:ind w:right="227"/>
              <w:jc w:val="right"/>
            </w:pPr>
            <w:r>
              <w:t>1 508</w:t>
            </w:r>
          </w:p>
        </w:tc>
        <w:tc>
          <w:tcPr>
            <w:tcW w:w="1205" w:type="dxa"/>
            <w:noWrap/>
          </w:tcPr>
          <w:p w:rsidR="00000000" w:rsidRDefault="00000000">
            <w:pPr>
              <w:spacing w:after="0"/>
              <w:ind w:right="198"/>
              <w:jc w:val="right"/>
            </w:pPr>
            <w:r>
              <w:t>869</w:t>
            </w:r>
          </w:p>
        </w:tc>
        <w:tc>
          <w:tcPr>
            <w:tcW w:w="1205" w:type="dxa"/>
            <w:noWrap/>
          </w:tcPr>
          <w:p w:rsidR="00000000" w:rsidRDefault="00000000">
            <w:pPr>
              <w:spacing w:after="0"/>
              <w:ind w:right="198"/>
              <w:jc w:val="right"/>
            </w:pPr>
            <w:r>
              <w:t>98</w:t>
            </w:r>
          </w:p>
        </w:tc>
        <w:tc>
          <w:tcPr>
            <w:tcW w:w="1205" w:type="dxa"/>
            <w:noWrap/>
          </w:tcPr>
          <w:p w:rsidR="00000000" w:rsidRDefault="00000000">
            <w:pPr>
              <w:spacing w:after="0"/>
              <w:ind w:right="312"/>
              <w:jc w:val="right"/>
            </w:pPr>
            <w:r>
              <w:t>46</w:t>
            </w:r>
          </w:p>
        </w:tc>
      </w:tr>
      <w:tr w:rsidR="00000000">
        <w:trPr>
          <w:trHeight w:val="300"/>
        </w:trPr>
        <w:tc>
          <w:tcPr>
            <w:tcW w:w="851" w:type="dxa"/>
            <w:noWrap/>
          </w:tcPr>
          <w:p w:rsidR="00000000" w:rsidRDefault="00000000">
            <w:pPr>
              <w:spacing w:after="0"/>
              <w:ind w:left="113"/>
            </w:pPr>
            <w:r>
              <w:t>3.1</w:t>
            </w:r>
          </w:p>
        </w:tc>
        <w:tc>
          <w:tcPr>
            <w:tcW w:w="3685" w:type="dxa"/>
            <w:noWrap/>
          </w:tcPr>
          <w:p w:rsidR="00000000" w:rsidRDefault="00000000">
            <w:pPr>
              <w:pStyle w:val="Header"/>
              <w:tabs>
                <w:tab w:val="clear" w:pos="4320"/>
                <w:tab w:val="clear" w:pos="8640"/>
                <w:tab w:val="left" w:pos="227"/>
              </w:tabs>
              <w:spacing w:after="0"/>
            </w:pPr>
            <w:r>
              <w:tab/>
              <w:t>With high-school education</w:t>
            </w:r>
          </w:p>
        </w:tc>
        <w:tc>
          <w:tcPr>
            <w:tcW w:w="1205" w:type="dxa"/>
            <w:noWrap/>
          </w:tcPr>
          <w:p w:rsidR="00000000" w:rsidRDefault="00000000">
            <w:pPr>
              <w:spacing w:after="0"/>
              <w:ind w:right="227"/>
              <w:jc w:val="right"/>
            </w:pPr>
            <w:r>
              <w:t>107</w:t>
            </w:r>
          </w:p>
        </w:tc>
        <w:tc>
          <w:tcPr>
            <w:tcW w:w="1205" w:type="dxa"/>
            <w:noWrap/>
          </w:tcPr>
          <w:p w:rsidR="00000000" w:rsidRDefault="00000000">
            <w:pPr>
              <w:spacing w:after="0"/>
              <w:ind w:right="198"/>
              <w:jc w:val="right"/>
            </w:pPr>
            <w:r>
              <w:t>30</w:t>
            </w:r>
          </w:p>
        </w:tc>
        <w:tc>
          <w:tcPr>
            <w:tcW w:w="1205" w:type="dxa"/>
            <w:noWrap/>
          </w:tcPr>
          <w:p w:rsidR="00000000" w:rsidRDefault="00000000">
            <w:pPr>
              <w:spacing w:after="0"/>
              <w:ind w:right="198"/>
              <w:jc w:val="right"/>
            </w:pPr>
            <w:r>
              <w:t>6</w:t>
            </w:r>
          </w:p>
        </w:tc>
        <w:tc>
          <w:tcPr>
            <w:tcW w:w="1205" w:type="dxa"/>
            <w:noWrap/>
          </w:tcPr>
          <w:p w:rsidR="00000000" w:rsidRDefault="00000000">
            <w:pPr>
              <w:spacing w:after="0"/>
              <w:ind w:right="312"/>
              <w:jc w:val="right"/>
            </w:pPr>
            <w:r>
              <w:t>1</w:t>
            </w:r>
          </w:p>
        </w:tc>
      </w:tr>
      <w:tr w:rsidR="00000000">
        <w:trPr>
          <w:trHeight w:val="300"/>
        </w:trPr>
        <w:tc>
          <w:tcPr>
            <w:tcW w:w="851" w:type="dxa"/>
            <w:noWrap/>
          </w:tcPr>
          <w:p w:rsidR="00000000" w:rsidRDefault="00000000">
            <w:pPr>
              <w:spacing w:after="0"/>
              <w:ind w:left="113"/>
            </w:pPr>
            <w:r>
              <w:t>3.2</w:t>
            </w:r>
          </w:p>
        </w:tc>
        <w:tc>
          <w:tcPr>
            <w:tcW w:w="3685" w:type="dxa"/>
            <w:noWrap/>
          </w:tcPr>
          <w:p w:rsidR="00000000" w:rsidRDefault="00000000">
            <w:pPr>
              <w:pStyle w:val="Header"/>
              <w:tabs>
                <w:tab w:val="clear" w:pos="4320"/>
                <w:tab w:val="clear" w:pos="8640"/>
                <w:tab w:val="left" w:pos="227"/>
              </w:tabs>
              <w:spacing w:after="0"/>
            </w:pPr>
            <w:r>
              <w:tab/>
              <w:t>Graduated</w:t>
            </w:r>
          </w:p>
        </w:tc>
        <w:tc>
          <w:tcPr>
            <w:tcW w:w="1205" w:type="dxa"/>
            <w:noWrap/>
          </w:tcPr>
          <w:p w:rsidR="00000000" w:rsidRDefault="00000000">
            <w:pPr>
              <w:spacing w:after="0"/>
              <w:ind w:right="227"/>
              <w:jc w:val="right"/>
            </w:pPr>
            <w:r>
              <w:t>1 401</w:t>
            </w:r>
          </w:p>
        </w:tc>
        <w:tc>
          <w:tcPr>
            <w:tcW w:w="1205" w:type="dxa"/>
            <w:noWrap/>
          </w:tcPr>
          <w:p w:rsidR="00000000" w:rsidRDefault="00000000">
            <w:pPr>
              <w:spacing w:after="0"/>
              <w:ind w:right="198"/>
              <w:jc w:val="right"/>
            </w:pPr>
            <w:r>
              <w:t>839</w:t>
            </w:r>
          </w:p>
        </w:tc>
        <w:tc>
          <w:tcPr>
            <w:tcW w:w="1205" w:type="dxa"/>
            <w:noWrap/>
          </w:tcPr>
          <w:p w:rsidR="00000000" w:rsidRDefault="00000000">
            <w:pPr>
              <w:spacing w:after="0"/>
              <w:ind w:right="198"/>
              <w:jc w:val="right"/>
            </w:pPr>
            <w:r>
              <w:t>92</w:t>
            </w:r>
          </w:p>
        </w:tc>
        <w:tc>
          <w:tcPr>
            <w:tcW w:w="1205" w:type="dxa"/>
            <w:noWrap/>
          </w:tcPr>
          <w:p w:rsidR="00000000" w:rsidRDefault="00000000">
            <w:pPr>
              <w:spacing w:after="0"/>
              <w:ind w:right="312"/>
              <w:jc w:val="right"/>
            </w:pPr>
            <w:r>
              <w:t>45</w:t>
            </w:r>
          </w:p>
        </w:tc>
      </w:tr>
      <w:tr w:rsidR="00000000">
        <w:trPr>
          <w:trHeight w:val="315"/>
        </w:trPr>
        <w:tc>
          <w:tcPr>
            <w:tcW w:w="851" w:type="dxa"/>
            <w:noWrap/>
          </w:tcPr>
          <w:p w:rsidR="00000000" w:rsidRDefault="00000000">
            <w:pPr>
              <w:spacing w:after="0"/>
              <w:ind w:left="113"/>
            </w:pPr>
          </w:p>
        </w:tc>
        <w:tc>
          <w:tcPr>
            <w:tcW w:w="3685" w:type="dxa"/>
            <w:noWrap/>
          </w:tcPr>
          <w:p w:rsidR="00000000" w:rsidRDefault="00000000">
            <w:pPr>
              <w:pStyle w:val="Header"/>
              <w:tabs>
                <w:tab w:val="clear" w:pos="4320"/>
                <w:tab w:val="clear" w:pos="8640"/>
                <w:tab w:val="left" w:pos="227"/>
              </w:tabs>
              <w:spacing w:after="0"/>
            </w:pPr>
            <w:r>
              <w:t>Out of which:</w:t>
            </w:r>
          </w:p>
        </w:tc>
        <w:tc>
          <w:tcPr>
            <w:tcW w:w="1205" w:type="dxa"/>
            <w:noWrap/>
          </w:tcPr>
          <w:p w:rsidR="00000000" w:rsidRDefault="00000000">
            <w:pPr>
              <w:spacing w:after="0"/>
              <w:ind w:right="227"/>
              <w:jc w:val="right"/>
            </w:pPr>
          </w:p>
        </w:tc>
        <w:tc>
          <w:tcPr>
            <w:tcW w:w="1205" w:type="dxa"/>
            <w:noWrap/>
          </w:tcPr>
          <w:p w:rsidR="00000000" w:rsidRDefault="00000000">
            <w:pPr>
              <w:spacing w:after="0"/>
              <w:ind w:right="198"/>
              <w:jc w:val="right"/>
            </w:pPr>
          </w:p>
        </w:tc>
        <w:tc>
          <w:tcPr>
            <w:tcW w:w="1205" w:type="dxa"/>
            <w:noWrap/>
          </w:tcPr>
          <w:p w:rsidR="00000000" w:rsidRDefault="00000000">
            <w:pPr>
              <w:spacing w:after="0"/>
              <w:ind w:right="198"/>
              <w:jc w:val="right"/>
            </w:pPr>
          </w:p>
        </w:tc>
        <w:tc>
          <w:tcPr>
            <w:tcW w:w="1205" w:type="dxa"/>
            <w:noWrap/>
          </w:tcPr>
          <w:p w:rsidR="00000000" w:rsidRDefault="00000000">
            <w:pPr>
              <w:spacing w:after="0"/>
              <w:ind w:right="312"/>
              <w:jc w:val="right"/>
            </w:pPr>
          </w:p>
        </w:tc>
      </w:tr>
      <w:tr w:rsidR="00000000">
        <w:trPr>
          <w:trHeight w:val="315"/>
        </w:trPr>
        <w:tc>
          <w:tcPr>
            <w:tcW w:w="851" w:type="dxa"/>
            <w:noWrap/>
          </w:tcPr>
          <w:p w:rsidR="00000000" w:rsidRDefault="00000000">
            <w:pPr>
              <w:spacing w:after="0"/>
              <w:ind w:left="113"/>
            </w:pPr>
          </w:p>
        </w:tc>
        <w:tc>
          <w:tcPr>
            <w:tcW w:w="3685" w:type="dxa"/>
            <w:noWrap/>
          </w:tcPr>
          <w:p w:rsidR="00000000" w:rsidRDefault="00000000">
            <w:pPr>
              <w:pStyle w:val="Header"/>
              <w:tabs>
                <w:tab w:val="clear" w:pos="4320"/>
                <w:tab w:val="clear" w:pos="8640"/>
                <w:tab w:val="left" w:pos="227"/>
              </w:tabs>
              <w:spacing w:after="0"/>
            </w:pPr>
            <w:r>
              <w:tab/>
              <w:t>Teachers in combined schools</w:t>
            </w:r>
          </w:p>
        </w:tc>
        <w:tc>
          <w:tcPr>
            <w:tcW w:w="1205" w:type="dxa"/>
            <w:noWrap/>
          </w:tcPr>
          <w:p w:rsidR="00000000" w:rsidRDefault="00000000">
            <w:pPr>
              <w:spacing w:after="0"/>
              <w:ind w:right="227"/>
              <w:jc w:val="right"/>
            </w:pPr>
            <w:r>
              <w:t>1 444</w:t>
            </w:r>
          </w:p>
        </w:tc>
        <w:tc>
          <w:tcPr>
            <w:tcW w:w="1205" w:type="dxa"/>
            <w:noWrap/>
          </w:tcPr>
          <w:p w:rsidR="00000000" w:rsidRDefault="00000000">
            <w:pPr>
              <w:spacing w:after="0"/>
              <w:ind w:right="198"/>
              <w:jc w:val="right"/>
            </w:pPr>
            <w:r>
              <w:t>583</w:t>
            </w:r>
          </w:p>
        </w:tc>
        <w:tc>
          <w:tcPr>
            <w:tcW w:w="1205" w:type="dxa"/>
            <w:noWrap/>
          </w:tcPr>
          <w:p w:rsidR="00000000" w:rsidRDefault="00000000">
            <w:pPr>
              <w:spacing w:after="0"/>
              <w:ind w:right="198"/>
              <w:jc w:val="right"/>
            </w:pPr>
            <w:r>
              <w:t>1 206</w:t>
            </w:r>
          </w:p>
        </w:tc>
        <w:tc>
          <w:tcPr>
            <w:tcW w:w="1205" w:type="dxa"/>
            <w:noWrap/>
          </w:tcPr>
          <w:p w:rsidR="00000000" w:rsidRDefault="00000000">
            <w:pPr>
              <w:spacing w:after="0"/>
              <w:ind w:right="312"/>
              <w:jc w:val="right"/>
            </w:pPr>
            <w:r>
              <w:t>476</w:t>
            </w:r>
          </w:p>
        </w:tc>
      </w:tr>
      <w:tr w:rsidR="00000000">
        <w:trPr>
          <w:trHeight w:val="300"/>
        </w:trPr>
        <w:tc>
          <w:tcPr>
            <w:tcW w:w="851" w:type="dxa"/>
            <w:noWrap/>
          </w:tcPr>
          <w:p w:rsidR="00000000" w:rsidRDefault="00000000">
            <w:pPr>
              <w:spacing w:after="0"/>
              <w:ind w:left="113"/>
            </w:pPr>
          </w:p>
        </w:tc>
        <w:tc>
          <w:tcPr>
            <w:tcW w:w="3685" w:type="dxa"/>
            <w:noWrap/>
          </w:tcPr>
          <w:p w:rsidR="00000000" w:rsidRDefault="00000000">
            <w:pPr>
              <w:pStyle w:val="Header"/>
              <w:tabs>
                <w:tab w:val="clear" w:pos="4320"/>
                <w:tab w:val="clear" w:pos="8640"/>
                <w:tab w:val="left" w:pos="227"/>
              </w:tabs>
              <w:spacing w:after="0"/>
            </w:pPr>
            <w:r>
              <w:tab/>
              <w:t>With high-school education</w:t>
            </w:r>
          </w:p>
        </w:tc>
        <w:tc>
          <w:tcPr>
            <w:tcW w:w="1205" w:type="dxa"/>
            <w:noWrap/>
          </w:tcPr>
          <w:p w:rsidR="00000000" w:rsidRDefault="00000000">
            <w:pPr>
              <w:spacing w:after="0"/>
              <w:ind w:right="227"/>
              <w:jc w:val="right"/>
            </w:pPr>
            <w:r>
              <w:t>63</w:t>
            </w:r>
          </w:p>
        </w:tc>
        <w:tc>
          <w:tcPr>
            <w:tcW w:w="1205" w:type="dxa"/>
            <w:noWrap/>
          </w:tcPr>
          <w:p w:rsidR="00000000" w:rsidRDefault="00000000">
            <w:pPr>
              <w:spacing w:after="0"/>
              <w:ind w:right="198"/>
              <w:jc w:val="right"/>
            </w:pPr>
            <w:r>
              <w:t>32</w:t>
            </w:r>
          </w:p>
        </w:tc>
        <w:tc>
          <w:tcPr>
            <w:tcW w:w="1205" w:type="dxa"/>
            <w:noWrap/>
          </w:tcPr>
          <w:p w:rsidR="00000000" w:rsidRDefault="00000000">
            <w:pPr>
              <w:spacing w:after="0"/>
              <w:ind w:right="198"/>
              <w:jc w:val="right"/>
            </w:pPr>
            <w:r>
              <w:t>54</w:t>
            </w:r>
          </w:p>
        </w:tc>
        <w:tc>
          <w:tcPr>
            <w:tcW w:w="1205" w:type="dxa"/>
            <w:noWrap/>
          </w:tcPr>
          <w:p w:rsidR="00000000" w:rsidRDefault="00000000">
            <w:pPr>
              <w:spacing w:after="0"/>
              <w:ind w:right="312"/>
              <w:jc w:val="right"/>
            </w:pPr>
            <w:r>
              <w:t>26</w:t>
            </w:r>
          </w:p>
        </w:tc>
      </w:tr>
      <w:tr w:rsidR="00000000">
        <w:trPr>
          <w:trHeight w:val="300"/>
        </w:trPr>
        <w:tc>
          <w:tcPr>
            <w:tcW w:w="851" w:type="dxa"/>
            <w:noWrap/>
          </w:tcPr>
          <w:p w:rsidR="00000000" w:rsidRDefault="00000000">
            <w:pPr>
              <w:spacing w:after="0"/>
              <w:ind w:left="113"/>
            </w:pPr>
          </w:p>
        </w:tc>
        <w:tc>
          <w:tcPr>
            <w:tcW w:w="3685" w:type="dxa"/>
            <w:noWrap/>
          </w:tcPr>
          <w:p w:rsidR="00000000" w:rsidRDefault="00000000">
            <w:pPr>
              <w:pStyle w:val="Header"/>
              <w:tabs>
                <w:tab w:val="clear" w:pos="4320"/>
                <w:tab w:val="clear" w:pos="8640"/>
                <w:tab w:val="left" w:pos="227"/>
              </w:tabs>
              <w:spacing w:after="0"/>
            </w:pPr>
            <w:r>
              <w:tab/>
              <w:t>Graduated</w:t>
            </w:r>
          </w:p>
        </w:tc>
        <w:tc>
          <w:tcPr>
            <w:tcW w:w="1205" w:type="dxa"/>
            <w:noWrap/>
          </w:tcPr>
          <w:p w:rsidR="00000000" w:rsidRDefault="00000000">
            <w:pPr>
              <w:spacing w:after="0"/>
              <w:ind w:right="227"/>
              <w:jc w:val="right"/>
            </w:pPr>
            <w:r>
              <w:t>1 381</w:t>
            </w:r>
          </w:p>
        </w:tc>
        <w:tc>
          <w:tcPr>
            <w:tcW w:w="1205" w:type="dxa"/>
            <w:noWrap/>
          </w:tcPr>
          <w:p w:rsidR="00000000" w:rsidRDefault="00000000">
            <w:pPr>
              <w:spacing w:after="0"/>
              <w:ind w:right="198"/>
              <w:jc w:val="right"/>
            </w:pPr>
            <w:r>
              <w:t>551</w:t>
            </w:r>
          </w:p>
        </w:tc>
        <w:tc>
          <w:tcPr>
            <w:tcW w:w="1205" w:type="dxa"/>
            <w:noWrap/>
          </w:tcPr>
          <w:p w:rsidR="00000000" w:rsidRDefault="00000000">
            <w:pPr>
              <w:spacing w:after="0"/>
              <w:ind w:right="198"/>
              <w:jc w:val="right"/>
            </w:pPr>
            <w:r>
              <w:t>1 152</w:t>
            </w:r>
          </w:p>
        </w:tc>
        <w:tc>
          <w:tcPr>
            <w:tcW w:w="1205" w:type="dxa"/>
            <w:noWrap/>
          </w:tcPr>
          <w:p w:rsidR="00000000" w:rsidRDefault="00000000">
            <w:pPr>
              <w:spacing w:after="0"/>
              <w:ind w:right="312"/>
              <w:jc w:val="right"/>
            </w:pPr>
            <w:r>
              <w:t>450</w:t>
            </w:r>
          </w:p>
        </w:tc>
      </w:tr>
    </w:tbl>
    <w:p w:rsidR="00000000" w:rsidRDefault="00000000">
      <w:pPr>
        <w:pStyle w:val="Heading3"/>
        <w:spacing w:before="240"/>
      </w:pPr>
      <w:r>
        <w:t>Accessibility of higher education</w:t>
      </w:r>
    </w:p>
    <w:p w:rsidR="00000000" w:rsidRDefault="00000000">
      <w:pPr>
        <w:pStyle w:val="ParaNo"/>
        <w:rPr>
          <w:lang w:val="en-GB"/>
        </w:rPr>
      </w:pPr>
      <w:r>
        <w:rPr>
          <w:lang w:val="en-GB"/>
        </w:rPr>
        <w:t>Citizens of the Republic of Albania have a general access to higher education.</w:t>
      </w:r>
    </w:p>
    <w:p w:rsidR="00000000" w:rsidRDefault="00000000">
      <w:pPr>
        <w:pStyle w:val="ParaNo"/>
        <w:rPr>
          <w:lang w:val="en-GB"/>
        </w:rPr>
      </w:pPr>
      <w:r>
        <w:rPr>
          <w:lang w:val="en-GB"/>
        </w:rPr>
        <w:t>This right is guaranteed by Law No. 8461, of 25 February 1999, “On higher education in the Republic of Albania”.  This law entitles every Albanian and foreign citizen to study in higher public and non-public education in Albania (arts. 1, 31); to be graduated in more than one field of study (art. 42); to have his diplomas, certificates and grades issued by foreign high schools recognized and equivalent with Albanian ones (art. 43); to attend post-graduation education for specialization or scientific research (arts. 37-39).</w:t>
      </w:r>
    </w:p>
    <w:p w:rsidR="00000000" w:rsidRDefault="00000000">
      <w:pPr>
        <w:pStyle w:val="ParaNo"/>
        <w:rPr>
          <w:lang w:val="en-GB"/>
        </w:rPr>
      </w:pPr>
      <w:r>
        <w:rPr>
          <w:lang w:val="en-GB"/>
        </w:rPr>
        <w:t>Access to higher education has been increased year by year.  During the academic year 2002/03, 55 per cent of the pupils who finished secondary schools were enrolled in higher education.  This is the highest percentage of the last 10 years, and is comparable with that of developed countries.  During the academic year 2003/04, 11,887 students were enrolled in full</w:t>
      </w:r>
      <w:r>
        <w:rPr>
          <w:lang w:val="en-GB"/>
        </w:rPr>
        <w:noBreakHyphen/>
        <w:t>time higher education out of 17,353 pupils who finished their secondary education, as well as 5,605 students enrolled in part-time education.  Annual costs for a student are US$ 600 to 800.</w:t>
      </w:r>
    </w:p>
    <w:p w:rsidR="00000000" w:rsidRDefault="00000000">
      <w:pPr>
        <w:pStyle w:val="ParaNo"/>
        <w:rPr>
          <w:lang w:val="en-GB"/>
        </w:rPr>
      </w:pPr>
      <w:r>
        <w:rPr>
          <w:lang w:val="en-GB"/>
        </w:rPr>
        <w:t>Free higher education was introduced in Albania when the first higher public education institution was established, in 1946.  From that time until 1990 all of higher education has been public and free of charge.  From 1990 to the present, only 10 per cent of higher public education students have paid for their studies, while 90 per cent of them study free of charge.</w:t>
      </w:r>
    </w:p>
    <w:p w:rsidR="00000000" w:rsidRDefault="00000000">
      <w:pPr>
        <w:pStyle w:val="Heading3"/>
      </w:pPr>
      <w:r>
        <w:br w:type="page"/>
        <w:t>Difficulties that have affected the right to education</w:t>
      </w:r>
    </w:p>
    <w:p w:rsidR="00000000" w:rsidRDefault="00000000">
      <w:pPr>
        <w:pStyle w:val="ParaNo"/>
        <w:rPr>
          <w:lang w:val="en-GB"/>
        </w:rPr>
      </w:pPr>
      <w:r>
        <w:rPr>
          <w:lang w:val="en-GB"/>
        </w:rPr>
        <w:t>The main challenges faced so far in the achievement of the right to education for all are:</w:t>
      </w:r>
    </w:p>
    <w:p w:rsidR="00000000" w:rsidRDefault="00000000">
      <w:pPr>
        <w:numPr>
          <w:ilvl w:val="0"/>
          <w:numId w:val="238"/>
        </w:numPr>
      </w:pPr>
      <w:r>
        <w:t>Objective burdens that impede the learning process;</w:t>
      </w:r>
    </w:p>
    <w:p w:rsidR="00000000" w:rsidRDefault="00000000">
      <w:pPr>
        <w:numPr>
          <w:ilvl w:val="0"/>
          <w:numId w:val="238"/>
        </w:numPr>
      </w:pPr>
      <w:r>
        <w:t>Lack of appreciation for the importance of education expressed by a category of parents and students;</w:t>
      </w:r>
    </w:p>
    <w:p w:rsidR="00000000" w:rsidRDefault="00000000">
      <w:pPr>
        <w:numPr>
          <w:ilvl w:val="0"/>
          <w:numId w:val="238"/>
        </w:numPr>
      </w:pPr>
      <w:r>
        <w:t>Non-implementation of applicable legislation on compulsory education, etc.</w:t>
      </w:r>
    </w:p>
    <w:p w:rsidR="00000000" w:rsidRDefault="00000000">
      <w:pPr>
        <w:pStyle w:val="ParaNo"/>
        <w:rPr>
          <w:lang w:val="en-GB"/>
        </w:rPr>
      </w:pPr>
      <w:r>
        <w:rPr>
          <w:lang w:val="en-GB"/>
        </w:rPr>
        <w:t>In order to overcome these challenges, the Government has established a number of goals and targets, of which the principles are, first of all, creation of objective and accessible conditions for the enjoyment of the right to education for all.  The Ministry of Education and Science, education departments in the regions and their subordinate organs, in close cooperation with the organs of local governance, have undertaken a number of such measures including:</w:t>
      </w:r>
    </w:p>
    <w:p w:rsidR="00000000" w:rsidRDefault="00000000">
      <w:pPr>
        <w:numPr>
          <w:ilvl w:val="0"/>
          <w:numId w:val="238"/>
        </w:numPr>
      </w:pPr>
      <w:r>
        <w:t>Providing transport, with reduced costs for the teachers and students in the public school system.  This measure is particularly applied in the remote areas where the students live far from the school;</w:t>
      </w:r>
    </w:p>
    <w:p w:rsidR="00000000" w:rsidRDefault="00000000">
      <w:pPr>
        <w:numPr>
          <w:ilvl w:val="0"/>
          <w:numId w:val="238"/>
        </w:numPr>
      </w:pPr>
      <w:r>
        <w:t>Merger of some schools into one, based on the geographical area.  The internal migration of the rural population towards the urban areas has led to a situation where many schools were left with too few pupils to justify their existence.  As such, students from various schools have been gathered in one building based on geographical proximity, and there is also transportation provided.  This solution maintains the quality of the education provided (there is no need to merge classrooms with students of different levels), education materials are better used, etc.</w:t>
      </w:r>
    </w:p>
    <w:p w:rsidR="00000000" w:rsidRDefault="00000000">
      <w:pPr>
        <w:pStyle w:val="ParaNo"/>
        <w:rPr>
          <w:lang w:val="en-GB"/>
        </w:rPr>
      </w:pPr>
      <w:r>
        <w:rPr>
          <w:lang w:val="en-GB"/>
        </w:rPr>
        <w:t>State provision of scholarships helps increase the attendance rate in the education system.  Part of the student body, especially those from low-income families, which in normal circumstances would have dropped out of school, now, through these State scholarships, can receive an education.</w:t>
      </w:r>
    </w:p>
    <w:p w:rsidR="00000000" w:rsidRDefault="00000000">
      <w:pPr>
        <w:pStyle w:val="Heading2"/>
      </w:pPr>
      <w:r>
        <w:t>Table 57</w:t>
      </w:r>
    </w:p>
    <w:p w:rsidR="00000000" w:rsidRDefault="00000000">
      <w:pPr>
        <w:pStyle w:val="Heading2"/>
      </w:pPr>
      <w:r>
        <w:t>Scholarships in the last 10 years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2693"/>
        <w:gridCol w:w="2339"/>
        <w:gridCol w:w="2339"/>
      </w:tblGrid>
      <w:tr w:rsidR="00000000">
        <w:tblPrEx>
          <w:tblCellMar>
            <w:top w:w="0" w:type="dxa"/>
          </w:tblCellMar>
        </w:tblPrEx>
        <w:trPr>
          <w:cantSplit/>
        </w:trPr>
        <w:tc>
          <w:tcPr>
            <w:tcW w:w="2693" w:type="dxa"/>
            <w:tcBorders>
              <w:bottom w:val="nil"/>
            </w:tcBorders>
          </w:tcPr>
          <w:p w:rsidR="00000000" w:rsidRDefault="00000000">
            <w:pPr>
              <w:spacing w:after="0"/>
              <w:jc w:val="center"/>
            </w:pPr>
            <w:r>
              <w:t>Institutions</w:t>
            </w:r>
          </w:p>
        </w:tc>
        <w:tc>
          <w:tcPr>
            <w:tcW w:w="4678" w:type="dxa"/>
            <w:gridSpan w:val="2"/>
          </w:tcPr>
          <w:p w:rsidR="00000000" w:rsidRDefault="00000000">
            <w:pPr>
              <w:spacing w:after="0"/>
              <w:jc w:val="center"/>
            </w:pPr>
            <w:r>
              <w:t>Number of scholarships</w:t>
            </w:r>
          </w:p>
        </w:tc>
      </w:tr>
      <w:tr w:rsidR="00000000">
        <w:tblPrEx>
          <w:tblCellMar>
            <w:top w:w="0" w:type="dxa"/>
          </w:tblCellMar>
        </w:tblPrEx>
        <w:tc>
          <w:tcPr>
            <w:tcW w:w="2693" w:type="dxa"/>
            <w:tcBorders>
              <w:top w:val="nil"/>
            </w:tcBorders>
          </w:tcPr>
          <w:p w:rsidR="00000000" w:rsidRDefault="00000000">
            <w:pPr>
              <w:spacing w:after="0"/>
              <w:jc w:val="center"/>
            </w:pPr>
          </w:p>
        </w:tc>
        <w:tc>
          <w:tcPr>
            <w:tcW w:w="2339" w:type="dxa"/>
          </w:tcPr>
          <w:p w:rsidR="00000000" w:rsidRDefault="00000000">
            <w:pPr>
              <w:spacing w:after="0"/>
              <w:jc w:val="center"/>
            </w:pPr>
            <w:r>
              <w:t>1990</w:t>
            </w:r>
          </w:p>
        </w:tc>
        <w:tc>
          <w:tcPr>
            <w:tcW w:w="2339" w:type="dxa"/>
          </w:tcPr>
          <w:p w:rsidR="00000000" w:rsidRDefault="00000000">
            <w:pPr>
              <w:spacing w:after="0"/>
              <w:jc w:val="center"/>
            </w:pPr>
            <w:r>
              <w:t>2001</w:t>
            </w:r>
          </w:p>
        </w:tc>
      </w:tr>
      <w:tr w:rsidR="00000000">
        <w:tblPrEx>
          <w:tblCellMar>
            <w:top w:w="0" w:type="dxa"/>
          </w:tblCellMar>
        </w:tblPrEx>
        <w:tc>
          <w:tcPr>
            <w:tcW w:w="2693" w:type="dxa"/>
            <w:tcBorders>
              <w:bottom w:val="nil"/>
            </w:tcBorders>
          </w:tcPr>
          <w:p w:rsidR="00000000" w:rsidRDefault="00000000">
            <w:pPr>
              <w:spacing w:after="0"/>
            </w:pPr>
            <w:r>
              <w:t>8-year education schools</w:t>
            </w:r>
          </w:p>
        </w:tc>
        <w:tc>
          <w:tcPr>
            <w:tcW w:w="2339" w:type="dxa"/>
            <w:tcBorders>
              <w:bottom w:val="nil"/>
            </w:tcBorders>
          </w:tcPr>
          <w:p w:rsidR="00000000" w:rsidRDefault="00000000">
            <w:pPr>
              <w:spacing w:after="0"/>
              <w:jc w:val="center"/>
            </w:pPr>
            <w:r>
              <w:t>-</w:t>
            </w:r>
          </w:p>
        </w:tc>
        <w:tc>
          <w:tcPr>
            <w:tcW w:w="2339" w:type="dxa"/>
            <w:tcBorders>
              <w:bottom w:val="nil"/>
            </w:tcBorders>
          </w:tcPr>
          <w:p w:rsidR="00000000" w:rsidRDefault="00000000">
            <w:pPr>
              <w:spacing w:after="0"/>
              <w:ind w:right="794"/>
              <w:jc w:val="right"/>
            </w:pPr>
            <w:r>
              <w:t>-</w:t>
            </w:r>
          </w:p>
        </w:tc>
      </w:tr>
      <w:tr w:rsidR="00000000">
        <w:tblPrEx>
          <w:tblCellMar>
            <w:top w:w="0" w:type="dxa"/>
          </w:tblCellMar>
        </w:tblPrEx>
        <w:tc>
          <w:tcPr>
            <w:tcW w:w="2693" w:type="dxa"/>
            <w:tcBorders>
              <w:top w:val="nil"/>
            </w:tcBorders>
          </w:tcPr>
          <w:p w:rsidR="00000000" w:rsidRDefault="00000000">
            <w:pPr>
              <w:spacing w:after="0"/>
            </w:pPr>
            <w:r>
              <w:t>High schools</w:t>
            </w:r>
          </w:p>
        </w:tc>
        <w:tc>
          <w:tcPr>
            <w:tcW w:w="2339" w:type="dxa"/>
            <w:tcBorders>
              <w:top w:val="nil"/>
            </w:tcBorders>
          </w:tcPr>
          <w:p w:rsidR="00000000" w:rsidRDefault="00000000">
            <w:pPr>
              <w:spacing w:after="0"/>
              <w:jc w:val="center"/>
            </w:pPr>
            <w:r>
              <w:t>450</w:t>
            </w:r>
          </w:p>
        </w:tc>
        <w:tc>
          <w:tcPr>
            <w:tcW w:w="2339" w:type="dxa"/>
            <w:tcBorders>
              <w:top w:val="nil"/>
            </w:tcBorders>
          </w:tcPr>
          <w:p w:rsidR="00000000" w:rsidRDefault="00000000">
            <w:pPr>
              <w:spacing w:after="0"/>
              <w:ind w:right="794"/>
              <w:jc w:val="right"/>
            </w:pPr>
            <w:r>
              <w:t>2 500</w:t>
            </w:r>
          </w:p>
        </w:tc>
      </w:tr>
    </w:tbl>
    <w:p w:rsidR="00000000" w:rsidRDefault="00000000">
      <w:pPr>
        <w:pStyle w:val="Heading4"/>
        <w:spacing w:before="240"/>
      </w:pPr>
    </w:p>
    <w:p w:rsidR="00000000" w:rsidRDefault="00000000">
      <w:pPr>
        <w:pStyle w:val="Heading4"/>
      </w:pPr>
      <w:r>
        <w:br w:type="page"/>
        <w:t>Special programmes and providing of teachers for disabled children and children who are victims of blood feuds</w:t>
      </w:r>
    </w:p>
    <w:p w:rsidR="00000000" w:rsidRDefault="00000000">
      <w:pPr>
        <w:pStyle w:val="ParaNo"/>
        <w:rPr>
          <w:lang w:val="en-GB"/>
        </w:rPr>
      </w:pPr>
      <w:r>
        <w:rPr>
          <w:lang w:val="en-GB"/>
        </w:rPr>
        <w:t>These particular measures are provided in the Ministry of Education and Science decision of 31 July 1996, “Provision on public schools”, specifically by article 11, which stipulates:  “The student eligible for mandatory education, in some special occasions such as grave accidents or illnesses, shall receive home education through a special programme and special teachers appointed by the Regional Education Department.”  This solution is offered also for students who are victims of blood feuds, especially in the North of the country.</w:t>
      </w:r>
    </w:p>
    <w:p w:rsidR="00000000" w:rsidRDefault="00000000">
      <w:pPr>
        <w:pStyle w:val="ParaNo"/>
        <w:rPr>
          <w:lang w:val="en-GB"/>
        </w:rPr>
      </w:pPr>
      <w:r>
        <w:rPr>
          <w:lang w:val="en-GB"/>
        </w:rPr>
        <w:t>Growth of private schools and kindergartens is another factor that has contributed to the increase of the school attendance rate.  The Ministry of Education and Science has issued an increased number of licences to entities that fulfil all the requirements and want to offer education.</w:t>
      </w:r>
    </w:p>
    <w:p w:rsidR="00000000" w:rsidRDefault="00000000">
      <w:pPr>
        <w:pStyle w:val="ParaNo"/>
        <w:rPr>
          <w:lang w:val="en-GB"/>
        </w:rPr>
      </w:pPr>
      <w:r>
        <w:rPr>
          <w:lang w:val="en-GB"/>
        </w:rPr>
        <w:t>Secondly, measures have been undertaken to raise the awareness of children (students) as well as parents.  These measures aim at making children and parents alike aware of the important role that education and school have for the development of each individual and of society as a whole.  They aim at making sure that children and parents alike realize the importance of following and completing the education cycle, especially the compulsory one.  These goals are achieved through the pedagogical work of the teachers with the students and their parents, through the work of the elected parents’ council at every school, as well as through close cooperation with the community and civil society.  Most of these measures are focused on dropouts and their parents, with the main goal being their return to the school.</w:t>
      </w:r>
    </w:p>
    <w:p w:rsidR="00000000" w:rsidRDefault="00000000">
      <w:pPr>
        <w:pStyle w:val="ParaNo"/>
        <w:rPr>
          <w:lang w:val="en-GB"/>
        </w:rPr>
      </w:pPr>
      <w:r>
        <w:rPr>
          <w:lang w:val="en-GB"/>
        </w:rPr>
        <w:t>Thirdly, there is the application of sanctions to parents whose children drop out of school (the compulsory cycle).  These sanctions are applied based on Law No. 7952, dated 21 June 1995, “On the pre-university education cycle”.  Article 59 of this law provides for administrative fines from 5,000 to 50,000 leks, for parents whose children miss without justification or drop out of school, while they are eligible for the compulsory system.  The law provides sanctions for the employment of children eligible for the compulsory education cycle; such employment is the main reason for dropping out of school.  In particular, article 60 of the law sanctions, with fines from 100,000 to 200,000 leks, State or private sector employers who employ children eligible for the compulsory education cycle.</w:t>
      </w:r>
    </w:p>
    <w:p w:rsidR="00000000" w:rsidRDefault="00000000">
      <w:pPr>
        <w:pStyle w:val="Heading3"/>
      </w:pPr>
      <w:r>
        <w:t>Enrolment and dropout statistics</w:t>
      </w:r>
    </w:p>
    <w:p w:rsidR="00000000" w:rsidRDefault="00000000">
      <w:pPr>
        <w:pStyle w:val="ParaNo"/>
        <w:rPr>
          <w:lang w:val="en-GB"/>
        </w:rPr>
      </w:pPr>
      <w:r>
        <w:rPr>
          <w:lang w:val="en-GB"/>
        </w:rPr>
        <w:t>Standards of education and participation in basic education have been increased progressively.  During the school year 2000/01 2,002 pre-school institutions (kindergartens and infant schools) were operating, with 80,443 infants and 3,749 pre-school educators; 80,337 infants attended these institutions during the school year 1999/2000, so 5,000 more children enrolled in pre-school education during the more recent school year, 2000/01.</w:t>
      </w:r>
    </w:p>
    <w:p w:rsidR="00000000" w:rsidRDefault="00000000">
      <w:pPr>
        <w:pStyle w:val="ParaNo"/>
        <w:rPr>
          <w:lang w:val="en-GB"/>
        </w:rPr>
      </w:pPr>
      <w:r>
        <w:rPr>
          <w:lang w:val="en-GB"/>
        </w:rPr>
        <w:t>In compulsory primary eight-year education, during the school year 2000/01, 1.820 schools and 1,395 subsidiary schools functioned, with 535,238 pupils of whom 259,931 were female, and 28,321 teachers.  The percentage of pupils who dropped out the compulsory primary eight-year school has decreased:  from 3.01 per cent (16,730 pupils) in 1998/99, to 2.6 per cent (14,163 pupils) in the school year 1998/99.</w:t>
      </w:r>
    </w:p>
    <w:p w:rsidR="00000000" w:rsidRDefault="00000000">
      <w:pPr>
        <w:pStyle w:val="ParaNo"/>
        <w:rPr>
          <w:lang w:val="en-GB"/>
        </w:rPr>
      </w:pPr>
      <w:r>
        <w:rPr>
          <w:lang w:val="en-GB"/>
        </w:rPr>
        <w:t>In secondary education, during the school year 1999/2000, 388 middle schools functioned (of which 43 were technical-professional schools), wherein 102,971 pupils studied.  Compared to the year 1998, the number was increased by 4,250 pupils.</w:t>
      </w:r>
    </w:p>
    <w:p w:rsidR="00000000" w:rsidRDefault="00000000">
      <w:pPr>
        <w:pStyle w:val="ParaNo"/>
        <w:rPr>
          <w:lang w:val="en-GB"/>
        </w:rPr>
      </w:pPr>
      <w:r>
        <w:rPr>
          <w:lang w:val="en-GB"/>
        </w:rPr>
        <w:t>During the school year 2000/01, there were 373 secondary schools (of which 43 were technical-professional), with 107,435 pupils.  The number was increased by 4,500 pupils comparing to the previous school year, 1999/2000.</w:t>
      </w:r>
    </w:p>
    <w:p w:rsidR="00000000" w:rsidRDefault="00000000">
      <w:pPr>
        <w:pStyle w:val="ParaNo"/>
        <w:rPr>
          <w:lang w:val="en-GB"/>
        </w:rPr>
      </w:pPr>
      <w:r>
        <w:rPr>
          <w:lang w:val="en-GB"/>
        </w:rPr>
        <w:t>During the school year 2000/01, approximately 63 per cent of the pupils who had graduated from primary school were enrolled in secondary schools, which are 2 per cent more than the previous school year, 1999/2000.</w:t>
      </w:r>
    </w:p>
    <w:p w:rsidR="00000000" w:rsidRDefault="00000000">
      <w:pPr>
        <w:pStyle w:val="Heading3"/>
      </w:pPr>
      <w:r>
        <w:t>Prohibition of discrimination in education</w:t>
      </w:r>
    </w:p>
    <w:p w:rsidR="00000000" w:rsidRDefault="00000000">
      <w:pPr>
        <w:pStyle w:val="ParaNo"/>
        <w:rPr>
          <w:lang w:val="en-GB"/>
        </w:rPr>
      </w:pPr>
      <w:r>
        <w:rPr>
          <w:lang w:val="en-GB"/>
        </w:rPr>
        <w:t>Albanian citizens have equal access to the Albanian education system, regardless of region, social or economic categories, social status, nationality, language, sex, religion, race, political ideas, state of health, etc.</w:t>
      </w:r>
    </w:p>
    <w:p w:rsidR="00000000" w:rsidRDefault="00000000">
      <w:pPr>
        <w:pStyle w:val="ParaNo"/>
        <w:rPr>
          <w:lang w:val="en-GB"/>
        </w:rPr>
      </w:pPr>
      <w:r>
        <w:rPr>
          <w:lang w:val="en-GB"/>
        </w:rPr>
        <w:t>The Ministry of Education and Science and its subordinate bodies are constantly taking measures to involve as many pupils as possible in all school categories, without differentiation or discrimination towards different areas or social categories.</w:t>
      </w:r>
    </w:p>
    <w:p w:rsidR="00000000" w:rsidRDefault="00000000">
      <w:pPr>
        <w:pStyle w:val="ParaNo"/>
        <w:tabs>
          <w:tab w:val="clear" w:pos="737"/>
        </w:tabs>
        <w:rPr>
          <w:lang w:val="en-GB"/>
        </w:rPr>
      </w:pPr>
      <w:r>
        <w:rPr>
          <w:lang w:val="en-GB"/>
        </w:rPr>
        <w:t>The Ministry of Education and Science has made sustained efforts to bring street urchins to school who had dropped out.  Thus, in year 2001, the number in such a category decreased to 1.8 per cent from 2.5 per cent in the previous year.  Meanwhile, special home learning curricula have been prepared for children who are shut in their homes because of blood feuds, particularly in northern districts of Albania.</w:t>
      </w:r>
    </w:p>
    <w:p w:rsidR="00000000" w:rsidRDefault="00000000">
      <w:pPr>
        <w:pStyle w:val="ParaNo"/>
        <w:tabs>
          <w:tab w:val="clear" w:pos="737"/>
        </w:tabs>
        <w:rPr>
          <w:lang w:val="en-GB"/>
        </w:rPr>
      </w:pPr>
      <w:r>
        <w:rPr>
          <w:lang w:val="en-GB"/>
        </w:rPr>
        <w:t>An interesting indicator of equal access to education and respect for the right to education is the ratio between males and females in pre</w:t>
      </w:r>
      <w:r>
        <w:rPr>
          <w:lang w:val="en-GB"/>
        </w:rPr>
        <w:noBreakHyphen/>
        <w:t>university education.</w:t>
      </w:r>
    </w:p>
    <w:p w:rsidR="00000000" w:rsidRDefault="00000000">
      <w:pPr>
        <w:pStyle w:val="ParaNo"/>
        <w:tabs>
          <w:tab w:val="clear" w:pos="737"/>
        </w:tabs>
        <w:rPr>
          <w:lang w:val="en-GB"/>
        </w:rPr>
      </w:pPr>
      <w:r>
        <w:rPr>
          <w:lang w:val="en-GB"/>
        </w:rPr>
        <w:t>Concretely, out of 725,046 pre</w:t>
      </w:r>
      <w:r>
        <w:rPr>
          <w:lang w:val="en-GB"/>
        </w:rPr>
        <w:noBreakHyphen/>
        <w:t>university students, 345,384 are female, or 48 per cent.  Meanwhile, the percentage of female teachers is greater.  Thus, out of 36,939 teachers in the pre</w:t>
      </w:r>
      <w:r>
        <w:rPr>
          <w:lang w:val="en-GB"/>
        </w:rPr>
        <w:noBreakHyphen/>
        <w:t>university education system, 23,333 were female, or 63 per cent.</w:t>
      </w:r>
    </w:p>
    <w:p w:rsidR="00000000" w:rsidRDefault="00000000">
      <w:pPr>
        <w:pStyle w:val="ParaNo"/>
        <w:tabs>
          <w:tab w:val="clear" w:pos="737"/>
        </w:tabs>
        <w:rPr>
          <w:lang w:val="en-GB"/>
        </w:rPr>
      </w:pPr>
      <w:r>
        <w:rPr>
          <w:lang w:val="en-GB"/>
        </w:rPr>
        <w:t>Admission of students in universities has been with respect for the principle of equal access, on the basis of their capabilities as shown through a test, increasing every year the number of admissions by more than 1,000 students.</w:t>
      </w:r>
    </w:p>
    <w:p w:rsidR="00000000" w:rsidRDefault="00000000">
      <w:pPr>
        <w:pStyle w:val="ParaNo"/>
        <w:tabs>
          <w:tab w:val="clear" w:pos="737"/>
        </w:tabs>
        <w:rPr>
          <w:lang w:val="en-GB"/>
        </w:rPr>
      </w:pPr>
      <w:r>
        <w:rPr>
          <w:lang w:val="en-GB"/>
        </w:rPr>
        <w:t>Training of teachers supports their rights, avoiding discrimination for any reason, and increasing every year the number of academic staff having scientific degrees and titles.</w:t>
      </w:r>
    </w:p>
    <w:p w:rsidR="00000000" w:rsidRDefault="00000000">
      <w:pPr>
        <w:pStyle w:val="ParaNo"/>
        <w:tabs>
          <w:tab w:val="clear" w:pos="737"/>
        </w:tabs>
        <w:rPr>
          <w:lang w:val="en-GB"/>
        </w:rPr>
      </w:pPr>
      <w:r>
        <w:rPr>
          <w:lang w:val="en-GB"/>
        </w:rPr>
        <w:t>During 2001, the effective pedagogical staff of the university education system numbered 1,716 professors, out of whom 689 were female.  About 50 per cent of this pedagogical staff (approximately 830 persons) have been qualified by obtaining scientific degrees and titles.</w:t>
      </w:r>
    </w:p>
    <w:p w:rsidR="00000000" w:rsidRDefault="00000000">
      <w:pPr>
        <w:pStyle w:val="ParaNo"/>
        <w:tabs>
          <w:tab w:val="clear" w:pos="737"/>
        </w:tabs>
        <w:rPr>
          <w:lang w:val="en-GB"/>
        </w:rPr>
      </w:pPr>
      <w:r>
        <w:rPr>
          <w:lang w:val="en-GB"/>
        </w:rPr>
        <w:t>Another significant example is the treatment of minorities, guaranteeing their rights to education in their native language.  This attention is reflected in legislation as well as in Albanian education practice.</w:t>
      </w:r>
    </w:p>
    <w:p w:rsidR="00000000" w:rsidRDefault="00000000">
      <w:pPr>
        <w:pStyle w:val="ParaNo"/>
        <w:tabs>
          <w:tab w:val="clear" w:pos="737"/>
        </w:tabs>
        <w:rPr>
          <w:lang w:val="en-GB"/>
        </w:rPr>
      </w:pPr>
      <w:r>
        <w:rPr>
          <w:lang w:val="en-GB"/>
        </w:rPr>
        <w:t>Article 20, paragraphs 1 and 2, of the Constitution of the Republic of Albania provides that “Persons belonging to minorities exercise their rights and freedoms in full as equal to the law ... They have the right to maintain and develop them, to learn and to be taught in their native languages”.</w:t>
      </w:r>
    </w:p>
    <w:p w:rsidR="00000000" w:rsidRDefault="00000000">
      <w:pPr>
        <w:pStyle w:val="ParaNo"/>
        <w:tabs>
          <w:tab w:val="clear" w:pos="737"/>
        </w:tabs>
        <w:rPr>
          <w:lang w:val="en-GB"/>
        </w:rPr>
      </w:pPr>
      <w:r>
        <w:rPr>
          <w:lang w:val="en-GB"/>
        </w:rPr>
        <w:t>Article 10, paragraph 1, of Law No. 7952, date 21 June 1995, “On the pre</w:t>
      </w:r>
      <w:r>
        <w:rPr>
          <w:lang w:val="en-GB"/>
        </w:rPr>
        <w:noBreakHyphen/>
        <w:t>university education system” stipulates:  “Persons belonging to minorities are being provided possibilities to learn and to be taught in native languages and to study their history and culture within the frame of educational programme and curricula”.</w:t>
      </w:r>
    </w:p>
    <w:p w:rsidR="00000000" w:rsidRDefault="00000000">
      <w:pPr>
        <w:pStyle w:val="ParaNo"/>
        <w:tabs>
          <w:tab w:val="clear" w:pos="737"/>
        </w:tabs>
        <w:rPr>
          <w:lang w:val="en-GB"/>
        </w:rPr>
      </w:pPr>
      <w:r>
        <w:rPr>
          <w:lang w:val="en-GB"/>
        </w:rPr>
        <w:t>Education of minorities comprises three schooling levels, equal to those for Albanians in general:  pre</w:t>
      </w:r>
      <w:r>
        <w:rPr>
          <w:lang w:val="en-GB"/>
        </w:rPr>
        <w:noBreakHyphen/>
        <w:t>school education, primary eight</w:t>
      </w:r>
      <w:r>
        <w:rPr>
          <w:lang w:val="en-GB"/>
        </w:rPr>
        <w:noBreakHyphen/>
        <w:t>year school, and the secondary general school.</w:t>
      </w:r>
    </w:p>
    <w:p w:rsidR="00000000" w:rsidRDefault="00000000">
      <w:pPr>
        <w:pStyle w:val="ParaNo"/>
        <w:tabs>
          <w:tab w:val="clear" w:pos="737"/>
        </w:tabs>
        <w:rPr>
          <w:lang w:val="en-GB"/>
        </w:rPr>
      </w:pPr>
      <w:r>
        <w:rPr>
          <w:lang w:val="en-GB"/>
        </w:rPr>
        <w:t>Regarding the Greek minority, in Gjirokastra district there are 18 primary eight</w:t>
      </w:r>
      <w:r>
        <w:rPr>
          <w:lang w:val="en-GB"/>
        </w:rPr>
        <w:noBreakHyphen/>
        <w:t>year schools and 14 subsidiary schools of elementary cycle (classes I to IV) and 2 secondary general schools.  In Saranda district, there are 17 primary eight</w:t>
      </w:r>
      <w:r>
        <w:rPr>
          <w:lang w:val="en-GB"/>
        </w:rPr>
        <w:noBreakHyphen/>
        <w:t>year schools and 4 subsidiary schools.  In Delvina district, there are 7 primary eight</w:t>
      </w:r>
      <w:r>
        <w:rPr>
          <w:lang w:val="en-GB"/>
        </w:rPr>
        <w:noBreakHyphen/>
        <w:t>year schools and 7 subsidiary schools.  In Permeti district, there are only 2 subsidiary schools of elementary education (classes I</w:t>
      </w:r>
      <w:r>
        <w:rPr>
          <w:lang w:val="en-GB"/>
        </w:rPr>
        <w:noBreakHyphen/>
        <w:t>IV).</w:t>
      </w:r>
    </w:p>
    <w:p w:rsidR="00000000" w:rsidRDefault="00000000">
      <w:pPr>
        <w:pStyle w:val="ParaNo"/>
        <w:tabs>
          <w:tab w:val="clear" w:pos="737"/>
        </w:tabs>
        <w:rPr>
          <w:lang w:val="en-GB"/>
        </w:rPr>
      </w:pPr>
      <w:r>
        <w:rPr>
          <w:lang w:val="en-GB"/>
        </w:rPr>
        <w:t>For the Macedonian minority, in Korça district there are two primary eight</w:t>
      </w:r>
      <w:r>
        <w:rPr>
          <w:lang w:val="en-GB"/>
        </w:rPr>
        <w:noBreakHyphen/>
        <w:t>year schools and seven subsidiary schools and, in Devolli district, only one subsidiary school of elementary education.</w:t>
      </w:r>
    </w:p>
    <w:p w:rsidR="00000000" w:rsidRDefault="00000000">
      <w:pPr>
        <w:pStyle w:val="ParaNo"/>
        <w:tabs>
          <w:tab w:val="clear" w:pos="737"/>
        </w:tabs>
        <w:rPr>
          <w:lang w:val="en-GB"/>
        </w:rPr>
      </w:pPr>
      <w:r>
        <w:rPr>
          <w:lang w:val="en-GB"/>
        </w:rPr>
        <w:t>These schools function in communes traditionally inhabited by minorities.  Meanwhile, under the auspices of the Albanian State and, based on the above</w:t>
      </w:r>
      <w:r>
        <w:rPr>
          <w:lang w:val="en-GB"/>
        </w:rPr>
        <w:noBreakHyphen/>
        <w:t>mentioned legislation, classes for minority children, near the primary eight</w:t>
      </w:r>
      <w:r>
        <w:rPr>
          <w:lang w:val="en-GB"/>
        </w:rPr>
        <w:noBreakHyphen/>
        <w:t>year schools with Albanian pupils, have been established since September 1996 in the cities of Gjirokastra, Saranda and Delvina.  Greek minority inhabitants enjoy the right to be schooled in their native language.  In such classes, the learning is similar to the other schools of minorities.</w:t>
      </w:r>
    </w:p>
    <w:p w:rsidR="00000000" w:rsidRDefault="00000000">
      <w:pPr>
        <w:pStyle w:val="ParaNo"/>
        <w:tabs>
          <w:tab w:val="clear" w:pos="737"/>
        </w:tabs>
        <w:rPr>
          <w:lang w:val="en-GB"/>
        </w:rPr>
      </w:pPr>
      <w:r>
        <w:rPr>
          <w:lang w:val="en-GB"/>
        </w:rPr>
        <w:t>At the Pedagogical Secondary School in Gjirokastra, the branch “Teaching for Minorities” was established which is unique in our country; this graduates teachers for the Greek minority.  Furthermore, in “Eqerem Çabej” University in Gjirokastra, there is a branch for Greek</w:t>
      </w:r>
      <w:r>
        <w:rPr>
          <w:lang w:val="en-GB"/>
        </w:rPr>
        <w:noBreakHyphen/>
        <w:t>language studies.  In 1995, the branch for Greek</w:t>
      </w:r>
      <w:r>
        <w:rPr>
          <w:lang w:val="en-GB"/>
        </w:rPr>
        <w:noBreakHyphen/>
        <w:t>language studies in the University of Tirana, Faculty of Foreign Languages, was established.</w:t>
      </w:r>
    </w:p>
    <w:p w:rsidR="00000000" w:rsidRDefault="00000000">
      <w:pPr>
        <w:pStyle w:val="ParaNo"/>
        <w:tabs>
          <w:tab w:val="clear" w:pos="737"/>
        </w:tabs>
        <w:rPr>
          <w:lang w:val="en-GB"/>
        </w:rPr>
      </w:pPr>
      <w:r>
        <w:rPr>
          <w:lang w:val="en-GB"/>
        </w:rPr>
        <w:t>Many children of minorities in Albania enjoy, without any discrimination, all the rights to pursue their studies in secondary schools and universities in all areas, as well as postgraduate studies.</w:t>
      </w:r>
    </w:p>
    <w:p w:rsidR="00000000" w:rsidRDefault="00000000">
      <w:pPr>
        <w:pStyle w:val="ParaNo"/>
        <w:tabs>
          <w:tab w:val="clear" w:pos="737"/>
        </w:tabs>
        <w:rPr>
          <w:lang w:val="en-GB"/>
        </w:rPr>
      </w:pPr>
      <w:r>
        <w:rPr>
          <w:lang w:val="en-GB"/>
        </w:rPr>
        <w:br w:type="page"/>
        <w:t>During the school year 2000/01, in primary eight</w:t>
      </w:r>
      <w:r>
        <w:rPr>
          <w:lang w:val="en-GB"/>
        </w:rPr>
        <w:noBreakHyphen/>
        <w:t>year schools for these minorities, 1,845 pupils were studying, which made up 0.37 per cent of the total number of students in eight</w:t>
      </w:r>
      <w:r>
        <w:rPr>
          <w:lang w:val="en-GB"/>
        </w:rPr>
        <w:noBreakHyphen/>
        <w:t>year education, and 297 teachers taught, of whom 267 belonged to minorities.  Furthermore, in areas where the Greek and Macedonian minorities live, 35 kindergartens are functioning, with 628 children and 43 minority educators.</w:t>
      </w:r>
    </w:p>
    <w:p w:rsidR="00000000" w:rsidRDefault="00000000">
      <w:pPr>
        <w:pStyle w:val="ParaNo"/>
        <w:tabs>
          <w:tab w:val="clear" w:pos="737"/>
        </w:tabs>
        <w:rPr>
          <w:lang w:val="en-GB"/>
        </w:rPr>
      </w:pPr>
      <w:r>
        <w:rPr>
          <w:lang w:val="en-GB"/>
        </w:rPr>
        <w:t>Details about the numbers of schools, students and teachers in the minority areas are shown in the tables below:</w:t>
      </w:r>
    </w:p>
    <w:p w:rsidR="00000000" w:rsidRDefault="00000000">
      <w:pPr>
        <w:pStyle w:val="Heading2"/>
      </w:pPr>
      <w:r>
        <w:t>Table 58</w:t>
      </w:r>
    </w:p>
    <w:p w:rsidR="00000000" w:rsidRDefault="00000000">
      <w:pPr>
        <w:pStyle w:val="Heading2"/>
      </w:pPr>
      <w:r>
        <w:t>Compulsory primary education of the Greek minority in Albania</w:t>
      </w:r>
    </w:p>
    <w:tbl>
      <w:tblPr>
        <w:tblW w:w="9368" w:type="dxa"/>
        <w:jc w:val="cente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0"/>
        <w:gridCol w:w="1200"/>
        <w:gridCol w:w="1200"/>
        <w:gridCol w:w="970"/>
        <w:gridCol w:w="1134"/>
        <w:gridCol w:w="1276"/>
        <w:gridCol w:w="1134"/>
        <w:gridCol w:w="1134"/>
      </w:tblGrid>
      <w:tr w:rsidR="00000000">
        <w:tblPrEx>
          <w:tblCellMar>
            <w:top w:w="0" w:type="dxa"/>
            <w:bottom w:w="0" w:type="dxa"/>
          </w:tblCellMar>
        </w:tblPrEx>
        <w:trPr>
          <w:jc w:val="center"/>
        </w:trPr>
        <w:tc>
          <w:tcPr>
            <w:tcW w:w="1320" w:type="dxa"/>
            <w:tcBorders>
              <w:bottom w:val="single" w:sz="4" w:space="0" w:color="auto"/>
            </w:tcBorders>
          </w:tcPr>
          <w:p w:rsidR="00000000" w:rsidRDefault="00000000">
            <w:pPr>
              <w:spacing w:after="0"/>
              <w:rPr>
                <w:sz w:val="22"/>
              </w:rPr>
            </w:pPr>
            <w:r>
              <w:rPr>
                <w:sz w:val="22"/>
              </w:rPr>
              <w:t>District</w:t>
            </w:r>
          </w:p>
        </w:tc>
        <w:tc>
          <w:tcPr>
            <w:tcW w:w="1200" w:type="dxa"/>
            <w:tcBorders>
              <w:bottom w:val="single" w:sz="4" w:space="0" w:color="auto"/>
            </w:tcBorders>
          </w:tcPr>
          <w:p w:rsidR="00000000" w:rsidRDefault="00000000">
            <w:pPr>
              <w:spacing w:after="0"/>
              <w:jc w:val="center"/>
              <w:rPr>
                <w:sz w:val="22"/>
              </w:rPr>
            </w:pPr>
            <w:r>
              <w:rPr>
                <w:sz w:val="22"/>
              </w:rPr>
              <w:t>Eight</w:t>
            </w:r>
            <w:r>
              <w:rPr>
                <w:sz w:val="22"/>
              </w:rPr>
              <w:noBreakHyphen/>
              <w:t>year schools</w:t>
            </w:r>
          </w:p>
        </w:tc>
        <w:tc>
          <w:tcPr>
            <w:tcW w:w="1200" w:type="dxa"/>
            <w:tcBorders>
              <w:bottom w:val="single" w:sz="4" w:space="0" w:color="auto"/>
            </w:tcBorders>
          </w:tcPr>
          <w:p w:rsidR="00000000" w:rsidRDefault="00000000">
            <w:pPr>
              <w:spacing w:after="0"/>
              <w:ind w:left="-108"/>
              <w:jc w:val="center"/>
              <w:rPr>
                <w:sz w:val="22"/>
              </w:rPr>
            </w:pPr>
            <w:r>
              <w:rPr>
                <w:sz w:val="22"/>
              </w:rPr>
              <w:t>Elementary schools</w:t>
            </w:r>
          </w:p>
        </w:tc>
        <w:tc>
          <w:tcPr>
            <w:tcW w:w="970" w:type="dxa"/>
            <w:tcBorders>
              <w:bottom w:val="single" w:sz="4" w:space="0" w:color="auto"/>
            </w:tcBorders>
          </w:tcPr>
          <w:p w:rsidR="00000000" w:rsidRDefault="00000000">
            <w:pPr>
              <w:spacing w:after="0"/>
              <w:jc w:val="center"/>
              <w:rPr>
                <w:sz w:val="22"/>
              </w:rPr>
            </w:pPr>
            <w:r>
              <w:rPr>
                <w:sz w:val="22"/>
              </w:rPr>
              <w:t>Special classes</w:t>
            </w:r>
          </w:p>
        </w:tc>
        <w:tc>
          <w:tcPr>
            <w:tcW w:w="1134" w:type="dxa"/>
            <w:tcBorders>
              <w:bottom w:val="single" w:sz="4" w:space="0" w:color="auto"/>
            </w:tcBorders>
          </w:tcPr>
          <w:p w:rsidR="00000000" w:rsidRDefault="00000000">
            <w:pPr>
              <w:spacing w:after="0"/>
              <w:jc w:val="center"/>
              <w:rPr>
                <w:sz w:val="22"/>
              </w:rPr>
            </w:pPr>
            <w:r>
              <w:rPr>
                <w:sz w:val="22"/>
              </w:rPr>
              <w:t>Collective classes</w:t>
            </w:r>
          </w:p>
        </w:tc>
        <w:tc>
          <w:tcPr>
            <w:tcW w:w="1276" w:type="dxa"/>
            <w:tcBorders>
              <w:bottom w:val="single" w:sz="4" w:space="0" w:color="auto"/>
            </w:tcBorders>
          </w:tcPr>
          <w:p w:rsidR="00000000" w:rsidRDefault="00000000">
            <w:pPr>
              <w:spacing w:after="0"/>
              <w:jc w:val="center"/>
              <w:rPr>
                <w:sz w:val="22"/>
              </w:rPr>
            </w:pPr>
            <w:r>
              <w:rPr>
                <w:sz w:val="22"/>
              </w:rPr>
              <w:t>Number of students</w:t>
            </w:r>
          </w:p>
        </w:tc>
        <w:tc>
          <w:tcPr>
            <w:tcW w:w="1134" w:type="dxa"/>
            <w:tcBorders>
              <w:bottom w:val="single" w:sz="4" w:space="0" w:color="auto"/>
            </w:tcBorders>
          </w:tcPr>
          <w:p w:rsidR="00000000" w:rsidRDefault="00000000">
            <w:pPr>
              <w:spacing w:after="0"/>
              <w:jc w:val="center"/>
              <w:rPr>
                <w:sz w:val="22"/>
              </w:rPr>
            </w:pPr>
            <w:r>
              <w:rPr>
                <w:sz w:val="22"/>
              </w:rPr>
              <w:t>Minority teachers</w:t>
            </w:r>
          </w:p>
        </w:tc>
        <w:tc>
          <w:tcPr>
            <w:tcW w:w="1134" w:type="dxa"/>
            <w:tcBorders>
              <w:bottom w:val="single" w:sz="4" w:space="0" w:color="auto"/>
            </w:tcBorders>
          </w:tcPr>
          <w:p w:rsidR="00000000" w:rsidRDefault="00000000">
            <w:pPr>
              <w:spacing w:after="0"/>
              <w:jc w:val="center"/>
              <w:rPr>
                <w:sz w:val="22"/>
              </w:rPr>
            </w:pPr>
            <w:r>
              <w:rPr>
                <w:sz w:val="22"/>
              </w:rPr>
              <w:t>Albanian teachers</w:t>
            </w:r>
          </w:p>
        </w:tc>
      </w:tr>
      <w:tr w:rsidR="00000000">
        <w:tblPrEx>
          <w:tblCellMar>
            <w:top w:w="0" w:type="dxa"/>
            <w:bottom w:w="0" w:type="dxa"/>
          </w:tblCellMar>
        </w:tblPrEx>
        <w:trPr>
          <w:jc w:val="center"/>
        </w:trPr>
        <w:tc>
          <w:tcPr>
            <w:tcW w:w="1320" w:type="dxa"/>
            <w:tcBorders>
              <w:bottom w:val="nil"/>
            </w:tcBorders>
          </w:tcPr>
          <w:p w:rsidR="00000000" w:rsidRDefault="00000000">
            <w:pPr>
              <w:spacing w:after="0"/>
              <w:rPr>
                <w:sz w:val="22"/>
              </w:rPr>
            </w:pPr>
            <w:r>
              <w:rPr>
                <w:sz w:val="22"/>
              </w:rPr>
              <w:t>Gjirokastra</w:t>
            </w:r>
          </w:p>
        </w:tc>
        <w:tc>
          <w:tcPr>
            <w:tcW w:w="1200" w:type="dxa"/>
            <w:tcBorders>
              <w:bottom w:val="nil"/>
            </w:tcBorders>
          </w:tcPr>
          <w:p w:rsidR="00000000" w:rsidRDefault="00000000">
            <w:pPr>
              <w:tabs>
                <w:tab w:val="decimal" w:pos="547"/>
              </w:tabs>
              <w:spacing w:after="0"/>
              <w:rPr>
                <w:sz w:val="22"/>
              </w:rPr>
            </w:pPr>
            <w:r>
              <w:rPr>
                <w:sz w:val="22"/>
              </w:rPr>
              <w:t>18</w:t>
            </w:r>
          </w:p>
        </w:tc>
        <w:tc>
          <w:tcPr>
            <w:tcW w:w="1200" w:type="dxa"/>
            <w:tcBorders>
              <w:bottom w:val="nil"/>
            </w:tcBorders>
          </w:tcPr>
          <w:p w:rsidR="00000000" w:rsidRDefault="00000000">
            <w:pPr>
              <w:tabs>
                <w:tab w:val="decimal" w:pos="547"/>
              </w:tabs>
              <w:spacing w:after="0"/>
              <w:rPr>
                <w:sz w:val="22"/>
              </w:rPr>
            </w:pPr>
            <w:r>
              <w:rPr>
                <w:sz w:val="22"/>
              </w:rPr>
              <w:t>14</w:t>
            </w:r>
          </w:p>
        </w:tc>
        <w:tc>
          <w:tcPr>
            <w:tcW w:w="970" w:type="dxa"/>
            <w:tcBorders>
              <w:bottom w:val="nil"/>
            </w:tcBorders>
          </w:tcPr>
          <w:p w:rsidR="00000000" w:rsidRDefault="00000000">
            <w:pPr>
              <w:tabs>
                <w:tab w:val="decimal" w:pos="405"/>
              </w:tabs>
              <w:spacing w:after="0"/>
              <w:rPr>
                <w:sz w:val="22"/>
              </w:rPr>
            </w:pPr>
            <w:r>
              <w:rPr>
                <w:sz w:val="22"/>
              </w:rPr>
              <w:t>14</w:t>
            </w:r>
          </w:p>
        </w:tc>
        <w:tc>
          <w:tcPr>
            <w:tcW w:w="1134" w:type="dxa"/>
            <w:tcBorders>
              <w:bottom w:val="nil"/>
            </w:tcBorders>
          </w:tcPr>
          <w:p w:rsidR="00000000" w:rsidRDefault="00000000">
            <w:pPr>
              <w:tabs>
                <w:tab w:val="decimal" w:pos="547"/>
              </w:tabs>
              <w:spacing w:after="0"/>
              <w:rPr>
                <w:sz w:val="22"/>
              </w:rPr>
            </w:pPr>
            <w:r>
              <w:rPr>
                <w:sz w:val="22"/>
              </w:rPr>
              <w:t>62</w:t>
            </w:r>
          </w:p>
        </w:tc>
        <w:tc>
          <w:tcPr>
            <w:tcW w:w="1276" w:type="dxa"/>
            <w:tcBorders>
              <w:bottom w:val="nil"/>
            </w:tcBorders>
          </w:tcPr>
          <w:p w:rsidR="00000000" w:rsidRDefault="00000000">
            <w:pPr>
              <w:tabs>
                <w:tab w:val="decimal" w:pos="689"/>
              </w:tabs>
              <w:spacing w:after="0"/>
              <w:rPr>
                <w:sz w:val="22"/>
              </w:rPr>
            </w:pPr>
            <w:r>
              <w:rPr>
                <w:sz w:val="22"/>
              </w:rPr>
              <w:t>586</w:t>
            </w:r>
          </w:p>
        </w:tc>
        <w:tc>
          <w:tcPr>
            <w:tcW w:w="1134" w:type="dxa"/>
            <w:tcBorders>
              <w:bottom w:val="nil"/>
            </w:tcBorders>
          </w:tcPr>
          <w:p w:rsidR="00000000" w:rsidRDefault="00000000">
            <w:pPr>
              <w:tabs>
                <w:tab w:val="decimal" w:pos="547"/>
              </w:tabs>
              <w:spacing w:after="0"/>
              <w:rPr>
                <w:sz w:val="22"/>
              </w:rPr>
            </w:pPr>
            <w:r>
              <w:rPr>
                <w:sz w:val="22"/>
              </w:rPr>
              <w:t>110</w:t>
            </w:r>
          </w:p>
        </w:tc>
        <w:tc>
          <w:tcPr>
            <w:tcW w:w="1134" w:type="dxa"/>
            <w:tcBorders>
              <w:bottom w:val="nil"/>
            </w:tcBorders>
          </w:tcPr>
          <w:p w:rsidR="00000000" w:rsidRDefault="00000000">
            <w:pPr>
              <w:tabs>
                <w:tab w:val="decimal" w:pos="547"/>
              </w:tabs>
              <w:spacing w:after="0"/>
              <w:rPr>
                <w:sz w:val="22"/>
              </w:rPr>
            </w:pPr>
            <w:r>
              <w:rPr>
                <w:sz w:val="22"/>
              </w:rPr>
              <w:t>9</w:t>
            </w:r>
          </w:p>
        </w:tc>
      </w:tr>
      <w:tr w:rsidR="00000000">
        <w:tblPrEx>
          <w:tblCellMar>
            <w:top w:w="0" w:type="dxa"/>
            <w:bottom w:w="0" w:type="dxa"/>
          </w:tblCellMar>
        </w:tblPrEx>
        <w:trPr>
          <w:jc w:val="center"/>
        </w:trPr>
        <w:tc>
          <w:tcPr>
            <w:tcW w:w="1320" w:type="dxa"/>
            <w:tcBorders>
              <w:top w:val="nil"/>
              <w:bottom w:val="nil"/>
            </w:tcBorders>
          </w:tcPr>
          <w:p w:rsidR="00000000" w:rsidRDefault="00000000">
            <w:pPr>
              <w:spacing w:after="0"/>
              <w:rPr>
                <w:sz w:val="22"/>
              </w:rPr>
            </w:pPr>
            <w:r>
              <w:rPr>
                <w:sz w:val="22"/>
              </w:rPr>
              <w:t>Saranda</w:t>
            </w:r>
          </w:p>
        </w:tc>
        <w:tc>
          <w:tcPr>
            <w:tcW w:w="1200" w:type="dxa"/>
            <w:tcBorders>
              <w:top w:val="nil"/>
              <w:bottom w:val="nil"/>
            </w:tcBorders>
          </w:tcPr>
          <w:p w:rsidR="00000000" w:rsidRDefault="00000000">
            <w:pPr>
              <w:tabs>
                <w:tab w:val="decimal" w:pos="547"/>
              </w:tabs>
              <w:spacing w:after="0"/>
              <w:rPr>
                <w:sz w:val="22"/>
              </w:rPr>
            </w:pPr>
            <w:r>
              <w:rPr>
                <w:sz w:val="22"/>
              </w:rPr>
              <w:t>16</w:t>
            </w:r>
          </w:p>
        </w:tc>
        <w:tc>
          <w:tcPr>
            <w:tcW w:w="1200" w:type="dxa"/>
            <w:tcBorders>
              <w:top w:val="nil"/>
              <w:bottom w:val="nil"/>
            </w:tcBorders>
          </w:tcPr>
          <w:p w:rsidR="00000000" w:rsidRDefault="00000000">
            <w:pPr>
              <w:tabs>
                <w:tab w:val="decimal" w:pos="547"/>
              </w:tabs>
              <w:spacing w:after="0"/>
              <w:rPr>
                <w:sz w:val="22"/>
              </w:rPr>
            </w:pPr>
            <w:r>
              <w:rPr>
                <w:sz w:val="22"/>
              </w:rPr>
              <w:t>7</w:t>
            </w:r>
          </w:p>
        </w:tc>
        <w:tc>
          <w:tcPr>
            <w:tcW w:w="970" w:type="dxa"/>
            <w:tcBorders>
              <w:top w:val="nil"/>
              <w:bottom w:val="nil"/>
            </w:tcBorders>
          </w:tcPr>
          <w:p w:rsidR="00000000" w:rsidRDefault="00000000">
            <w:pPr>
              <w:tabs>
                <w:tab w:val="decimal" w:pos="405"/>
              </w:tabs>
              <w:spacing w:after="0"/>
              <w:rPr>
                <w:sz w:val="22"/>
              </w:rPr>
            </w:pPr>
            <w:r>
              <w:rPr>
                <w:sz w:val="22"/>
              </w:rPr>
              <w:t>13</w:t>
            </w:r>
          </w:p>
        </w:tc>
        <w:tc>
          <w:tcPr>
            <w:tcW w:w="1134" w:type="dxa"/>
            <w:tcBorders>
              <w:top w:val="nil"/>
              <w:bottom w:val="nil"/>
            </w:tcBorders>
          </w:tcPr>
          <w:p w:rsidR="00000000" w:rsidRDefault="00000000">
            <w:pPr>
              <w:tabs>
                <w:tab w:val="decimal" w:pos="547"/>
              </w:tabs>
              <w:spacing w:after="0"/>
              <w:rPr>
                <w:sz w:val="22"/>
              </w:rPr>
            </w:pPr>
            <w:r>
              <w:rPr>
                <w:sz w:val="22"/>
              </w:rPr>
              <w:t>56</w:t>
            </w:r>
          </w:p>
        </w:tc>
        <w:tc>
          <w:tcPr>
            <w:tcW w:w="1276" w:type="dxa"/>
            <w:tcBorders>
              <w:top w:val="nil"/>
              <w:bottom w:val="nil"/>
            </w:tcBorders>
          </w:tcPr>
          <w:p w:rsidR="00000000" w:rsidRDefault="00000000">
            <w:pPr>
              <w:tabs>
                <w:tab w:val="decimal" w:pos="689"/>
              </w:tabs>
              <w:spacing w:after="0"/>
              <w:rPr>
                <w:sz w:val="22"/>
              </w:rPr>
            </w:pPr>
            <w:r>
              <w:rPr>
                <w:sz w:val="22"/>
              </w:rPr>
              <w:t>609</w:t>
            </w:r>
          </w:p>
        </w:tc>
        <w:tc>
          <w:tcPr>
            <w:tcW w:w="1134" w:type="dxa"/>
            <w:tcBorders>
              <w:top w:val="nil"/>
              <w:bottom w:val="nil"/>
            </w:tcBorders>
          </w:tcPr>
          <w:p w:rsidR="00000000" w:rsidRDefault="00000000">
            <w:pPr>
              <w:tabs>
                <w:tab w:val="decimal" w:pos="547"/>
              </w:tabs>
              <w:spacing w:after="0"/>
              <w:rPr>
                <w:sz w:val="22"/>
              </w:rPr>
            </w:pPr>
            <w:r>
              <w:rPr>
                <w:sz w:val="22"/>
              </w:rPr>
              <w:t>88</w:t>
            </w:r>
          </w:p>
        </w:tc>
        <w:tc>
          <w:tcPr>
            <w:tcW w:w="1134" w:type="dxa"/>
            <w:tcBorders>
              <w:top w:val="nil"/>
              <w:bottom w:val="nil"/>
            </w:tcBorders>
          </w:tcPr>
          <w:p w:rsidR="00000000" w:rsidRDefault="00000000">
            <w:pPr>
              <w:tabs>
                <w:tab w:val="decimal" w:pos="547"/>
              </w:tabs>
              <w:spacing w:after="0"/>
              <w:rPr>
                <w:sz w:val="22"/>
              </w:rPr>
            </w:pPr>
            <w:r>
              <w:rPr>
                <w:sz w:val="22"/>
              </w:rPr>
              <w:t>9</w:t>
            </w:r>
          </w:p>
        </w:tc>
      </w:tr>
      <w:tr w:rsidR="00000000">
        <w:tblPrEx>
          <w:tblCellMar>
            <w:top w:w="0" w:type="dxa"/>
            <w:bottom w:w="0" w:type="dxa"/>
          </w:tblCellMar>
        </w:tblPrEx>
        <w:trPr>
          <w:jc w:val="center"/>
        </w:trPr>
        <w:tc>
          <w:tcPr>
            <w:tcW w:w="1320" w:type="dxa"/>
            <w:tcBorders>
              <w:top w:val="nil"/>
              <w:bottom w:val="nil"/>
            </w:tcBorders>
          </w:tcPr>
          <w:p w:rsidR="00000000" w:rsidRDefault="00000000">
            <w:pPr>
              <w:spacing w:after="0"/>
              <w:rPr>
                <w:sz w:val="22"/>
              </w:rPr>
            </w:pPr>
            <w:r>
              <w:rPr>
                <w:sz w:val="22"/>
              </w:rPr>
              <w:t>Delvina</w:t>
            </w:r>
          </w:p>
        </w:tc>
        <w:tc>
          <w:tcPr>
            <w:tcW w:w="1200" w:type="dxa"/>
            <w:tcBorders>
              <w:top w:val="nil"/>
              <w:bottom w:val="nil"/>
            </w:tcBorders>
          </w:tcPr>
          <w:p w:rsidR="00000000" w:rsidRDefault="00000000">
            <w:pPr>
              <w:tabs>
                <w:tab w:val="decimal" w:pos="547"/>
              </w:tabs>
              <w:spacing w:after="0"/>
              <w:rPr>
                <w:sz w:val="22"/>
              </w:rPr>
            </w:pPr>
            <w:r>
              <w:rPr>
                <w:sz w:val="22"/>
              </w:rPr>
              <w:t>7</w:t>
            </w:r>
          </w:p>
        </w:tc>
        <w:tc>
          <w:tcPr>
            <w:tcW w:w="1200" w:type="dxa"/>
            <w:tcBorders>
              <w:top w:val="nil"/>
              <w:bottom w:val="nil"/>
            </w:tcBorders>
          </w:tcPr>
          <w:p w:rsidR="00000000" w:rsidRDefault="00000000">
            <w:pPr>
              <w:tabs>
                <w:tab w:val="decimal" w:pos="547"/>
              </w:tabs>
              <w:spacing w:after="0"/>
              <w:rPr>
                <w:sz w:val="22"/>
              </w:rPr>
            </w:pPr>
            <w:r>
              <w:rPr>
                <w:sz w:val="22"/>
              </w:rPr>
              <w:t>9</w:t>
            </w:r>
          </w:p>
        </w:tc>
        <w:tc>
          <w:tcPr>
            <w:tcW w:w="970" w:type="dxa"/>
            <w:tcBorders>
              <w:top w:val="nil"/>
              <w:bottom w:val="nil"/>
            </w:tcBorders>
          </w:tcPr>
          <w:p w:rsidR="00000000" w:rsidRDefault="00000000">
            <w:pPr>
              <w:tabs>
                <w:tab w:val="decimal" w:pos="405"/>
              </w:tabs>
              <w:spacing w:after="0"/>
              <w:rPr>
                <w:sz w:val="22"/>
              </w:rPr>
            </w:pPr>
            <w:r>
              <w:rPr>
                <w:sz w:val="22"/>
              </w:rPr>
              <w:t>6</w:t>
            </w:r>
          </w:p>
        </w:tc>
        <w:tc>
          <w:tcPr>
            <w:tcW w:w="1134" w:type="dxa"/>
            <w:tcBorders>
              <w:top w:val="nil"/>
              <w:bottom w:val="nil"/>
            </w:tcBorders>
          </w:tcPr>
          <w:p w:rsidR="00000000" w:rsidRDefault="00000000">
            <w:pPr>
              <w:tabs>
                <w:tab w:val="decimal" w:pos="547"/>
              </w:tabs>
              <w:spacing w:after="0"/>
              <w:rPr>
                <w:sz w:val="22"/>
              </w:rPr>
            </w:pPr>
            <w:r>
              <w:rPr>
                <w:sz w:val="22"/>
              </w:rPr>
              <w:t>41</w:t>
            </w:r>
          </w:p>
        </w:tc>
        <w:tc>
          <w:tcPr>
            <w:tcW w:w="1276" w:type="dxa"/>
            <w:tcBorders>
              <w:top w:val="nil"/>
              <w:bottom w:val="nil"/>
            </w:tcBorders>
          </w:tcPr>
          <w:p w:rsidR="00000000" w:rsidRDefault="00000000">
            <w:pPr>
              <w:tabs>
                <w:tab w:val="decimal" w:pos="689"/>
              </w:tabs>
              <w:spacing w:after="0"/>
              <w:rPr>
                <w:sz w:val="22"/>
              </w:rPr>
            </w:pPr>
            <w:r>
              <w:rPr>
                <w:sz w:val="22"/>
              </w:rPr>
              <w:t>355</w:t>
            </w:r>
          </w:p>
        </w:tc>
        <w:tc>
          <w:tcPr>
            <w:tcW w:w="1134" w:type="dxa"/>
            <w:tcBorders>
              <w:top w:val="nil"/>
              <w:bottom w:val="nil"/>
            </w:tcBorders>
          </w:tcPr>
          <w:p w:rsidR="00000000" w:rsidRDefault="00000000">
            <w:pPr>
              <w:tabs>
                <w:tab w:val="decimal" w:pos="547"/>
              </w:tabs>
              <w:spacing w:after="0"/>
              <w:rPr>
                <w:sz w:val="22"/>
              </w:rPr>
            </w:pPr>
            <w:r>
              <w:rPr>
                <w:sz w:val="22"/>
              </w:rPr>
              <w:t>51</w:t>
            </w:r>
          </w:p>
        </w:tc>
        <w:tc>
          <w:tcPr>
            <w:tcW w:w="1134" w:type="dxa"/>
            <w:tcBorders>
              <w:top w:val="nil"/>
              <w:bottom w:val="nil"/>
            </w:tcBorders>
          </w:tcPr>
          <w:p w:rsidR="00000000" w:rsidRDefault="00000000">
            <w:pPr>
              <w:tabs>
                <w:tab w:val="decimal" w:pos="547"/>
              </w:tabs>
              <w:spacing w:after="0"/>
              <w:rPr>
                <w:sz w:val="22"/>
              </w:rPr>
            </w:pPr>
            <w:r>
              <w:rPr>
                <w:sz w:val="22"/>
              </w:rPr>
              <w:t>12</w:t>
            </w:r>
          </w:p>
        </w:tc>
      </w:tr>
      <w:tr w:rsidR="00000000">
        <w:tblPrEx>
          <w:tblCellMar>
            <w:top w:w="0" w:type="dxa"/>
            <w:bottom w:w="0" w:type="dxa"/>
          </w:tblCellMar>
        </w:tblPrEx>
        <w:trPr>
          <w:jc w:val="center"/>
        </w:trPr>
        <w:tc>
          <w:tcPr>
            <w:tcW w:w="1320" w:type="dxa"/>
            <w:tcBorders>
              <w:top w:val="nil"/>
            </w:tcBorders>
          </w:tcPr>
          <w:p w:rsidR="00000000" w:rsidRDefault="00000000">
            <w:pPr>
              <w:spacing w:after="0"/>
              <w:rPr>
                <w:sz w:val="22"/>
              </w:rPr>
            </w:pPr>
            <w:r>
              <w:rPr>
                <w:sz w:val="22"/>
              </w:rPr>
              <w:t>Permet</w:t>
            </w:r>
          </w:p>
        </w:tc>
        <w:tc>
          <w:tcPr>
            <w:tcW w:w="1200" w:type="dxa"/>
            <w:tcBorders>
              <w:top w:val="nil"/>
            </w:tcBorders>
          </w:tcPr>
          <w:p w:rsidR="00000000" w:rsidRDefault="00000000">
            <w:pPr>
              <w:tabs>
                <w:tab w:val="decimal" w:pos="547"/>
              </w:tabs>
              <w:spacing w:after="0"/>
              <w:rPr>
                <w:sz w:val="22"/>
              </w:rPr>
            </w:pPr>
            <w:r>
              <w:rPr>
                <w:sz w:val="22"/>
              </w:rPr>
              <w:noBreakHyphen/>
            </w:r>
          </w:p>
        </w:tc>
        <w:tc>
          <w:tcPr>
            <w:tcW w:w="1200" w:type="dxa"/>
            <w:tcBorders>
              <w:top w:val="nil"/>
            </w:tcBorders>
          </w:tcPr>
          <w:p w:rsidR="00000000" w:rsidRDefault="00000000">
            <w:pPr>
              <w:tabs>
                <w:tab w:val="decimal" w:pos="547"/>
              </w:tabs>
              <w:spacing w:after="0"/>
              <w:rPr>
                <w:sz w:val="22"/>
              </w:rPr>
            </w:pPr>
            <w:r>
              <w:rPr>
                <w:sz w:val="22"/>
              </w:rPr>
              <w:t>2</w:t>
            </w:r>
          </w:p>
        </w:tc>
        <w:tc>
          <w:tcPr>
            <w:tcW w:w="970" w:type="dxa"/>
            <w:tcBorders>
              <w:top w:val="nil"/>
            </w:tcBorders>
          </w:tcPr>
          <w:p w:rsidR="00000000" w:rsidRDefault="00000000">
            <w:pPr>
              <w:tabs>
                <w:tab w:val="decimal" w:pos="405"/>
              </w:tabs>
              <w:spacing w:after="0"/>
              <w:rPr>
                <w:sz w:val="22"/>
              </w:rPr>
            </w:pPr>
            <w:r>
              <w:rPr>
                <w:sz w:val="22"/>
              </w:rPr>
              <w:noBreakHyphen/>
            </w:r>
          </w:p>
        </w:tc>
        <w:tc>
          <w:tcPr>
            <w:tcW w:w="1134" w:type="dxa"/>
            <w:tcBorders>
              <w:top w:val="nil"/>
            </w:tcBorders>
          </w:tcPr>
          <w:p w:rsidR="00000000" w:rsidRDefault="00000000">
            <w:pPr>
              <w:tabs>
                <w:tab w:val="decimal" w:pos="547"/>
              </w:tabs>
              <w:spacing w:after="0"/>
              <w:rPr>
                <w:sz w:val="22"/>
              </w:rPr>
            </w:pPr>
            <w:r>
              <w:rPr>
                <w:sz w:val="22"/>
              </w:rPr>
              <w:t>2</w:t>
            </w:r>
          </w:p>
        </w:tc>
        <w:tc>
          <w:tcPr>
            <w:tcW w:w="1276" w:type="dxa"/>
            <w:tcBorders>
              <w:top w:val="nil"/>
            </w:tcBorders>
          </w:tcPr>
          <w:p w:rsidR="00000000" w:rsidRDefault="00000000">
            <w:pPr>
              <w:tabs>
                <w:tab w:val="decimal" w:pos="689"/>
              </w:tabs>
              <w:spacing w:after="0"/>
              <w:rPr>
                <w:sz w:val="22"/>
              </w:rPr>
            </w:pPr>
            <w:r>
              <w:rPr>
                <w:sz w:val="22"/>
              </w:rPr>
              <w:t>14</w:t>
            </w:r>
          </w:p>
        </w:tc>
        <w:tc>
          <w:tcPr>
            <w:tcW w:w="1134" w:type="dxa"/>
            <w:tcBorders>
              <w:top w:val="nil"/>
            </w:tcBorders>
          </w:tcPr>
          <w:p w:rsidR="00000000" w:rsidRDefault="00000000">
            <w:pPr>
              <w:tabs>
                <w:tab w:val="decimal" w:pos="547"/>
              </w:tabs>
              <w:spacing w:after="0"/>
              <w:rPr>
                <w:sz w:val="22"/>
              </w:rPr>
            </w:pPr>
            <w:r>
              <w:rPr>
                <w:sz w:val="22"/>
              </w:rPr>
              <w:t>2</w:t>
            </w:r>
          </w:p>
        </w:tc>
        <w:tc>
          <w:tcPr>
            <w:tcW w:w="1134" w:type="dxa"/>
            <w:tcBorders>
              <w:top w:val="nil"/>
            </w:tcBorders>
          </w:tcPr>
          <w:p w:rsidR="00000000" w:rsidRDefault="00000000">
            <w:pPr>
              <w:tabs>
                <w:tab w:val="decimal" w:pos="547"/>
              </w:tabs>
              <w:spacing w:after="0"/>
              <w:rPr>
                <w:sz w:val="22"/>
              </w:rPr>
            </w:pPr>
            <w:r>
              <w:rPr>
                <w:sz w:val="22"/>
              </w:rPr>
              <w:noBreakHyphen/>
            </w:r>
          </w:p>
        </w:tc>
      </w:tr>
      <w:tr w:rsidR="00000000">
        <w:tblPrEx>
          <w:tblCellMar>
            <w:top w:w="0" w:type="dxa"/>
            <w:bottom w:w="0" w:type="dxa"/>
          </w:tblCellMar>
        </w:tblPrEx>
        <w:trPr>
          <w:jc w:val="center"/>
        </w:trPr>
        <w:tc>
          <w:tcPr>
            <w:tcW w:w="1320" w:type="dxa"/>
          </w:tcPr>
          <w:p w:rsidR="00000000" w:rsidRDefault="00000000">
            <w:pPr>
              <w:spacing w:after="0"/>
              <w:rPr>
                <w:sz w:val="22"/>
              </w:rPr>
            </w:pPr>
            <w:r>
              <w:rPr>
                <w:sz w:val="22"/>
              </w:rPr>
              <w:t xml:space="preserve">     Total</w:t>
            </w:r>
          </w:p>
        </w:tc>
        <w:tc>
          <w:tcPr>
            <w:tcW w:w="1200" w:type="dxa"/>
          </w:tcPr>
          <w:p w:rsidR="00000000" w:rsidRDefault="00000000">
            <w:pPr>
              <w:tabs>
                <w:tab w:val="decimal" w:pos="547"/>
              </w:tabs>
              <w:spacing w:after="0"/>
              <w:rPr>
                <w:sz w:val="22"/>
              </w:rPr>
            </w:pPr>
            <w:r>
              <w:rPr>
                <w:sz w:val="22"/>
              </w:rPr>
              <w:t>41</w:t>
            </w:r>
          </w:p>
        </w:tc>
        <w:tc>
          <w:tcPr>
            <w:tcW w:w="1200" w:type="dxa"/>
          </w:tcPr>
          <w:p w:rsidR="00000000" w:rsidRDefault="00000000">
            <w:pPr>
              <w:tabs>
                <w:tab w:val="decimal" w:pos="547"/>
              </w:tabs>
              <w:spacing w:after="0"/>
              <w:rPr>
                <w:sz w:val="22"/>
              </w:rPr>
            </w:pPr>
            <w:r>
              <w:rPr>
                <w:sz w:val="22"/>
              </w:rPr>
              <w:t>32</w:t>
            </w:r>
          </w:p>
        </w:tc>
        <w:tc>
          <w:tcPr>
            <w:tcW w:w="970" w:type="dxa"/>
          </w:tcPr>
          <w:p w:rsidR="00000000" w:rsidRDefault="00000000">
            <w:pPr>
              <w:tabs>
                <w:tab w:val="decimal" w:pos="405"/>
              </w:tabs>
              <w:spacing w:after="0"/>
              <w:rPr>
                <w:sz w:val="22"/>
              </w:rPr>
            </w:pPr>
            <w:r>
              <w:rPr>
                <w:sz w:val="22"/>
              </w:rPr>
              <w:t>33</w:t>
            </w:r>
          </w:p>
        </w:tc>
        <w:tc>
          <w:tcPr>
            <w:tcW w:w="1134" w:type="dxa"/>
          </w:tcPr>
          <w:p w:rsidR="00000000" w:rsidRDefault="00000000">
            <w:pPr>
              <w:tabs>
                <w:tab w:val="decimal" w:pos="547"/>
              </w:tabs>
              <w:spacing w:after="0"/>
              <w:rPr>
                <w:sz w:val="22"/>
              </w:rPr>
            </w:pPr>
            <w:r>
              <w:rPr>
                <w:sz w:val="22"/>
              </w:rPr>
              <w:t>161</w:t>
            </w:r>
          </w:p>
        </w:tc>
        <w:tc>
          <w:tcPr>
            <w:tcW w:w="1276" w:type="dxa"/>
          </w:tcPr>
          <w:p w:rsidR="00000000" w:rsidRDefault="00000000">
            <w:pPr>
              <w:spacing w:after="0"/>
              <w:rPr>
                <w:sz w:val="22"/>
              </w:rPr>
            </w:pPr>
            <w:r>
              <w:rPr>
                <w:sz w:val="22"/>
              </w:rPr>
              <w:t xml:space="preserve">    1 564</w:t>
            </w:r>
          </w:p>
        </w:tc>
        <w:tc>
          <w:tcPr>
            <w:tcW w:w="1134" w:type="dxa"/>
          </w:tcPr>
          <w:p w:rsidR="00000000" w:rsidRDefault="00000000">
            <w:pPr>
              <w:tabs>
                <w:tab w:val="decimal" w:pos="547"/>
              </w:tabs>
              <w:spacing w:after="0"/>
              <w:rPr>
                <w:sz w:val="22"/>
              </w:rPr>
            </w:pPr>
            <w:r>
              <w:rPr>
                <w:sz w:val="22"/>
              </w:rPr>
              <w:t>251</w:t>
            </w:r>
          </w:p>
        </w:tc>
        <w:tc>
          <w:tcPr>
            <w:tcW w:w="1134" w:type="dxa"/>
          </w:tcPr>
          <w:p w:rsidR="00000000" w:rsidRDefault="00000000">
            <w:pPr>
              <w:tabs>
                <w:tab w:val="decimal" w:pos="547"/>
              </w:tabs>
              <w:spacing w:after="0"/>
              <w:rPr>
                <w:sz w:val="22"/>
              </w:rPr>
            </w:pPr>
            <w:r>
              <w:rPr>
                <w:sz w:val="22"/>
              </w:rPr>
              <w:t>30</w:t>
            </w:r>
          </w:p>
        </w:tc>
      </w:tr>
    </w:tbl>
    <w:p w:rsidR="00000000" w:rsidRDefault="00000000">
      <w:pPr>
        <w:pStyle w:val="Heading2"/>
        <w:spacing w:before="240"/>
      </w:pPr>
      <w:r>
        <w:t>Table 59</w:t>
      </w:r>
    </w:p>
    <w:p w:rsidR="00000000" w:rsidRDefault="00000000">
      <w:pPr>
        <w:pStyle w:val="Heading2"/>
      </w:pPr>
      <w:r>
        <w:t>Pre</w:t>
      </w:r>
      <w:r>
        <w:noBreakHyphen/>
        <w:t>school education of the Greek minority in Albania</w:t>
      </w:r>
    </w:p>
    <w:tbl>
      <w:tblPr>
        <w:tblW w:w="5950" w:type="dxa"/>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559"/>
        <w:gridCol w:w="1418"/>
        <w:gridCol w:w="1331"/>
      </w:tblGrid>
      <w:tr w:rsidR="00000000">
        <w:tblPrEx>
          <w:tblCellMar>
            <w:top w:w="0" w:type="dxa"/>
            <w:bottom w:w="0" w:type="dxa"/>
          </w:tblCellMar>
        </w:tblPrEx>
        <w:trPr>
          <w:cantSplit/>
          <w:jc w:val="center"/>
        </w:trPr>
        <w:tc>
          <w:tcPr>
            <w:tcW w:w="1642" w:type="dxa"/>
            <w:tcBorders>
              <w:bottom w:val="single" w:sz="4" w:space="0" w:color="auto"/>
            </w:tcBorders>
          </w:tcPr>
          <w:p w:rsidR="00000000" w:rsidRDefault="00000000">
            <w:pPr>
              <w:spacing w:after="0"/>
            </w:pPr>
            <w:r>
              <w:t>District</w:t>
            </w:r>
          </w:p>
        </w:tc>
        <w:tc>
          <w:tcPr>
            <w:tcW w:w="1559" w:type="dxa"/>
            <w:tcBorders>
              <w:bottom w:val="single" w:sz="4" w:space="0" w:color="auto"/>
            </w:tcBorders>
          </w:tcPr>
          <w:p w:rsidR="00000000" w:rsidRDefault="00000000">
            <w:pPr>
              <w:spacing w:after="0"/>
              <w:jc w:val="center"/>
            </w:pPr>
            <w:r>
              <w:t>Number of kindergartens</w:t>
            </w:r>
          </w:p>
        </w:tc>
        <w:tc>
          <w:tcPr>
            <w:tcW w:w="1418" w:type="dxa"/>
            <w:tcBorders>
              <w:bottom w:val="single" w:sz="4" w:space="0" w:color="auto"/>
            </w:tcBorders>
          </w:tcPr>
          <w:p w:rsidR="00000000" w:rsidRDefault="00000000">
            <w:pPr>
              <w:spacing w:after="0"/>
              <w:jc w:val="center"/>
            </w:pPr>
            <w:r>
              <w:t>Number of children</w:t>
            </w:r>
          </w:p>
        </w:tc>
        <w:tc>
          <w:tcPr>
            <w:tcW w:w="1331" w:type="dxa"/>
            <w:tcBorders>
              <w:bottom w:val="single" w:sz="4" w:space="0" w:color="auto"/>
            </w:tcBorders>
          </w:tcPr>
          <w:p w:rsidR="00000000" w:rsidRDefault="00000000">
            <w:pPr>
              <w:spacing w:after="0"/>
              <w:jc w:val="center"/>
            </w:pPr>
            <w:r>
              <w:t>Number of educators</w:t>
            </w:r>
          </w:p>
        </w:tc>
      </w:tr>
      <w:tr w:rsidR="00000000">
        <w:tblPrEx>
          <w:tblCellMar>
            <w:top w:w="0" w:type="dxa"/>
            <w:bottom w:w="0" w:type="dxa"/>
          </w:tblCellMar>
        </w:tblPrEx>
        <w:trPr>
          <w:cantSplit/>
          <w:jc w:val="center"/>
        </w:trPr>
        <w:tc>
          <w:tcPr>
            <w:tcW w:w="1642" w:type="dxa"/>
            <w:tcBorders>
              <w:bottom w:val="nil"/>
            </w:tcBorders>
          </w:tcPr>
          <w:p w:rsidR="00000000" w:rsidRDefault="00000000">
            <w:pPr>
              <w:spacing w:after="0"/>
            </w:pPr>
            <w:r>
              <w:t>Gjirokastra</w:t>
            </w:r>
          </w:p>
        </w:tc>
        <w:tc>
          <w:tcPr>
            <w:tcW w:w="1559" w:type="dxa"/>
            <w:tcBorders>
              <w:bottom w:val="nil"/>
            </w:tcBorders>
          </w:tcPr>
          <w:p w:rsidR="00000000" w:rsidRDefault="00000000">
            <w:pPr>
              <w:spacing w:after="0"/>
              <w:ind w:right="567"/>
              <w:jc w:val="right"/>
            </w:pPr>
            <w:r>
              <w:t>15</w:t>
            </w:r>
          </w:p>
        </w:tc>
        <w:tc>
          <w:tcPr>
            <w:tcW w:w="1418" w:type="dxa"/>
            <w:tcBorders>
              <w:bottom w:val="nil"/>
            </w:tcBorders>
          </w:tcPr>
          <w:p w:rsidR="00000000" w:rsidRDefault="00000000">
            <w:pPr>
              <w:pStyle w:val="Header"/>
              <w:tabs>
                <w:tab w:val="clear" w:pos="4320"/>
                <w:tab w:val="clear" w:pos="8640"/>
                <w:tab w:val="decimal" w:pos="749"/>
              </w:tabs>
              <w:spacing w:after="0"/>
            </w:pPr>
            <w:r>
              <w:t>213</w:t>
            </w:r>
          </w:p>
        </w:tc>
        <w:tc>
          <w:tcPr>
            <w:tcW w:w="1331" w:type="dxa"/>
            <w:tcBorders>
              <w:bottom w:val="nil"/>
            </w:tcBorders>
          </w:tcPr>
          <w:p w:rsidR="00000000" w:rsidRDefault="00000000">
            <w:pPr>
              <w:tabs>
                <w:tab w:val="decimal" w:pos="617"/>
              </w:tabs>
              <w:spacing w:after="0"/>
            </w:pPr>
            <w:r>
              <w:t>18</w:t>
            </w:r>
          </w:p>
        </w:tc>
      </w:tr>
      <w:tr w:rsidR="00000000">
        <w:tblPrEx>
          <w:tblCellMar>
            <w:top w:w="0" w:type="dxa"/>
            <w:bottom w:w="0" w:type="dxa"/>
          </w:tblCellMar>
        </w:tblPrEx>
        <w:trPr>
          <w:cantSplit/>
          <w:jc w:val="center"/>
        </w:trPr>
        <w:tc>
          <w:tcPr>
            <w:tcW w:w="1642" w:type="dxa"/>
            <w:tcBorders>
              <w:top w:val="nil"/>
              <w:bottom w:val="nil"/>
            </w:tcBorders>
          </w:tcPr>
          <w:p w:rsidR="00000000" w:rsidRDefault="00000000">
            <w:pPr>
              <w:spacing w:after="0"/>
            </w:pPr>
            <w:r>
              <w:t>Saranda</w:t>
            </w:r>
          </w:p>
        </w:tc>
        <w:tc>
          <w:tcPr>
            <w:tcW w:w="1559" w:type="dxa"/>
            <w:tcBorders>
              <w:top w:val="nil"/>
              <w:bottom w:val="nil"/>
            </w:tcBorders>
          </w:tcPr>
          <w:p w:rsidR="00000000" w:rsidRDefault="00000000">
            <w:pPr>
              <w:spacing w:after="0"/>
              <w:ind w:right="567"/>
              <w:jc w:val="right"/>
            </w:pPr>
            <w:r>
              <w:t>6</w:t>
            </w:r>
          </w:p>
        </w:tc>
        <w:tc>
          <w:tcPr>
            <w:tcW w:w="1418" w:type="dxa"/>
            <w:tcBorders>
              <w:top w:val="nil"/>
              <w:bottom w:val="nil"/>
            </w:tcBorders>
          </w:tcPr>
          <w:p w:rsidR="00000000" w:rsidRDefault="00000000">
            <w:pPr>
              <w:tabs>
                <w:tab w:val="decimal" w:pos="749"/>
              </w:tabs>
              <w:spacing w:after="0"/>
            </w:pPr>
            <w:r>
              <w:t>119</w:t>
            </w:r>
          </w:p>
        </w:tc>
        <w:tc>
          <w:tcPr>
            <w:tcW w:w="1331" w:type="dxa"/>
            <w:tcBorders>
              <w:top w:val="nil"/>
              <w:bottom w:val="nil"/>
            </w:tcBorders>
          </w:tcPr>
          <w:p w:rsidR="00000000" w:rsidRDefault="00000000">
            <w:pPr>
              <w:tabs>
                <w:tab w:val="decimal" w:pos="617"/>
              </w:tabs>
              <w:spacing w:after="0"/>
            </w:pPr>
            <w:r>
              <w:t>6</w:t>
            </w:r>
          </w:p>
        </w:tc>
      </w:tr>
      <w:tr w:rsidR="00000000">
        <w:tblPrEx>
          <w:tblCellMar>
            <w:top w:w="0" w:type="dxa"/>
            <w:bottom w:w="0" w:type="dxa"/>
          </w:tblCellMar>
        </w:tblPrEx>
        <w:trPr>
          <w:cantSplit/>
          <w:jc w:val="center"/>
        </w:trPr>
        <w:tc>
          <w:tcPr>
            <w:tcW w:w="1642" w:type="dxa"/>
            <w:tcBorders>
              <w:top w:val="nil"/>
              <w:bottom w:val="nil"/>
            </w:tcBorders>
          </w:tcPr>
          <w:p w:rsidR="00000000" w:rsidRDefault="00000000">
            <w:pPr>
              <w:spacing w:after="0"/>
            </w:pPr>
            <w:r>
              <w:t>Delvina</w:t>
            </w:r>
          </w:p>
        </w:tc>
        <w:tc>
          <w:tcPr>
            <w:tcW w:w="1559" w:type="dxa"/>
            <w:tcBorders>
              <w:top w:val="nil"/>
              <w:bottom w:val="nil"/>
            </w:tcBorders>
          </w:tcPr>
          <w:p w:rsidR="00000000" w:rsidRDefault="00000000">
            <w:pPr>
              <w:spacing w:after="0"/>
              <w:ind w:right="567"/>
              <w:jc w:val="right"/>
            </w:pPr>
            <w:r>
              <w:t>5</w:t>
            </w:r>
          </w:p>
        </w:tc>
        <w:tc>
          <w:tcPr>
            <w:tcW w:w="1418" w:type="dxa"/>
            <w:tcBorders>
              <w:top w:val="nil"/>
              <w:bottom w:val="nil"/>
            </w:tcBorders>
          </w:tcPr>
          <w:p w:rsidR="00000000" w:rsidRDefault="00000000">
            <w:pPr>
              <w:tabs>
                <w:tab w:val="decimal" w:pos="749"/>
              </w:tabs>
              <w:spacing w:after="0"/>
            </w:pPr>
            <w:r>
              <w:t>81</w:t>
            </w:r>
          </w:p>
        </w:tc>
        <w:tc>
          <w:tcPr>
            <w:tcW w:w="1331" w:type="dxa"/>
            <w:tcBorders>
              <w:top w:val="nil"/>
              <w:bottom w:val="nil"/>
            </w:tcBorders>
          </w:tcPr>
          <w:p w:rsidR="00000000" w:rsidRDefault="00000000">
            <w:pPr>
              <w:tabs>
                <w:tab w:val="decimal" w:pos="617"/>
              </w:tabs>
              <w:spacing w:after="0"/>
            </w:pPr>
            <w:r>
              <w:t>7</w:t>
            </w:r>
          </w:p>
        </w:tc>
      </w:tr>
      <w:tr w:rsidR="00000000">
        <w:tblPrEx>
          <w:tblCellMar>
            <w:top w:w="0" w:type="dxa"/>
            <w:bottom w:w="0" w:type="dxa"/>
          </w:tblCellMar>
        </w:tblPrEx>
        <w:trPr>
          <w:cantSplit/>
          <w:jc w:val="center"/>
        </w:trPr>
        <w:tc>
          <w:tcPr>
            <w:tcW w:w="1642" w:type="dxa"/>
            <w:tcBorders>
              <w:top w:val="nil"/>
            </w:tcBorders>
          </w:tcPr>
          <w:p w:rsidR="00000000" w:rsidRDefault="00000000">
            <w:pPr>
              <w:spacing w:after="0"/>
            </w:pPr>
            <w:r>
              <w:t>Permet</w:t>
            </w:r>
          </w:p>
        </w:tc>
        <w:tc>
          <w:tcPr>
            <w:tcW w:w="1559" w:type="dxa"/>
            <w:tcBorders>
              <w:top w:val="nil"/>
            </w:tcBorders>
          </w:tcPr>
          <w:p w:rsidR="00000000" w:rsidRDefault="00000000">
            <w:pPr>
              <w:spacing w:after="0"/>
              <w:ind w:right="567"/>
              <w:jc w:val="right"/>
            </w:pPr>
            <w:r>
              <w:noBreakHyphen/>
            </w:r>
          </w:p>
        </w:tc>
        <w:tc>
          <w:tcPr>
            <w:tcW w:w="1418" w:type="dxa"/>
            <w:tcBorders>
              <w:top w:val="nil"/>
            </w:tcBorders>
          </w:tcPr>
          <w:p w:rsidR="00000000" w:rsidRDefault="00000000">
            <w:pPr>
              <w:tabs>
                <w:tab w:val="decimal" w:pos="749"/>
              </w:tabs>
              <w:spacing w:after="0"/>
            </w:pPr>
            <w:r>
              <w:noBreakHyphen/>
            </w:r>
          </w:p>
        </w:tc>
        <w:tc>
          <w:tcPr>
            <w:tcW w:w="1331" w:type="dxa"/>
            <w:tcBorders>
              <w:top w:val="nil"/>
            </w:tcBorders>
          </w:tcPr>
          <w:p w:rsidR="00000000" w:rsidRDefault="00000000">
            <w:pPr>
              <w:tabs>
                <w:tab w:val="decimal" w:pos="617"/>
              </w:tabs>
              <w:spacing w:after="0"/>
            </w:pPr>
            <w:r>
              <w:noBreakHyphen/>
            </w:r>
          </w:p>
        </w:tc>
      </w:tr>
      <w:tr w:rsidR="00000000">
        <w:tblPrEx>
          <w:tblCellMar>
            <w:top w:w="0" w:type="dxa"/>
            <w:bottom w:w="0" w:type="dxa"/>
          </w:tblCellMar>
        </w:tblPrEx>
        <w:trPr>
          <w:cantSplit/>
          <w:jc w:val="center"/>
        </w:trPr>
        <w:tc>
          <w:tcPr>
            <w:tcW w:w="1642" w:type="dxa"/>
          </w:tcPr>
          <w:p w:rsidR="00000000" w:rsidRDefault="00000000">
            <w:pPr>
              <w:pStyle w:val="Header"/>
              <w:tabs>
                <w:tab w:val="clear" w:pos="4320"/>
                <w:tab w:val="clear" w:pos="8640"/>
              </w:tabs>
              <w:spacing w:after="0"/>
            </w:pPr>
            <w:r>
              <w:t xml:space="preserve">     Total</w:t>
            </w:r>
          </w:p>
        </w:tc>
        <w:tc>
          <w:tcPr>
            <w:tcW w:w="1559" w:type="dxa"/>
          </w:tcPr>
          <w:p w:rsidR="00000000" w:rsidRDefault="00000000">
            <w:pPr>
              <w:spacing w:after="0"/>
              <w:ind w:right="567"/>
              <w:jc w:val="right"/>
            </w:pPr>
            <w:r>
              <w:t>26</w:t>
            </w:r>
          </w:p>
        </w:tc>
        <w:tc>
          <w:tcPr>
            <w:tcW w:w="1418" w:type="dxa"/>
          </w:tcPr>
          <w:p w:rsidR="00000000" w:rsidRDefault="00000000">
            <w:pPr>
              <w:tabs>
                <w:tab w:val="decimal" w:pos="749"/>
              </w:tabs>
              <w:spacing w:after="0"/>
            </w:pPr>
            <w:r>
              <w:t>413</w:t>
            </w:r>
          </w:p>
        </w:tc>
        <w:tc>
          <w:tcPr>
            <w:tcW w:w="1331" w:type="dxa"/>
          </w:tcPr>
          <w:p w:rsidR="00000000" w:rsidRDefault="00000000">
            <w:pPr>
              <w:tabs>
                <w:tab w:val="decimal" w:pos="617"/>
              </w:tabs>
              <w:spacing w:after="0"/>
            </w:pPr>
            <w:r>
              <w:t>31</w:t>
            </w:r>
          </w:p>
        </w:tc>
      </w:tr>
    </w:tbl>
    <w:p w:rsidR="00000000" w:rsidRDefault="00000000">
      <w:pPr>
        <w:pStyle w:val="Heading2"/>
        <w:spacing w:before="240"/>
      </w:pPr>
      <w:r>
        <w:t>Table 60</w:t>
      </w:r>
    </w:p>
    <w:p w:rsidR="00000000" w:rsidRDefault="00000000">
      <w:pPr>
        <w:pStyle w:val="Heading2"/>
      </w:pPr>
      <w:r>
        <w:t>Compulsory primary education of the Macedonian minority in Albania</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7"/>
        <w:gridCol w:w="1018"/>
        <w:gridCol w:w="1417"/>
        <w:gridCol w:w="992"/>
        <w:gridCol w:w="1276"/>
        <w:gridCol w:w="1276"/>
        <w:gridCol w:w="1134"/>
      </w:tblGrid>
      <w:tr w:rsidR="00000000">
        <w:tblPrEx>
          <w:tblCellMar>
            <w:top w:w="0" w:type="dxa"/>
            <w:bottom w:w="0" w:type="dxa"/>
          </w:tblCellMar>
        </w:tblPrEx>
        <w:trPr>
          <w:jc w:val="center"/>
        </w:trPr>
        <w:tc>
          <w:tcPr>
            <w:tcW w:w="1217" w:type="dxa"/>
            <w:tcBorders>
              <w:bottom w:val="single" w:sz="4" w:space="0" w:color="auto"/>
            </w:tcBorders>
          </w:tcPr>
          <w:p w:rsidR="00000000" w:rsidRDefault="00000000">
            <w:pPr>
              <w:spacing w:after="0"/>
            </w:pPr>
            <w:r>
              <w:t>District</w:t>
            </w:r>
          </w:p>
        </w:tc>
        <w:tc>
          <w:tcPr>
            <w:tcW w:w="1018" w:type="dxa"/>
            <w:tcBorders>
              <w:bottom w:val="single" w:sz="4" w:space="0" w:color="auto"/>
            </w:tcBorders>
          </w:tcPr>
          <w:p w:rsidR="00000000" w:rsidRDefault="00000000">
            <w:pPr>
              <w:spacing w:after="0"/>
              <w:jc w:val="center"/>
            </w:pPr>
            <w:r>
              <w:t>8</w:t>
            </w:r>
            <w:r>
              <w:noBreakHyphen/>
              <w:t>year schools</w:t>
            </w:r>
          </w:p>
        </w:tc>
        <w:tc>
          <w:tcPr>
            <w:tcW w:w="1417" w:type="dxa"/>
            <w:tcBorders>
              <w:bottom w:val="single" w:sz="4" w:space="0" w:color="auto"/>
            </w:tcBorders>
          </w:tcPr>
          <w:p w:rsidR="00000000" w:rsidRDefault="00000000">
            <w:pPr>
              <w:spacing w:after="0"/>
              <w:jc w:val="center"/>
            </w:pPr>
            <w:r>
              <w:t>Elementary schools</w:t>
            </w:r>
          </w:p>
        </w:tc>
        <w:tc>
          <w:tcPr>
            <w:tcW w:w="992" w:type="dxa"/>
            <w:tcBorders>
              <w:bottom w:val="single" w:sz="4" w:space="0" w:color="auto"/>
            </w:tcBorders>
          </w:tcPr>
          <w:p w:rsidR="00000000" w:rsidRDefault="00000000">
            <w:pPr>
              <w:spacing w:after="0"/>
              <w:jc w:val="center"/>
            </w:pPr>
            <w:r>
              <w:t>Special classes</w:t>
            </w:r>
          </w:p>
        </w:tc>
        <w:tc>
          <w:tcPr>
            <w:tcW w:w="1276" w:type="dxa"/>
            <w:tcBorders>
              <w:bottom w:val="single" w:sz="4" w:space="0" w:color="auto"/>
            </w:tcBorders>
          </w:tcPr>
          <w:p w:rsidR="00000000" w:rsidRDefault="00000000">
            <w:pPr>
              <w:spacing w:after="0"/>
              <w:jc w:val="center"/>
            </w:pPr>
            <w:r>
              <w:t>Collective classes</w:t>
            </w:r>
          </w:p>
        </w:tc>
        <w:tc>
          <w:tcPr>
            <w:tcW w:w="1276" w:type="dxa"/>
            <w:tcBorders>
              <w:bottom w:val="single" w:sz="4" w:space="0" w:color="auto"/>
            </w:tcBorders>
          </w:tcPr>
          <w:p w:rsidR="00000000" w:rsidRDefault="00000000">
            <w:pPr>
              <w:spacing w:after="0"/>
              <w:jc w:val="center"/>
            </w:pPr>
            <w:r>
              <w:t>Number of students</w:t>
            </w:r>
          </w:p>
        </w:tc>
        <w:tc>
          <w:tcPr>
            <w:tcW w:w="1134" w:type="dxa"/>
            <w:tcBorders>
              <w:bottom w:val="single" w:sz="4" w:space="0" w:color="auto"/>
            </w:tcBorders>
          </w:tcPr>
          <w:p w:rsidR="00000000" w:rsidRDefault="00000000">
            <w:pPr>
              <w:spacing w:after="0"/>
              <w:jc w:val="center"/>
            </w:pPr>
            <w:r>
              <w:t>Minority teachers</w:t>
            </w:r>
          </w:p>
        </w:tc>
      </w:tr>
      <w:tr w:rsidR="00000000">
        <w:tblPrEx>
          <w:tblCellMar>
            <w:top w:w="0" w:type="dxa"/>
            <w:bottom w:w="0" w:type="dxa"/>
          </w:tblCellMar>
        </w:tblPrEx>
        <w:trPr>
          <w:jc w:val="center"/>
        </w:trPr>
        <w:tc>
          <w:tcPr>
            <w:tcW w:w="1217" w:type="dxa"/>
            <w:tcBorders>
              <w:bottom w:val="nil"/>
            </w:tcBorders>
          </w:tcPr>
          <w:p w:rsidR="00000000" w:rsidRDefault="00000000">
            <w:pPr>
              <w:spacing w:after="0"/>
            </w:pPr>
            <w:r>
              <w:t>Korça</w:t>
            </w:r>
          </w:p>
        </w:tc>
        <w:tc>
          <w:tcPr>
            <w:tcW w:w="1018" w:type="dxa"/>
            <w:tcBorders>
              <w:bottom w:val="nil"/>
            </w:tcBorders>
          </w:tcPr>
          <w:p w:rsidR="00000000" w:rsidRDefault="00000000">
            <w:pPr>
              <w:tabs>
                <w:tab w:val="decimal" w:pos="430"/>
              </w:tabs>
              <w:spacing w:after="0"/>
            </w:pPr>
            <w:r>
              <w:t>2</w:t>
            </w:r>
          </w:p>
        </w:tc>
        <w:tc>
          <w:tcPr>
            <w:tcW w:w="1417" w:type="dxa"/>
            <w:tcBorders>
              <w:bottom w:val="nil"/>
            </w:tcBorders>
          </w:tcPr>
          <w:p w:rsidR="00000000" w:rsidRDefault="00000000">
            <w:pPr>
              <w:spacing w:after="0"/>
              <w:jc w:val="center"/>
            </w:pPr>
            <w:r>
              <w:t>7</w:t>
            </w:r>
          </w:p>
        </w:tc>
        <w:tc>
          <w:tcPr>
            <w:tcW w:w="992" w:type="dxa"/>
            <w:tcBorders>
              <w:bottom w:val="nil"/>
            </w:tcBorders>
          </w:tcPr>
          <w:p w:rsidR="00000000" w:rsidRDefault="00000000">
            <w:pPr>
              <w:tabs>
                <w:tab w:val="decimal" w:pos="430"/>
              </w:tabs>
              <w:spacing w:after="0"/>
            </w:pPr>
            <w:r>
              <w:t>15</w:t>
            </w:r>
          </w:p>
        </w:tc>
        <w:tc>
          <w:tcPr>
            <w:tcW w:w="1276" w:type="dxa"/>
            <w:tcBorders>
              <w:bottom w:val="nil"/>
            </w:tcBorders>
          </w:tcPr>
          <w:p w:rsidR="00000000" w:rsidRDefault="00000000">
            <w:pPr>
              <w:pStyle w:val="Header"/>
              <w:tabs>
                <w:tab w:val="clear" w:pos="4320"/>
                <w:tab w:val="clear" w:pos="8640"/>
                <w:tab w:val="decimal" w:pos="547"/>
              </w:tabs>
              <w:spacing w:after="0"/>
            </w:pPr>
            <w:r>
              <w:t>11</w:t>
            </w:r>
          </w:p>
        </w:tc>
        <w:tc>
          <w:tcPr>
            <w:tcW w:w="1276" w:type="dxa"/>
            <w:tcBorders>
              <w:bottom w:val="nil"/>
            </w:tcBorders>
          </w:tcPr>
          <w:p w:rsidR="00000000" w:rsidRDefault="00000000">
            <w:pPr>
              <w:pStyle w:val="Header"/>
              <w:tabs>
                <w:tab w:val="clear" w:pos="4320"/>
                <w:tab w:val="clear" w:pos="8640"/>
                <w:tab w:val="decimal" w:pos="689"/>
              </w:tabs>
              <w:spacing w:after="0"/>
            </w:pPr>
            <w:r>
              <w:t>511</w:t>
            </w:r>
          </w:p>
        </w:tc>
        <w:tc>
          <w:tcPr>
            <w:tcW w:w="1134" w:type="dxa"/>
            <w:tcBorders>
              <w:bottom w:val="nil"/>
            </w:tcBorders>
          </w:tcPr>
          <w:p w:rsidR="00000000" w:rsidRDefault="00000000">
            <w:pPr>
              <w:pStyle w:val="Header"/>
              <w:tabs>
                <w:tab w:val="clear" w:pos="4320"/>
                <w:tab w:val="clear" w:pos="8640"/>
                <w:tab w:val="decimal" w:pos="547"/>
              </w:tabs>
              <w:spacing w:after="0"/>
            </w:pPr>
            <w:r>
              <w:t>42</w:t>
            </w:r>
          </w:p>
        </w:tc>
      </w:tr>
      <w:tr w:rsidR="00000000">
        <w:tblPrEx>
          <w:tblCellMar>
            <w:top w:w="0" w:type="dxa"/>
            <w:bottom w:w="0" w:type="dxa"/>
          </w:tblCellMar>
        </w:tblPrEx>
        <w:trPr>
          <w:jc w:val="center"/>
        </w:trPr>
        <w:tc>
          <w:tcPr>
            <w:tcW w:w="1217" w:type="dxa"/>
            <w:tcBorders>
              <w:top w:val="nil"/>
            </w:tcBorders>
          </w:tcPr>
          <w:p w:rsidR="00000000" w:rsidRDefault="00000000">
            <w:pPr>
              <w:spacing w:after="0"/>
            </w:pPr>
            <w:r>
              <w:t>Devoll</w:t>
            </w:r>
          </w:p>
        </w:tc>
        <w:tc>
          <w:tcPr>
            <w:tcW w:w="1018" w:type="dxa"/>
            <w:tcBorders>
              <w:top w:val="nil"/>
            </w:tcBorders>
          </w:tcPr>
          <w:p w:rsidR="00000000" w:rsidRDefault="00000000">
            <w:pPr>
              <w:tabs>
                <w:tab w:val="decimal" w:pos="430"/>
              </w:tabs>
              <w:spacing w:after="0"/>
            </w:pPr>
            <w:r>
              <w:noBreakHyphen/>
            </w:r>
          </w:p>
        </w:tc>
        <w:tc>
          <w:tcPr>
            <w:tcW w:w="1417" w:type="dxa"/>
            <w:tcBorders>
              <w:top w:val="nil"/>
            </w:tcBorders>
          </w:tcPr>
          <w:p w:rsidR="00000000" w:rsidRDefault="00000000">
            <w:pPr>
              <w:spacing w:after="0"/>
              <w:jc w:val="center"/>
            </w:pPr>
            <w:r>
              <w:t>1</w:t>
            </w:r>
          </w:p>
        </w:tc>
        <w:tc>
          <w:tcPr>
            <w:tcW w:w="992" w:type="dxa"/>
            <w:tcBorders>
              <w:top w:val="nil"/>
            </w:tcBorders>
          </w:tcPr>
          <w:p w:rsidR="00000000" w:rsidRDefault="00000000">
            <w:pPr>
              <w:tabs>
                <w:tab w:val="decimal" w:pos="430"/>
              </w:tabs>
              <w:spacing w:after="0"/>
            </w:pPr>
            <w:r>
              <w:noBreakHyphen/>
            </w:r>
          </w:p>
        </w:tc>
        <w:tc>
          <w:tcPr>
            <w:tcW w:w="1276" w:type="dxa"/>
            <w:tcBorders>
              <w:top w:val="nil"/>
            </w:tcBorders>
          </w:tcPr>
          <w:p w:rsidR="00000000" w:rsidRDefault="00000000">
            <w:pPr>
              <w:tabs>
                <w:tab w:val="decimal" w:pos="547"/>
              </w:tabs>
              <w:spacing w:after="0"/>
            </w:pPr>
            <w:r>
              <w:t>1</w:t>
            </w:r>
          </w:p>
        </w:tc>
        <w:tc>
          <w:tcPr>
            <w:tcW w:w="1276" w:type="dxa"/>
            <w:tcBorders>
              <w:top w:val="nil"/>
            </w:tcBorders>
          </w:tcPr>
          <w:p w:rsidR="00000000" w:rsidRDefault="00000000">
            <w:pPr>
              <w:tabs>
                <w:tab w:val="decimal" w:pos="689"/>
              </w:tabs>
              <w:spacing w:after="0"/>
            </w:pPr>
            <w:r>
              <w:t>11</w:t>
            </w:r>
          </w:p>
        </w:tc>
        <w:tc>
          <w:tcPr>
            <w:tcW w:w="1134" w:type="dxa"/>
            <w:tcBorders>
              <w:top w:val="nil"/>
            </w:tcBorders>
          </w:tcPr>
          <w:p w:rsidR="00000000" w:rsidRDefault="00000000">
            <w:pPr>
              <w:tabs>
                <w:tab w:val="decimal" w:pos="547"/>
              </w:tabs>
              <w:spacing w:after="0"/>
            </w:pPr>
            <w:r>
              <w:t>1</w:t>
            </w:r>
          </w:p>
        </w:tc>
      </w:tr>
      <w:tr w:rsidR="00000000">
        <w:tblPrEx>
          <w:tblCellMar>
            <w:top w:w="0" w:type="dxa"/>
            <w:bottom w:w="0" w:type="dxa"/>
          </w:tblCellMar>
        </w:tblPrEx>
        <w:trPr>
          <w:jc w:val="center"/>
        </w:trPr>
        <w:tc>
          <w:tcPr>
            <w:tcW w:w="1217" w:type="dxa"/>
          </w:tcPr>
          <w:p w:rsidR="00000000" w:rsidRDefault="00000000">
            <w:pPr>
              <w:pStyle w:val="Header"/>
              <w:tabs>
                <w:tab w:val="clear" w:pos="4320"/>
                <w:tab w:val="clear" w:pos="8640"/>
              </w:tabs>
              <w:spacing w:after="0"/>
            </w:pPr>
            <w:r>
              <w:t xml:space="preserve">     Total</w:t>
            </w:r>
          </w:p>
        </w:tc>
        <w:tc>
          <w:tcPr>
            <w:tcW w:w="1018" w:type="dxa"/>
          </w:tcPr>
          <w:p w:rsidR="00000000" w:rsidRDefault="00000000">
            <w:pPr>
              <w:tabs>
                <w:tab w:val="decimal" w:pos="430"/>
              </w:tabs>
              <w:spacing w:after="0"/>
            </w:pPr>
            <w:r>
              <w:t>2</w:t>
            </w:r>
          </w:p>
        </w:tc>
        <w:tc>
          <w:tcPr>
            <w:tcW w:w="1417" w:type="dxa"/>
          </w:tcPr>
          <w:p w:rsidR="00000000" w:rsidRDefault="00000000">
            <w:pPr>
              <w:spacing w:after="0"/>
              <w:jc w:val="center"/>
            </w:pPr>
            <w:r>
              <w:t>8</w:t>
            </w:r>
          </w:p>
        </w:tc>
        <w:tc>
          <w:tcPr>
            <w:tcW w:w="992" w:type="dxa"/>
          </w:tcPr>
          <w:p w:rsidR="00000000" w:rsidRDefault="00000000">
            <w:pPr>
              <w:tabs>
                <w:tab w:val="decimal" w:pos="430"/>
              </w:tabs>
              <w:spacing w:after="0"/>
            </w:pPr>
            <w:r>
              <w:t>15</w:t>
            </w:r>
          </w:p>
        </w:tc>
        <w:tc>
          <w:tcPr>
            <w:tcW w:w="1276" w:type="dxa"/>
          </w:tcPr>
          <w:p w:rsidR="00000000" w:rsidRDefault="00000000">
            <w:pPr>
              <w:tabs>
                <w:tab w:val="decimal" w:pos="547"/>
              </w:tabs>
              <w:spacing w:after="0"/>
            </w:pPr>
            <w:r>
              <w:t>12</w:t>
            </w:r>
          </w:p>
        </w:tc>
        <w:tc>
          <w:tcPr>
            <w:tcW w:w="1276" w:type="dxa"/>
          </w:tcPr>
          <w:p w:rsidR="00000000" w:rsidRDefault="00000000">
            <w:pPr>
              <w:tabs>
                <w:tab w:val="decimal" w:pos="689"/>
              </w:tabs>
              <w:spacing w:after="0"/>
            </w:pPr>
            <w:r>
              <w:t>522</w:t>
            </w:r>
          </w:p>
        </w:tc>
        <w:tc>
          <w:tcPr>
            <w:tcW w:w="1134" w:type="dxa"/>
          </w:tcPr>
          <w:p w:rsidR="00000000" w:rsidRDefault="00000000">
            <w:pPr>
              <w:tabs>
                <w:tab w:val="decimal" w:pos="547"/>
              </w:tabs>
              <w:spacing w:after="0"/>
            </w:pPr>
            <w:r>
              <w:t>43</w:t>
            </w:r>
          </w:p>
        </w:tc>
      </w:tr>
    </w:tbl>
    <w:p w:rsidR="00000000" w:rsidRDefault="00000000">
      <w:pPr>
        <w:pStyle w:val="Heading2"/>
        <w:spacing w:before="240"/>
      </w:pPr>
    </w:p>
    <w:p w:rsidR="00000000" w:rsidRDefault="00000000">
      <w:pPr>
        <w:pStyle w:val="Heading2"/>
        <w:spacing w:before="240"/>
      </w:pPr>
      <w:r>
        <w:br w:type="page"/>
        <w:t>Table 61</w:t>
      </w:r>
    </w:p>
    <w:p w:rsidR="00000000" w:rsidRDefault="00000000">
      <w:pPr>
        <w:pStyle w:val="Heading2"/>
      </w:pPr>
      <w:r>
        <w:t>Pre</w:t>
      </w:r>
      <w:r>
        <w:noBreakHyphen/>
        <w:t>school education of the Macedonian minority in Albania</w:t>
      </w:r>
    </w:p>
    <w:tbl>
      <w:tblPr>
        <w:tblW w:w="6415" w:type="dxa"/>
        <w:jc w:val="center"/>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5"/>
        <w:gridCol w:w="1560"/>
        <w:gridCol w:w="1480"/>
        <w:gridCol w:w="1640"/>
      </w:tblGrid>
      <w:tr w:rsidR="00000000">
        <w:tblPrEx>
          <w:tblCellMar>
            <w:top w:w="0" w:type="dxa"/>
            <w:bottom w:w="0" w:type="dxa"/>
          </w:tblCellMar>
        </w:tblPrEx>
        <w:trPr>
          <w:jc w:val="center"/>
        </w:trPr>
        <w:tc>
          <w:tcPr>
            <w:tcW w:w="1735" w:type="dxa"/>
            <w:tcBorders>
              <w:bottom w:val="single" w:sz="4" w:space="0" w:color="auto"/>
            </w:tcBorders>
          </w:tcPr>
          <w:p w:rsidR="00000000" w:rsidRDefault="00000000">
            <w:pPr>
              <w:spacing w:after="0"/>
            </w:pPr>
            <w:r>
              <w:t>District</w:t>
            </w:r>
          </w:p>
        </w:tc>
        <w:tc>
          <w:tcPr>
            <w:tcW w:w="1560" w:type="dxa"/>
            <w:tcBorders>
              <w:bottom w:val="single" w:sz="4" w:space="0" w:color="auto"/>
            </w:tcBorders>
          </w:tcPr>
          <w:p w:rsidR="00000000" w:rsidRDefault="00000000">
            <w:pPr>
              <w:spacing w:after="0"/>
              <w:jc w:val="center"/>
            </w:pPr>
            <w:r>
              <w:t>Number of kindergartens</w:t>
            </w:r>
          </w:p>
        </w:tc>
        <w:tc>
          <w:tcPr>
            <w:tcW w:w="1480" w:type="dxa"/>
            <w:tcBorders>
              <w:bottom w:val="single" w:sz="4" w:space="0" w:color="auto"/>
            </w:tcBorders>
          </w:tcPr>
          <w:p w:rsidR="00000000" w:rsidRDefault="00000000">
            <w:pPr>
              <w:spacing w:after="0"/>
              <w:jc w:val="center"/>
            </w:pPr>
            <w:r>
              <w:t>Number of children</w:t>
            </w:r>
          </w:p>
        </w:tc>
        <w:tc>
          <w:tcPr>
            <w:tcW w:w="1640" w:type="dxa"/>
            <w:tcBorders>
              <w:bottom w:val="single" w:sz="4" w:space="0" w:color="auto"/>
            </w:tcBorders>
          </w:tcPr>
          <w:p w:rsidR="00000000" w:rsidRDefault="00000000">
            <w:pPr>
              <w:spacing w:after="0"/>
              <w:jc w:val="center"/>
            </w:pPr>
            <w:r>
              <w:t>Number of educators</w:t>
            </w:r>
          </w:p>
        </w:tc>
      </w:tr>
      <w:tr w:rsidR="00000000">
        <w:tblPrEx>
          <w:tblCellMar>
            <w:top w:w="0" w:type="dxa"/>
            <w:bottom w:w="0" w:type="dxa"/>
          </w:tblCellMar>
        </w:tblPrEx>
        <w:trPr>
          <w:jc w:val="center"/>
        </w:trPr>
        <w:tc>
          <w:tcPr>
            <w:tcW w:w="1735" w:type="dxa"/>
            <w:tcBorders>
              <w:bottom w:val="nil"/>
            </w:tcBorders>
          </w:tcPr>
          <w:p w:rsidR="00000000" w:rsidRDefault="00000000">
            <w:pPr>
              <w:spacing w:after="0"/>
            </w:pPr>
            <w:r>
              <w:t>Korça</w:t>
            </w:r>
          </w:p>
        </w:tc>
        <w:tc>
          <w:tcPr>
            <w:tcW w:w="1560" w:type="dxa"/>
            <w:tcBorders>
              <w:bottom w:val="nil"/>
            </w:tcBorders>
          </w:tcPr>
          <w:p w:rsidR="00000000" w:rsidRDefault="00000000">
            <w:pPr>
              <w:pStyle w:val="Header"/>
              <w:tabs>
                <w:tab w:val="clear" w:pos="4320"/>
                <w:tab w:val="clear" w:pos="8640"/>
              </w:tabs>
              <w:spacing w:after="0"/>
              <w:jc w:val="center"/>
            </w:pPr>
            <w:r>
              <w:t>8</w:t>
            </w:r>
          </w:p>
        </w:tc>
        <w:tc>
          <w:tcPr>
            <w:tcW w:w="1480" w:type="dxa"/>
            <w:tcBorders>
              <w:bottom w:val="nil"/>
            </w:tcBorders>
          </w:tcPr>
          <w:p w:rsidR="00000000" w:rsidRDefault="00000000">
            <w:pPr>
              <w:spacing w:after="0"/>
              <w:ind w:right="444"/>
              <w:jc w:val="right"/>
            </w:pPr>
            <w:r>
              <w:t>202</w:t>
            </w:r>
          </w:p>
        </w:tc>
        <w:tc>
          <w:tcPr>
            <w:tcW w:w="1640" w:type="dxa"/>
            <w:tcBorders>
              <w:bottom w:val="nil"/>
            </w:tcBorders>
          </w:tcPr>
          <w:p w:rsidR="00000000" w:rsidRDefault="00000000">
            <w:pPr>
              <w:spacing w:after="0"/>
              <w:ind w:right="577"/>
              <w:jc w:val="right"/>
            </w:pPr>
            <w:r>
              <w:t>11</w:t>
            </w:r>
          </w:p>
        </w:tc>
      </w:tr>
      <w:tr w:rsidR="00000000">
        <w:tblPrEx>
          <w:tblCellMar>
            <w:top w:w="0" w:type="dxa"/>
            <w:bottom w:w="0" w:type="dxa"/>
          </w:tblCellMar>
        </w:tblPrEx>
        <w:trPr>
          <w:jc w:val="center"/>
        </w:trPr>
        <w:tc>
          <w:tcPr>
            <w:tcW w:w="1735" w:type="dxa"/>
            <w:tcBorders>
              <w:top w:val="nil"/>
            </w:tcBorders>
          </w:tcPr>
          <w:p w:rsidR="00000000" w:rsidRDefault="00000000">
            <w:pPr>
              <w:spacing w:after="0"/>
            </w:pPr>
            <w:r>
              <w:t>Devoll</w:t>
            </w:r>
          </w:p>
        </w:tc>
        <w:tc>
          <w:tcPr>
            <w:tcW w:w="1560" w:type="dxa"/>
            <w:tcBorders>
              <w:top w:val="nil"/>
            </w:tcBorders>
          </w:tcPr>
          <w:p w:rsidR="00000000" w:rsidRDefault="00000000">
            <w:pPr>
              <w:spacing w:after="0"/>
              <w:jc w:val="center"/>
            </w:pPr>
            <w:r>
              <w:t>1</w:t>
            </w:r>
          </w:p>
        </w:tc>
        <w:tc>
          <w:tcPr>
            <w:tcW w:w="1480" w:type="dxa"/>
            <w:tcBorders>
              <w:top w:val="nil"/>
            </w:tcBorders>
          </w:tcPr>
          <w:p w:rsidR="00000000" w:rsidRDefault="00000000">
            <w:pPr>
              <w:spacing w:after="0"/>
              <w:ind w:right="444"/>
              <w:jc w:val="right"/>
            </w:pPr>
            <w:r>
              <w:t>13</w:t>
            </w:r>
          </w:p>
        </w:tc>
        <w:tc>
          <w:tcPr>
            <w:tcW w:w="1640" w:type="dxa"/>
            <w:tcBorders>
              <w:top w:val="nil"/>
            </w:tcBorders>
          </w:tcPr>
          <w:p w:rsidR="00000000" w:rsidRDefault="00000000">
            <w:pPr>
              <w:spacing w:after="0"/>
              <w:ind w:right="577"/>
              <w:jc w:val="right"/>
            </w:pPr>
            <w:r>
              <w:t>1</w:t>
            </w:r>
          </w:p>
        </w:tc>
      </w:tr>
      <w:tr w:rsidR="00000000">
        <w:tblPrEx>
          <w:tblCellMar>
            <w:top w:w="0" w:type="dxa"/>
            <w:bottom w:w="0" w:type="dxa"/>
          </w:tblCellMar>
        </w:tblPrEx>
        <w:trPr>
          <w:jc w:val="center"/>
        </w:trPr>
        <w:tc>
          <w:tcPr>
            <w:tcW w:w="1735" w:type="dxa"/>
          </w:tcPr>
          <w:p w:rsidR="00000000" w:rsidRDefault="00000000">
            <w:pPr>
              <w:pStyle w:val="Header"/>
              <w:tabs>
                <w:tab w:val="clear" w:pos="4320"/>
                <w:tab w:val="clear" w:pos="8640"/>
              </w:tabs>
              <w:spacing w:after="0"/>
            </w:pPr>
            <w:r>
              <w:t xml:space="preserve">     Total</w:t>
            </w:r>
          </w:p>
        </w:tc>
        <w:tc>
          <w:tcPr>
            <w:tcW w:w="1560" w:type="dxa"/>
          </w:tcPr>
          <w:p w:rsidR="00000000" w:rsidRDefault="00000000">
            <w:pPr>
              <w:spacing w:after="0"/>
              <w:jc w:val="center"/>
            </w:pPr>
            <w:r>
              <w:t>9</w:t>
            </w:r>
          </w:p>
        </w:tc>
        <w:tc>
          <w:tcPr>
            <w:tcW w:w="1480" w:type="dxa"/>
          </w:tcPr>
          <w:p w:rsidR="00000000" w:rsidRDefault="00000000">
            <w:pPr>
              <w:spacing w:after="0"/>
              <w:ind w:right="444"/>
              <w:jc w:val="right"/>
            </w:pPr>
            <w:r>
              <w:t>215</w:t>
            </w:r>
          </w:p>
        </w:tc>
        <w:tc>
          <w:tcPr>
            <w:tcW w:w="1640" w:type="dxa"/>
          </w:tcPr>
          <w:p w:rsidR="00000000" w:rsidRDefault="00000000">
            <w:pPr>
              <w:spacing w:after="0"/>
              <w:ind w:right="577"/>
              <w:jc w:val="right"/>
            </w:pPr>
            <w:r>
              <w:t>12</w:t>
            </w:r>
          </w:p>
        </w:tc>
      </w:tr>
    </w:tbl>
    <w:p w:rsidR="00000000" w:rsidRDefault="00000000">
      <w:pPr>
        <w:pStyle w:val="Heading2"/>
        <w:spacing w:before="240"/>
      </w:pPr>
      <w:r>
        <w:t>Table 62</w:t>
      </w:r>
    </w:p>
    <w:p w:rsidR="00000000" w:rsidRDefault="00000000">
      <w:pPr>
        <w:pStyle w:val="Heading2"/>
      </w:pPr>
      <w:r>
        <w:t>Secondary education of Greek and Macedonian minorities in Albania</w:t>
      </w:r>
    </w:p>
    <w:tbl>
      <w:tblPr>
        <w:tblW w:w="8414" w:type="dxa"/>
        <w:jc w:val="center"/>
        <w:tblInd w:w="-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8"/>
        <w:gridCol w:w="1433"/>
        <w:gridCol w:w="1543"/>
        <w:gridCol w:w="1276"/>
        <w:gridCol w:w="1134"/>
      </w:tblGrid>
      <w:tr w:rsidR="00000000">
        <w:tblPrEx>
          <w:tblCellMar>
            <w:top w:w="0" w:type="dxa"/>
            <w:bottom w:w="0" w:type="dxa"/>
          </w:tblCellMar>
        </w:tblPrEx>
        <w:trPr>
          <w:jc w:val="center"/>
        </w:trPr>
        <w:tc>
          <w:tcPr>
            <w:tcW w:w="3028" w:type="dxa"/>
            <w:tcBorders>
              <w:bottom w:val="single" w:sz="4" w:space="0" w:color="auto"/>
            </w:tcBorders>
          </w:tcPr>
          <w:p w:rsidR="00000000" w:rsidRDefault="00000000">
            <w:pPr>
              <w:spacing w:after="0"/>
            </w:pPr>
            <w:r>
              <w:t>District</w:t>
            </w:r>
          </w:p>
        </w:tc>
        <w:tc>
          <w:tcPr>
            <w:tcW w:w="1433" w:type="dxa"/>
            <w:tcBorders>
              <w:bottom w:val="single" w:sz="4" w:space="0" w:color="auto"/>
            </w:tcBorders>
          </w:tcPr>
          <w:p w:rsidR="00000000" w:rsidRDefault="00000000">
            <w:pPr>
              <w:spacing w:after="0"/>
              <w:jc w:val="center"/>
            </w:pPr>
            <w:r>
              <w:t>General high schools</w:t>
            </w:r>
          </w:p>
        </w:tc>
        <w:tc>
          <w:tcPr>
            <w:tcW w:w="1543" w:type="dxa"/>
            <w:tcBorders>
              <w:bottom w:val="single" w:sz="4" w:space="0" w:color="auto"/>
            </w:tcBorders>
          </w:tcPr>
          <w:p w:rsidR="00000000" w:rsidRDefault="00000000">
            <w:pPr>
              <w:spacing w:after="0"/>
              <w:jc w:val="center"/>
            </w:pPr>
            <w:r>
              <w:t>Number of students</w:t>
            </w:r>
          </w:p>
        </w:tc>
        <w:tc>
          <w:tcPr>
            <w:tcW w:w="1276" w:type="dxa"/>
            <w:tcBorders>
              <w:bottom w:val="single" w:sz="4" w:space="0" w:color="auto"/>
            </w:tcBorders>
          </w:tcPr>
          <w:p w:rsidR="00000000" w:rsidRDefault="00000000">
            <w:pPr>
              <w:spacing w:after="0"/>
              <w:jc w:val="center"/>
            </w:pPr>
            <w:r>
              <w:t>Minority teachers</w:t>
            </w:r>
          </w:p>
        </w:tc>
        <w:tc>
          <w:tcPr>
            <w:tcW w:w="1134" w:type="dxa"/>
            <w:tcBorders>
              <w:bottom w:val="single" w:sz="4" w:space="0" w:color="auto"/>
            </w:tcBorders>
          </w:tcPr>
          <w:p w:rsidR="00000000" w:rsidRDefault="00000000">
            <w:pPr>
              <w:spacing w:after="0"/>
              <w:jc w:val="center"/>
            </w:pPr>
            <w:r>
              <w:t>Albanian teachers</w:t>
            </w:r>
          </w:p>
        </w:tc>
      </w:tr>
      <w:tr w:rsidR="00000000">
        <w:tblPrEx>
          <w:tblCellMar>
            <w:top w:w="0" w:type="dxa"/>
            <w:bottom w:w="0" w:type="dxa"/>
          </w:tblCellMar>
        </w:tblPrEx>
        <w:trPr>
          <w:jc w:val="center"/>
        </w:trPr>
        <w:tc>
          <w:tcPr>
            <w:tcW w:w="3028" w:type="dxa"/>
            <w:tcBorders>
              <w:bottom w:val="nil"/>
            </w:tcBorders>
          </w:tcPr>
          <w:p w:rsidR="00000000" w:rsidRDefault="00000000">
            <w:pPr>
              <w:spacing w:after="0"/>
            </w:pPr>
            <w:r>
              <w:t>Gjirokastra</w:t>
            </w:r>
          </w:p>
        </w:tc>
        <w:tc>
          <w:tcPr>
            <w:tcW w:w="1433" w:type="dxa"/>
            <w:tcBorders>
              <w:bottom w:val="nil"/>
            </w:tcBorders>
          </w:tcPr>
          <w:p w:rsidR="00000000" w:rsidRDefault="00000000">
            <w:pPr>
              <w:tabs>
                <w:tab w:val="decimal" w:pos="617"/>
              </w:tabs>
              <w:spacing w:after="0"/>
            </w:pPr>
            <w:r>
              <w:t>2</w:t>
            </w:r>
          </w:p>
        </w:tc>
        <w:tc>
          <w:tcPr>
            <w:tcW w:w="1543" w:type="dxa"/>
            <w:tcBorders>
              <w:bottom w:val="nil"/>
            </w:tcBorders>
          </w:tcPr>
          <w:p w:rsidR="00000000" w:rsidRDefault="00000000">
            <w:pPr>
              <w:tabs>
                <w:tab w:val="decimal" w:pos="617"/>
              </w:tabs>
              <w:spacing w:after="0"/>
            </w:pPr>
            <w:r>
              <w:t>81</w:t>
            </w:r>
          </w:p>
        </w:tc>
        <w:tc>
          <w:tcPr>
            <w:tcW w:w="1276" w:type="dxa"/>
            <w:tcBorders>
              <w:bottom w:val="nil"/>
            </w:tcBorders>
          </w:tcPr>
          <w:p w:rsidR="00000000" w:rsidRDefault="00000000">
            <w:pPr>
              <w:tabs>
                <w:tab w:val="decimal" w:pos="617"/>
              </w:tabs>
              <w:spacing w:after="0"/>
            </w:pPr>
            <w:r>
              <w:t>110</w:t>
            </w:r>
          </w:p>
        </w:tc>
        <w:tc>
          <w:tcPr>
            <w:tcW w:w="1134" w:type="dxa"/>
            <w:tcBorders>
              <w:bottom w:val="nil"/>
            </w:tcBorders>
          </w:tcPr>
          <w:p w:rsidR="00000000" w:rsidRDefault="00000000">
            <w:pPr>
              <w:tabs>
                <w:tab w:val="decimal" w:pos="617"/>
              </w:tabs>
              <w:spacing w:after="0"/>
            </w:pPr>
            <w:r>
              <w:t>9</w:t>
            </w:r>
          </w:p>
        </w:tc>
      </w:tr>
      <w:tr w:rsidR="00000000">
        <w:tblPrEx>
          <w:tblCellMar>
            <w:top w:w="0" w:type="dxa"/>
            <w:bottom w:w="0" w:type="dxa"/>
          </w:tblCellMar>
        </w:tblPrEx>
        <w:trPr>
          <w:jc w:val="center"/>
        </w:trPr>
        <w:tc>
          <w:tcPr>
            <w:tcW w:w="3028" w:type="dxa"/>
            <w:tcBorders>
              <w:top w:val="nil"/>
              <w:bottom w:val="nil"/>
            </w:tcBorders>
          </w:tcPr>
          <w:p w:rsidR="00000000" w:rsidRDefault="00000000">
            <w:pPr>
              <w:spacing w:after="0"/>
            </w:pPr>
            <w:r>
              <w:t>Saranda</w:t>
            </w:r>
          </w:p>
        </w:tc>
        <w:tc>
          <w:tcPr>
            <w:tcW w:w="1433" w:type="dxa"/>
            <w:tcBorders>
              <w:top w:val="nil"/>
              <w:bottom w:val="nil"/>
            </w:tcBorders>
          </w:tcPr>
          <w:p w:rsidR="00000000" w:rsidRDefault="00000000">
            <w:pPr>
              <w:tabs>
                <w:tab w:val="decimal" w:pos="617"/>
              </w:tabs>
              <w:spacing w:after="0"/>
            </w:pPr>
            <w:r>
              <w:t>2</w:t>
            </w:r>
          </w:p>
        </w:tc>
        <w:tc>
          <w:tcPr>
            <w:tcW w:w="1543" w:type="dxa"/>
            <w:tcBorders>
              <w:top w:val="nil"/>
              <w:bottom w:val="nil"/>
            </w:tcBorders>
          </w:tcPr>
          <w:p w:rsidR="00000000" w:rsidRDefault="00000000">
            <w:pPr>
              <w:tabs>
                <w:tab w:val="decimal" w:pos="617"/>
              </w:tabs>
              <w:spacing w:after="0"/>
            </w:pPr>
            <w:r>
              <w:t>95</w:t>
            </w:r>
          </w:p>
        </w:tc>
        <w:tc>
          <w:tcPr>
            <w:tcW w:w="1276" w:type="dxa"/>
            <w:tcBorders>
              <w:top w:val="nil"/>
              <w:bottom w:val="nil"/>
            </w:tcBorders>
          </w:tcPr>
          <w:p w:rsidR="00000000" w:rsidRDefault="00000000">
            <w:pPr>
              <w:tabs>
                <w:tab w:val="decimal" w:pos="617"/>
              </w:tabs>
              <w:spacing w:after="0"/>
            </w:pPr>
            <w:r>
              <w:t>88</w:t>
            </w:r>
          </w:p>
        </w:tc>
        <w:tc>
          <w:tcPr>
            <w:tcW w:w="1134" w:type="dxa"/>
            <w:tcBorders>
              <w:top w:val="nil"/>
              <w:bottom w:val="nil"/>
            </w:tcBorders>
          </w:tcPr>
          <w:p w:rsidR="00000000" w:rsidRDefault="00000000">
            <w:pPr>
              <w:tabs>
                <w:tab w:val="decimal" w:pos="617"/>
              </w:tabs>
              <w:spacing w:after="0"/>
            </w:pPr>
            <w:r>
              <w:t>9</w:t>
            </w:r>
          </w:p>
        </w:tc>
      </w:tr>
      <w:tr w:rsidR="00000000">
        <w:tblPrEx>
          <w:tblCellMar>
            <w:top w:w="0" w:type="dxa"/>
            <w:bottom w:w="0" w:type="dxa"/>
          </w:tblCellMar>
        </w:tblPrEx>
        <w:trPr>
          <w:jc w:val="center"/>
        </w:trPr>
        <w:tc>
          <w:tcPr>
            <w:tcW w:w="3028" w:type="dxa"/>
            <w:tcBorders>
              <w:top w:val="nil"/>
              <w:bottom w:val="nil"/>
            </w:tcBorders>
          </w:tcPr>
          <w:p w:rsidR="00000000" w:rsidRDefault="00000000">
            <w:pPr>
              <w:spacing w:after="0"/>
            </w:pPr>
            <w:r>
              <w:t>Delvina</w:t>
            </w:r>
          </w:p>
        </w:tc>
        <w:tc>
          <w:tcPr>
            <w:tcW w:w="1433" w:type="dxa"/>
            <w:tcBorders>
              <w:top w:val="nil"/>
              <w:bottom w:val="nil"/>
            </w:tcBorders>
          </w:tcPr>
          <w:p w:rsidR="00000000" w:rsidRDefault="00000000">
            <w:pPr>
              <w:pStyle w:val="Header"/>
              <w:tabs>
                <w:tab w:val="clear" w:pos="4320"/>
                <w:tab w:val="clear" w:pos="8640"/>
                <w:tab w:val="decimal" w:pos="617"/>
              </w:tabs>
              <w:spacing w:after="0"/>
            </w:pPr>
            <w:r>
              <w:noBreakHyphen/>
            </w:r>
          </w:p>
        </w:tc>
        <w:tc>
          <w:tcPr>
            <w:tcW w:w="1543" w:type="dxa"/>
            <w:tcBorders>
              <w:top w:val="nil"/>
              <w:bottom w:val="nil"/>
            </w:tcBorders>
          </w:tcPr>
          <w:p w:rsidR="00000000" w:rsidRDefault="00000000">
            <w:pPr>
              <w:pStyle w:val="Header"/>
              <w:tabs>
                <w:tab w:val="clear" w:pos="4320"/>
                <w:tab w:val="clear" w:pos="8640"/>
                <w:tab w:val="decimal" w:pos="617"/>
              </w:tabs>
              <w:spacing w:after="0"/>
            </w:pPr>
            <w:r>
              <w:noBreakHyphen/>
            </w:r>
          </w:p>
        </w:tc>
        <w:tc>
          <w:tcPr>
            <w:tcW w:w="1276" w:type="dxa"/>
            <w:tcBorders>
              <w:top w:val="nil"/>
              <w:bottom w:val="nil"/>
            </w:tcBorders>
          </w:tcPr>
          <w:p w:rsidR="00000000" w:rsidRDefault="00000000">
            <w:pPr>
              <w:tabs>
                <w:tab w:val="decimal" w:pos="617"/>
              </w:tabs>
              <w:spacing w:after="0"/>
            </w:pPr>
            <w:r>
              <w:t>51</w:t>
            </w:r>
          </w:p>
        </w:tc>
        <w:tc>
          <w:tcPr>
            <w:tcW w:w="1134" w:type="dxa"/>
            <w:tcBorders>
              <w:top w:val="nil"/>
              <w:bottom w:val="nil"/>
            </w:tcBorders>
          </w:tcPr>
          <w:p w:rsidR="00000000" w:rsidRDefault="00000000">
            <w:pPr>
              <w:tabs>
                <w:tab w:val="decimal" w:pos="617"/>
              </w:tabs>
              <w:spacing w:after="0"/>
            </w:pPr>
            <w:r>
              <w:t>12</w:t>
            </w:r>
          </w:p>
        </w:tc>
      </w:tr>
      <w:tr w:rsidR="00000000">
        <w:tblPrEx>
          <w:tblCellMar>
            <w:top w:w="0" w:type="dxa"/>
            <w:bottom w:w="0" w:type="dxa"/>
          </w:tblCellMar>
        </w:tblPrEx>
        <w:trPr>
          <w:jc w:val="center"/>
        </w:trPr>
        <w:tc>
          <w:tcPr>
            <w:tcW w:w="3028" w:type="dxa"/>
            <w:tcBorders>
              <w:top w:val="nil"/>
              <w:bottom w:val="nil"/>
            </w:tcBorders>
          </w:tcPr>
          <w:p w:rsidR="00000000" w:rsidRDefault="00000000">
            <w:pPr>
              <w:spacing w:after="0"/>
            </w:pPr>
            <w:r>
              <w:t>Korça</w:t>
            </w:r>
          </w:p>
        </w:tc>
        <w:tc>
          <w:tcPr>
            <w:tcW w:w="1433" w:type="dxa"/>
            <w:tcBorders>
              <w:top w:val="nil"/>
              <w:bottom w:val="nil"/>
            </w:tcBorders>
          </w:tcPr>
          <w:p w:rsidR="00000000" w:rsidRDefault="00000000">
            <w:pPr>
              <w:tabs>
                <w:tab w:val="decimal" w:pos="617"/>
              </w:tabs>
              <w:spacing w:after="0"/>
            </w:pPr>
            <w:r>
              <w:t>1</w:t>
            </w:r>
          </w:p>
        </w:tc>
        <w:tc>
          <w:tcPr>
            <w:tcW w:w="1543" w:type="dxa"/>
            <w:tcBorders>
              <w:top w:val="nil"/>
              <w:bottom w:val="nil"/>
            </w:tcBorders>
          </w:tcPr>
          <w:p w:rsidR="00000000" w:rsidRDefault="00000000">
            <w:pPr>
              <w:tabs>
                <w:tab w:val="decimal" w:pos="617"/>
              </w:tabs>
              <w:spacing w:after="0"/>
            </w:pPr>
            <w:r>
              <w:t>182</w:t>
            </w:r>
          </w:p>
        </w:tc>
        <w:tc>
          <w:tcPr>
            <w:tcW w:w="1276" w:type="dxa"/>
            <w:tcBorders>
              <w:top w:val="nil"/>
              <w:bottom w:val="nil"/>
            </w:tcBorders>
          </w:tcPr>
          <w:p w:rsidR="00000000" w:rsidRDefault="00000000">
            <w:pPr>
              <w:tabs>
                <w:tab w:val="decimal" w:pos="617"/>
              </w:tabs>
              <w:spacing w:after="0"/>
            </w:pPr>
            <w:r>
              <w:t>2</w:t>
            </w:r>
          </w:p>
        </w:tc>
        <w:tc>
          <w:tcPr>
            <w:tcW w:w="1134" w:type="dxa"/>
            <w:tcBorders>
              <w:top w:val="nil"/>
              <w:bottom w:val="nil"/>
            </w:tcBorders>
          </w:tcPr>
          <w:p w:rsidR="00000000" w:rsidRDefault="00000000">
            <w:pPr>
              <w:tabs>
                <w:tab w:val="decimal" w:pos="617"/>
              </w:tabs>
              <w:spacing w:after="0"/>
            </w:pPr>
            <w:r>
              <w:noBreakHyphen/>
            </w:r>
          </w:p>
        </w:tc>
      </w:tr>
      <w:tr w:rsidR="00000000">
        <w:tblPrEx>
          <w:tblCellMar>
            <w:top w:w="0" w:type="dxa"/>
            <w:bottom w:w="0" w:type="dxa"/>
          </w:tblCellMar>
        </w:tblPrEx>
        <w:trPr>
          <w:jc w:val="center"/>
        </w:trPr>
        <w:tc>
          <w:tcPr>
            <w:tcW w:w="3028" w:type="dxa"/>
            <w:tcBorders>
              <w:top w:val="nil"/>
              <w:bottom w:val="nil"/>
            </w:tcBorders>
          </w:tcPr>
          <w:p w:rsidR="00000000" w:rsidRDefault="00000000">
            <w:pPr>
              <w:spacing w:after="0"/>
            </w:pPr>
            <w:r>
              <w:t>Total</w:t>
            </w:r>
          </w:p>
        </w:tc>
        <w:tc>
          <w:tcPr>
            <w:tcW w:w="1433" w:type="dxa"/>
            <w:tcBorders>
              <w:top w:val="nil"/>
              <w:bottom w:val="nil"/>
            </w:tcBorders>
          </w:tcPr>
          <w:p w:rsidR="00000000" w:rsidRDefault="00000000">
            <w:pPr>
              <w:tabs>
                <w:tab w:val="decimal" w:pos="617"/>
              </w:tabs>
              <w:spacing w:after="0"/>
            </w:pPr>
            <w:r>
              <w:t>5</w:t>
            </w:r>
          </w:p>
        </w:tc>
        <w:tc>
          <w:tcPr>
            <w:tcW w:w="1543" w:type="dxa"/>
            <w:tcBorders>
              <w:top w:val="nil"/>
              <w:bottom w:val="nil"/>
            </w:tcBorders>
          </w:tcPr>
          <w:p w:rsidR="00000000" w:rsidRDefault="00000000">
            <w:pPr>
              <w:tabs>
                <w:tab w:val="decimal" w:pos="617"/>
              </w:tabs>
              <w:spacing w:after="0"/>
            </w:pPr>
            <w:r>
              <w:t>358</w:t>
            </w:r>
          </w:p>
        </w:tc>
        <w:tc>
          <w:tcPr>
            <w:tcW w:w="1276" w:type="dxa"/>
            <w:tcBorders>
              <w:top w:val="nil"/>
              <w:bottom w:val="nil"/>
            </w:tcBorders>
          </w:tcPr>
          <w:p w:rsidR="00000000" w:rsidRDefault="00000000">
            <w:pPr>
              <w:tabs>
                <w:tab w:val="decimal" w:pos="617"/>
              </w:tabs>
              <w:spacing w:after="0"/>
            </w:pPr>
            <w:r>
              <w:t>251</w:t>
            </w:r>
          </w:p>
        </w:tc>
        <w:tc>
          <w:tcPr>
            <w:tcW w:w="1134" w:type="dxa"/>
            <w:tcBorders>
              <w:top w:val="nil"/>
              <w:bottom w:val="nil"/>
            </w:tcBorders>
          </w:tcPr>
          <w:p w:rsidR="00000000" w:rsidRDefault="00000000">
            <w:pPr>
              <w:tabs>
                <w:tab w:val="decimal" w:pos="617"/>
              </w:tabs>
              <w:spacing w:after="0"/>
            </w:pPr>
            <w:r>
              <w:t>30</w:t>
            </w:r>
          </w:p>
        </w:tc>
      </w:tr>
      <w:tr w:rsidR="00000000">
        <w:tblPrEx>
          <w:tblCellMar>
            <w:top w:w="0" w:type="dxa"/>
            <w:bottom w:w="0" w:type="dxa"/>
          </w:tblCellMar>
        </w:tblPrEx>
        <w:trPr>
          <w:jc w:val="center"/>
        </w:trPr>
        <w:tc>
          <w:tcPr>
            <w:tcW w:w="3028" w:type="dxa"/>
            <w:tcBorders>
              <w:top w:val="nil"/>
            </w:tcBorders>
          </w:tcPr>
          <w:p w:rsidR="00000000" w:rsidRDefault="00000000">
            <w:pPr>
              <w:spacing w:after="0"/>
            </w:pPr>
            <w:r>
              <w:t>High Pedagogical School (teacher for minority branch)</w:t>
            </w:r>
          </w:p>
        </w:tc>
        <w:tc>
          <w:tcPr>
            <w:tcW w:w="1433" w:type="dxa"/>
            <w:tcBorders>
              <w:top w:val="nil"/>
            </w:tcBorders>
          </w:tcPr>
          <w:p w:rsidR="00000000" w:rsidRDefault="00000000">
            <w:pPr>
              <w:tabs>
                <w:tab w:val="decimal" w:pos="617"/>
              </w:tabs>
              <w:spacing w:after="0"/>
            </w:pPr>
          </w:p>
        </w:tc>
        <w:tc>
          <w:tcPr>
            <w:tcW w:w="1543" w:type="dxa"/>
            <w:tcBorders>
              <w:top w:val="nil"/>
            </w:tcBorders>
          </w:tcPr>
          <w:p w:rsidR="00000000" w:rsidRDefault="00000000">
            <w:pPr>
              <w:tabs>
                <w:tab w:val="decimal" w:pos="617"/>
              </w:tabs>
              <w:spacing w:after="0"/>
            </w:pPr>
            <w:r>
              <w:t>81</w:t>
            </w:r>
          </w:p>
        </w:tc>
        <w:tc>
          <w:tcPr>
            <w:tcW w:w="1276" w:type="dxa"/>
            <w:tcBorders>
              <w:top w:val="nil"/>
            </w:tcBorders>
          </w:tcPr>
          <w:p w:rsidR="00000000" w:rsidRDefault="00000000">
            <w:pPr>
              <w:tabs>
                <w:tab w:val="decimal" w:pos="617"/>
              </w:tabs>
              <w:spacing w:after="0"/>
            </w:pPr>
            <w:r>
              <w:t>8</w:t>
            </w:r>
          </w:p>
        </w:tc>
        <w:tc>
          <w:tcPr>
            <w:tcW w:w="1134" w:type="dxa"/>
            <w:tcBorders>
              <w:top w:val="nil"/>
            </w:tcBorders>
          </w:tcPr>
          <w:p w:rsidR="00000000" w:rsidRDefault="00000000">
            <w:pPr>
              <w:tabs>
                <w:tab w:val="decimal" w:pos="617"/>
              </w:tabs>
              <w:spacing w:after="0"/>
            </w:pPr>
            <w:r>
              <w:t>2</w:t>
            </w:r>
          </w:p>
        </w:tc>
      </w:tr>
    </w:tbl>
    <w:p w:rsidR="00000000" w:rsidRDefault="00000000">
      <w:pPr>
        <w:pStyle w:val="ParaNo"/>
        <w:tabs>
          <w:tab w:val="clear" w:pos="737"/>
        </w:tabs>
        <w:spacing w:before="240"/>
        <w:rPr>
          <w:lang w:val="en-GB"/>
        </w:rPr>
      </w:pPr>
      <w:r>
        <w:rPr>
          <w:lang w:val="en-GB"/>
        </w:rPr>
        <w:t>The ratio of pupils to teachers, for both minorities, is 6 to 1, whilst this ratio for Albanian schools of eight</w:t>
      </w:r>
      <w:r>
        <w:rPr>
          <w:lang w:val="en-GB"/>
        </w:rPr>
        <w:noBreakHyphen/>
        <w:t>year educational system is 19 pupils per teacher.  Educational directorates in districts where the schools of minorities are located have constantly aimed at keeping the contingent of pupils, in order to keep all these schools open for the minority.</w:t>
      </w:r>
    </w:p>
    <w:p w:rsidR="00000000" w:rsidRDefault="00000000">
      <w:pPr>
        <w:pStyle w:val="ParaNo"/>
        <w:tabs>
          <w:tab w:val="clear" w:pos="737"/>
        </w:tabs>
        <w:rPr>
          <w:lang w:val="en-GB"/>
        </w:rPr>
      </w:pPr>
      <w:r>
        <w:rPr>
          <w:lang w:val="en-GB"/>
        </w:rPr>
        <w:t>To date, there is no private educational institution in Albania established only for minority children whilst there are non</w:t>
      </w:r>
      <w:r>
        <w:rPr>
          <w:lang w:val="en-GB"/>
        </w:rPr>
        <w:noBreakHyphen/>
        <w:t>public eight</w:t>
      </w:r>
      <w:r>
        <w:rPr>
          <w:lang w:val="en-GB"/>
        </w:rPr>
        <w:noBreakHyphen/>
        <w:t>year schools attended by the minority children.  In Tirana, at the non</w:t>
      </w:r>
      <w:r>
        <w:rPr>
          <w:lang w:val="en-GB"/>
        </w:rPr>
        <w:noBreakHyphen/>
        <w:t>public educational institute “Arsakeio”, subjects in the Greek language are being taught such as:  Greek; environment/geography; health education; mythology</w:t>
      </w:r>
      <w:r>
        <w:rPr>
          <w:lang w:val="en-GB"/>
        </w:rPr>
        <w:noBreakHyphen/>
        <w:t>history; people’s traditions.</w:t>
      </w:r>
    </w:p>
    <w:p w:rsidR="00000000" w:rsidRDefault="00000000">
      <w:pPr>
        <w:pStyle w:val="ParaNo"/>
        <w:tabs>
          <w:tab w:val="clear" w:pos="737"/>
        </w:tabs>
        <w:rPr>
          <w:lang w:val="en-GB"/>
        </w:rPr>
      </w:pPr>
      <w:r>
        <w:rPr>
          <w:lang w:val="en-GB"/>
        </w:rPr>
        <w:t>The Ministry of Education and Science and educational directorates in districts where these schools function for minorities have continuously taken care to provide educational institutions for minorities with staff having the requisite professional education and qualifications.</w:t>
      </w:r>
    </w:p>
    <w:p w:rsidR="00000000" w:rsidRDefault="00000000">
      <w:pPr>
        <w:pStyle w:val="ParaNo"/>
        <w:tabs>
          <w:tab w:val="clear" w:pos="737"/>
        </w:tabs>
        <w:rPr>
          <w:lang w:val="en-GB"/>
        </w:rPr>
      </w:pPr>
      <w:r>
        <w:rPr>
          <w:lang w:val="en-GB"/>
        </w:rPr>
        <w:t>Moreover, the scientific and pedagogical qualification of teachers/professors and directors of schools for minorities have been continuously scrutinized.  Their qualifications have been one of the primary concerns for educational directorates in districts where minorities are living.  On the other hand, under the auspices of the Ministry of Education and Science and the Institute for Pedagogical Studies, various training workshops have been organized at the district or regional level, involving all the teachers from a minority, divided into districts by minority.</w:t>
      </w:r>
    </w:p>
    <w:p w:rsidR="00000000" w:rsidRDefault="00000000">
      <w:pPr>
        <w:pStyle w:val="ParaNo"/>
        <w:tabs>
          <w:tab w:val="clear" w:pos="737"/>
        </w:tabs>
        <w:rPr>
          <w:lang w:val="en-GB"/>
        </w:rPr>
      </w:pPr>
      <w:r>
        <w:rPr>
          <w:lang w:val="en-GB"/>
        </w:rPr>
        <w:t>In cooperation with homologous educational institutions of Greece and Macedonia, a number of trainings have been organized in the districts which have schools for minorities, as well as in neighbouring countries.  In addition, specialists and pedagogues from Greek and Macedonian educational institutions have come to Albania and have cooperated with Albanian minority specialists, pedagogues and teachers on organizing various training workshops.</w:t>
      </w:r>
    </w:p>
    <w:p w:rsidR="00000000" w:rsidRDefault="00000000">
      <w:pPr>
        <w:pStyle w:val="ParaNo"/>
        <w:tabs>
          <w:tab w:val="clear" w:pos="737"/>
        </w:tabs>
        <w:rPr>
          <w:lang w:val="en-GB"/>
        </w:rPr>
      </w:pPr>
      <w:r>
        <w:rPr>
          <w:lang w:val="en-GB"/>
        </w:rPr>
        <w:t>A number of Albanian and foreign associations, foundations and institutions have contributed to the organization of training activities and the provision of schools, with didactic and logistic equipment.</w:t>
      </w:r>
    </w:p>
    <w:p w:rsidR="00000000" w:rsidRDefault="00000000">
      <w:pPr>
        <w:pStyle w:val="ParaNo"/>
        <w:tabs>
          <w:tab w:val="clear" w:pos="737"/>
        </w:tabs>
        <w:rPr>
          <w:lang w:val="en-GB"/>
        </w:rPr>
      </w:pPr>
      <w:r>
        <w:rPr>
          <w:lang w:val="en-GB"/>
        </w:rPr>
        <w:t>The Ministry of Education and Science has paid special attention to increase continuously the quality and effectiveness of schools for minorities, emphasizing the progressive improvement of the curricula, syllabuses and school textbooks, the qualifications of teachers and professors, as well as the teaching and logistical support.</w:t>
      </w:r>
    </w:p>
    <w:p w:rsidR="00000000" w:rsidRDefault="00000000">
      <w:pPr>
        <w:pStyle w:val="ParaNo"/>
        <w:tabs>
          <w:tab w:val="clear" w:pos="737"/>
        </w:tabs>
        <w:rPr>
          <w:lang w:val="en-GB"/>
        </w:rPr>
      </w:pPr>
      <w:r>
        <w:rPr>
          <w:lang w:val="en-GB"/>
        </w:rPr>
        <w:t>Besides the above, there is also a network of schools that enable the foreigners to learn their native language, in pre</w:t>
      </w:r>
      <w:r>
        <w:rPr>
          <w:lang w:val="en-GB"/>
        </w:rPr>
        <w:noBreakHyphen/>
        <w:t>school institutions, eight</w:t>
      </w:r>
      <w:r>
        <w:rPr>
          <w:lang w:val="en-GB"/>
        </w:rPr>
        <w:noBreakHyphen/>
        <w:t>year schools, middle schools and in foreign</w:t>
      </w:r>
      <w:r>
        <w:rPr>
          <w:lang w:val="en-GB"/>
        </w:rPr>
        <w:noBreakHyphen/>
        <w:t>language branches of all the universities of country.  These institutions include:</w:t>
      </w:r>
    </w:p>
    <w:p w:rsidR="00000000" w:rsidRDefault="00000000">
      <w:pPr>
        <w:numPr>
          <w:ilvl w:val="0"/>
          <w:numId w:val="239"/>
        </w:numPr>
      </w:pPr>
      <w:r>
        <w:rPr>
          <w:i/>
          <w:iCs/>
        </w:rPr>
        <w:t>Gjerasim Qirjazi</w:t>
      </w:r>
      <w:r>
        <w:t xml:space="preserve"> (for the English language);</w:t>
      </w:r>
    </w:p>
    <w:p w:rsidR="00000000" w:rsidRDefault="00000000">
      <w:pPr>
        <w:numPr>
          <w:ilvl w:val="0"/>
          <w:numId w:val="239"/>
        </w:numPr>
      </w:pPr>
      <w:r>
        <w:rPr>
          <w:i/>
          <w:iCs/>
        </w:rPr>
        <w:t>Arsakeio</w:t>
      </w:r>
      <w:r>
        <w:t xml:space="preserve"> (for the Greek language);</w:t>
      </w:r>
    </w:p>
    <w:p w:rsidR="00000000" w:rsidRDefault="00000000">
      <w:pPr>
        <w:numPr>
          <w:ilvl w:val="0"/>
          <w:numId w:val="239"/>
        </w:numPr>
      </w:pPr>
      <w:r>
        <w:rPr>
          <w:i/>
          <w:iCs/>
        </w:rPr>
        <w:t>Turgut Ozal</w:t>
      </w:r>
      <w:r>
        <w:t xml:space="preserve"> (for the Turkish language);</w:t>
      </w:r>
    </w:p>
    <w:p w:rsidR="00000000" w:rsidRDefault="00000000">
      <w:pPr>
        <w:numPr>
          <w:ilvl w:val="0"/>
          <w:numId w:val="239"/>
        </w:numPr>
      </w:pPr>
      <w:r>
        <w:t>As well as the schools in their native language for the Greek and Macedonian minorities.</w:t>
      </w:r>
    </w:p>
    <w:p w:rsidR="00000000" w:rsidRDefault="00000000">
      <w:pPr>
        <w:pStyle w:val="Heading3"/>
      </w:pPr>
      <w:r>
        <w:t>Status of teachers</w:t>
      </w:r>
    </w:p>
    <w:p w:rsidR="00000000" w:rsidRDefault="00000000">
      <w:pPr>
        <w:pStyle w:val="ParaNo"/>
        <w:tabs>
          <w:tab w:val="clear" w:pos="737"/>
        </w:tabs>
        <w:rPr>
          <w:lang w:val="en-GB"/>
        </w:rPr>
      </w:pPr>
      <w:r>
        <w:rPr>
          <w:lang w:val="en-GB"/>
        </w:rPr>
        <w:t>The status of teachers in the Albanian education system was foreseen in the Act of the Ministry of Education and Science, “Normative provisions on public schools”, of 31 July 1996, where, inter alia, it is provided that:</w:t>
      </w:r>
    </w:p>
    <w:p w:rsidR="00000000" w:rsidRDefault="00000000">
      <w:pPr>
        <w:numPr>
          <w:ilvl w:val="0"/>
          <w:numId w:val="240"/>
        </w:numPr>
      </w:pPr>
      <w:r>
        <w:t>The teacher enjoys all the rights as provided by the Labour Code and the Collective Contract;</w:t>
      </w:r>
    </w:p>
    <w:p w:rsidR="00000000" w:rsidRDefault="00000000">
      <w:pPr>
        <w:numPr>
          <w:ilvl w:val="0"/>
          <w:numId w:val="240"/>
        </w:numPr>
      </w:pPr>
      <w:r>
        <w:t>The teacher enjoys the right to participate in unions, as provided by law, in conformity with the status of the union in which he participates;</w:t>
      </w:r>
    </w:p>
    <w:p w:rsidR="00000000" w:rsidRDefault="00000000">
      <w:pPr>
        <w:numPr>
          <w:ilvl w:val="0"/>
          <w:numId w:val="240"/>
        </w:numPr>
      </w:pPr>
      <w:r>
        <w:t>Teachers have the right to:</w:t>
      </w:r>
    </w:p>
    <w:p w:rsidR="00000000" w:rsidRDefault="00000000">
      <w:pPr>
        <w:pStyle w:val="FootnoteText"/>
        <w:ind w:left="720"/>
      </w:pPr>
      <w:r>
        <w:tab/>
        <w:t>(a)</w:t>
      </w:r>
      <w:r>
        <w:tab/>
        <w:t>Have meetings of their union in the school premises beyond school hours;</w:t>
      </w:r>
    </w:p>
    <w:p w:rsidR="00000000" w:rsidRDefault="00000000">
      <w:pPr>
        <w:pStyle w:val="BodyTextIndent2"/>
      </w:pPr>
      <w:r>
        <w:tab/>
        <w:t>(b)</w:t>
      </w:r>
      <w:r>
        <w:tab/>
        <w:t>Post in certain places announcements, proposals, calls, requests, petitions, etc. for activities of a union character.</w:t>
      </w:r>
    </w:p>
    <w:p w:rsidR="00000000" w:rsidRDefault="00000000">
      <w:pPr>
        <w:numPr>
          <w:ilvl w:val="0"/>
          <w:numId w:val="240"/>
        </w:numPr>
      </w:pPr>
      <w:r>
        <w:br w:type="page"/>
        <w:t>The teacher has the right to express his opinions on:</w:t>
      </w:r>
    </w:p>
    <w:p w:rsidR="00000000" w:rsidRDefault="00000000">
      <w:pPr>
        <w:numPr>
          <w:ilvl w:val="1"/>
          <w:numId w:val="240"/>
        </w:numPr>
        <w:tabs>
          <w:tab w:val="num" w:pos="1560"/>
        </w:tabs>
        <w:ind w:left="1560" w:hanging="426"/>
      </w:pPr>
      <w:r>
        <w:t xml:space="preserve">Issues having due regard to the educational teaching process in the school; </w:t>
      </w:r>
    </w:p>
    <w:p w:rsidR="00000000" w:rsidRDefault="00000000">
      <w:pPr>
        <w:numPr>
          <w:ilvl w:val="1"/>
          <w:numId w:val="240"/>
        </w:numPr>
        <w:tabs>
          <w:tab w:val="num" w:pos="1560"/>
        </w:tabs>
        <w:ind w:left="1560" w:hanging="426"/>
      </w:pPr>
      <w:r>
        <w:t>Curricula, syllabuses and programmes, and textbooks;</w:t>
      </w:r>
    </w:p>
    <w:p w:rsidR="00000000" w:rsidRDefault="00000000">
      <w:pPr>
        <w:numPr>
          <w:ilvl w:val="1"/>
          <w:numId w:val="240"/>
        </w:numPr>
        <w:tabs>
          <w:tab w:val="num" w:pos="1560"/>
        </w:tabs>
        <w:ind w:left="1560" w:hanging="426"/>
      </w:pPr>
      <w:r>
        <w:t>Activities and experiences;</w:t>
      </w:r>
    </w:p>
    <w:p w:rsidR="00000000" w:rsidRDefault="00000000">
      <w:pPr>
        <w:numPr>
          <w:ilvl w:val="1"/>
          <w:numId w:val="240"/>
        </w:numPr>
        <w:tabs>
          <w:tab w:val="num" w:pos="1560"/>
        </w:tabs>
        <w:ind w:left="1560" w:hanging="426"/>
      </w:pPr>
      <w:r>
        <w:t>Concerns and problems regarding the class, subject and school;</w:t>
      </w:r>
    </w:p>
    <w:p w:rsidR="00000000" w:rsidRDefault="00000000">
      <w:pPr>
        <w:numPr>
          <w:ilvl w:val="1"/>
          <w:numId w:val="240"/>
        </w:numPr>
        <w:tabs>
          <w:tab w:val="num" w:pos="1560"/>
        </w:tabs>
        <w:ind w:left="1560" w:hanging="426"/>
      </w:pPr>
      <w:r>
        <w:t>Himself/herself, colleagues, director and managerial staff;</w:t>
      </w:r>
    </w:p>
    <w:p w:rsidR="00000000" w:rsidRDefault="00000000">
      <w:pPr>
        <w:numPr>
          <w:ilvl w:val="1"/>
          <w:numId w:val="240"/>
        </w:numPr>
        <w:tabs>
          <w:tab w:val="num" w:pos="1560"/>
        </w:tabs>
        <w:ind w:left="1560" w:hanging="426"/>
      </w:pPr>
      <w:r>
        <w:t>Education in the community where he lives and works or in the district and national level.</w:t>
      </w:r>
    </w:p>
    <w:p w:rsidR="00000000" w:rsidRDefault="00000000">
      <w:pPr>
        <w:pStyle w:val="ParaNo"/>
        <w:tabs>
          <w:tab w:val="clear" w:pos="737"/>
        </w:tabs>
        <w:rPr>
          <w:lang w:val="en-GB"/>
        </w:rPr>
      </w:pPr>
      <w:r>
        <w:rPr>
          <w:lang w:val="en-GB"/>
        </w:rPr>
        <w:t>Teachers have the right to participate in:</w:t>
      </w:r>
    </w:p>
    <w:p w:rsidR="00000000" w:rsidRDefault="00000000">
      <w:pPr>
        <w:numPr>
          <w:ilvl w:val="0"/>
          <w:numId w:val="240"/>
        </w:numPr>
      </w:pPr>
      <w:r>
        <w:t>Various meetings at the class and school level;</w:t>
      </w:r>
    </w:p>
    <w:p w:rsidR="00000000" w:rsidRDefault="00000000">
      <w:pPr>
        <w:numPr>
          <w:ilvl w:val="0"/>
          <w:numId w:val="240"/>
        </w:numPr>
      </w:pPr>
      <w:r>
        <w:t>Workshops, meetings, consultations, analyses, round tables, etc., as well as various activities inside or outside the class;</w:t>
      </w:r>
    </w:p>
    <w:p w:rsidR="00000000" w:rsidRDefault="00000000">
      <w:pPr>
        <w:numPr>
          <w:ilvl w:val="0"/>
          <w:numId w:val="240"/>
        </w:numPr>
      </w:pPr>
      <w:r>
        <w:t>Various meetings with pupils’ parents, with local community and authorities, or different bodies or institutions concerned with the school, when invited and without disrupting school time;</w:t>
      </w:r>
    </w:p>
    <w:p w:rsidR="00000000" w:rsidRDefault="00000000">
      <w:pPr>
        <w:numPr>
          <w:ilvl w:val="0"/>
          <w:numId w:val="240"/>
        </w:numPr>
      </w:pPr>
      <w:r>
        <w:t>To benefit various qualifications as provided by article 14 of the law “On the pre</w:t>
      </w:r>
      <w:r>
        <w:noBreakHyphen/>
        <w:t>university education system”;</w:t>
      </w:r>
    </w:p>
    <w:p w:rsidR="00000000" w:rsidRDefault="00000000">
      <w:pPr>
        <w:numPr>
          <w:ilvl w:val="0"/>
          <w:numId w:val="240"/>
        </w:numPr>
      </w:pPr>
      <w:r>
        <w:t>To be elected to consultative bodies or to elect others who perform this activity in schools, in conformity with normative provisions and to represent in these bodies the interests of a teachers’ group when authorized by them;</w:t>
      </w:r>
    </w:p>
    <w:p w:rsidR="00000000" w:rsidRDefault="00000000">
      <w:pPr>
        <w:numPr>
          <w:ilvl w:val="0"/>
          <w:numId w:val="240"/>
        </w:numPr>
      </w:pPr>
      <w:r>
        <w:t>To ask for the examination by the school directorate, pedagogical board or its consultative bodies, local authorities, or the educational directorate, of cases which infringe on the normal activity in the classroom, the school social environment, the community where the school is located, and the teacher himself;</w:t>
      </w:r>
    </w:p>
    <w:p w:rsidR="00000000" w:rsidRDefault="00000000">
      <w:pPr>
        <w:numPr>
          <w:ilvl w:val="0"/>
          <w:numId w:val="240"/>
        </w:numPr>
      </w:pPr>
      <w:r>
        <w:t>To be regarded respectfully, with human dignity, ethically, without pressures, inequities, insults, humiliation, disparagement and violence;</w:t>
      </w:r>
    </w:p>
    <w:p w:rsidR="00000000" w:rsidRDefault="00000000">
      <w:pPr>
        <w:numPr>
          <w:ilvl w:val="0"/>
          <w:numId w:val="240"/>
        </w:numPr>
      </w:pPr>
      <w:r>
        <w:t>To carry out the educational process in normal, quiet, comfortable and safe conditions for himself.</w:t>
      </w:r>
    </w:p>
    <w:p w:rsidR="00000000" w:rsidRDefault="00000000">
      <w:r>
        <w:t>The teacher also enjoys the right to moral and material incentives if he maintains a high quality of teaching and makes a useful contribution in the field of education.</w:t>
      </w:r>
    </w:p>
    <w:p w:rsidR="00000000" w:rsidRDefault="00000000">
      <w:pPr>
        <w:pStyle w:val="ParaNo"/>
        <w:tabs>
          <w:tab w:val="clear" w:pos="737"/>
        </w:tabs>
        <w:rPr>
          <w:lang w:val="en-GB"/>
        </w:rPr>
      </w:pPr>
      <w:r>
        <w:rPr>
          <w:lang w:val="en-GB"/>
        </w:rPr>
        <w:t>As for moral incentives, teachers have been awarded medals, orders and titles according to the legislation in force.  As material incentives, teachers enjoy the right of honoraria from the special fund, under the criteria provided for in Decision of Council of Ministers.</w:t>
      </w:r>
    </w:p>
    <w:p w:rsidR="00000000" w:rsidRDefault="00000000">
      <w:pPr>
        <w:pStyle w:val="Heading3"/>
        <w:rPr>
          <w:bCs/>
        </w:rPr>
      </w:pPr>
      <w:r>
        <w:rPr>
          <w:bCs/>
        </w:rPr>
        <w:t>Obligations and tasks of the teacher</w:t>
      </w:r>
    </w:p>
    <w:p w:rsidR="00000000" w:rsidRDefault="00000000">
      <w:pPr>
        <w:pStyle w:val="ParaNo"/>
        <w:tabs>
          <w:tab w:val="clear" w:pos="737"/>
        </w:tabs>
        <w:rPr>
          <w:lang w:val="en-GB"/>
        </w:rPr>
      </w:pPr>
      <w:r>
        <w:rPr>
          <w:lang w:val="en-GB"/>
        </w:rPr>
        <w:t>Teaching norms for a teacher, according to the subject matter, level of education and the school, is determined by a particular directive of the Minister of Education and Science.  It is an obligation that teachers should be provided with the teaching norms and to perform it in the teaching and educational process.  Teachers may have two teaching hours less than the weekly norm, with full salary, if that teaching norm is not completed because of an educational programme.  When a teacher is absent, the school directorate and Education Department take measures to complete his teaching hours.  Other teachers having fewer hours may substitute for him if others may deliver these supplemental hours.  Supplemental teaching hours are paid within the month.</w:t>
      </w:r>
    </w:p>
    <w:p w:rsidR="00000000" w:rsidRDefault="00000000">
      <w:pPr>
        <w:pStyle w:val="ParaNo"/>
        <w:tabs>
          <w:tab w:val="clear" w:pos="737"/>
        </w:tabs>
        <w:rPr>
          <w:lang w:val="en-GB"/>
        </w:rPr>
      </w:pPr>
      <w:r>
        <w:rPr>
          <w:lang w:val="en-GB"/>
        </w:rPr>
        <w:t>The teacher has the duty:</w:t>
      </w:r>
    </w:p>
    <w:p w:rsidR="00000000" w:rsidRDefault="00000000">
      <w:pPr>
        <w:numPr>
          <w:ilvl w:val="0"/>
          <w:numId w:val="241"/>
        </w:numPr>
      </w:pPr>
      <w:r>
        <w:t>To know, respect and defend the law like all citizens; to apply accurately educational legislation;</w:t>
      </w:r>
    </w:p>
    <w:p w:rsidR="00000000" w:rsidRDefault="00000000">
      <w:pPr>
        <w:numPr>
          <w:ilvl w:val="0"/>
          <w:numId w:val="241"/>
        </w:numPr>
      </w:pPr>
      <w:r>
        <w:t>To assess and perform his role, responsibility and noble mission as a teacher and educator;</w:t>
      </w:r>
    </w:p>
    <w:p w:rsidR="00000000" w:rsidRDefault="00000000">
      <w:pPr>
        <w:numPr>
          <w:ilvl w:val="0"/>
          <w:numId w:val="241"/>
        </w:numPr>
      </w:pPr>
      <w:r>
        <w:t>In its activity, he should be characterized by passion, creativity and humanism; and contribute to the democratization of life in education process;</w:t>
      </w:r>
    </w:p>
    <w:p w:rsidR="00000000" w:rsidRDefault="00000000">
      <w:pPr>
        <w:numPr>
          <w:ilvl w:val="0"/>
          <w:numId w:val="241"/>
        </w:numPr>
      </w:pPr>
      <w:r>
        <w:t>To behave as a cultured person, have a democratic and professional ethic, respect and tolerance, not using insults and violence in and out of the school;</w:t>
      </w:r>
    </w:p>
    <w:p w:rsidR="00000000" w:rsidRDefault="00000000">
      <w:pPr>
        <w:numPr>
          <w:ilvl w:val="0"/>
          <w:numId w:val="241"/>
        </w:numPr>
      </w:pPr>
      <w:r>
        <w:t>To know well the subject matter that he teaches at school, the scientific and pedagogical requirements that determine their curricula, textbooks, teachers’ books; to use instruments, equipments laboratory techniques, methodology of professional practices;</w:t>
      </w:r>
    </w:p>
    <w:p w:rsidR="00000000" w:rsidRDefault="00000000">
      <w:pPr>
        <w:numPr>
          <w:ilvl w:val="0"/>
          <w:numId w:val="241"/>
        </w:numPr>
      </w:pPr>
      <w:r>
        <w:t>To submit in due time a copy of educational plans for this work of the school’s director;</w:t>
      </w:r>
    </w:p>
    <w:p w:rsidR="00000000" w:rsidRDefault="00000000">
      <w:pPr>
        <w:numPr>
          <w:ilvl w:val="0"/>
          <w:numId w:val="241"/>
        </w:numPr>
      </w:pPr>
      <w:r>
        <w:t>To be updated continuously on new scientific, psychological and pedagogical information; to be familiar with new methods and didactic tools;</w:t>
      </w:r>
    </w:p>
    <w:p w:rsidR="00000000" w:rsidRDefault="00000000">
      <w:pPr>
        <w:numPr>
          <w:ilvl w:val="0"/>
          <w:numId w:val="241"/>
        </w:numPr>
      </w:pPr>
      <w:r>
        <w:t>To know and assess in his work the psychology of his pupils, the age group’s basic characteristics, features, needs, interests, motives, rights, intellectual capacity, moral and civil background and their problems.;</w:t>
      </w:r>
    </w:p>
    <w:p w:rsidR="00000000" w:rsidRDefault="00000000">
      <w:pPr>
        <w:numPr>
          <w:ilvl w:val="0"/>
          <w:numId w:val="241"/>
        </w:numPr>
      </w:pPr>
      <w:r>
        <w:t>To attain a daily, systematic and structured preparation of teaching hours, to accomplish with competence, responsibility and high effectiveness the teaching and educative plan;</w:t>
      </w:r>
    </w:p>
    <w:p w:rsidR="00000000" w:rsidRDefault="00000000">
      <w:pPr>
        <w:numPr>
          <w:ilvl w:val="0"/>
          <w:numId w:val="241"/>
        </w:numPr>
      </w:pPr>
      <w:r>
        <w:t>To stimulate the independence of free individual thought and action of pupils during the application of teaching and educative plan, in and out of the classroom;</w:t>
      </w:r>
    </w:p>
    <w:p w:rsidR="00000000" w:rsidRDefault="00000000">
      <w:pPr>
        <w:numPr>
          <w:ilvl w:val="0"/>
          <w:numId w:val="241"/>
        </w:numPr>
      </w:pPr>
      <w:r>
        <w:t>To accomplish correctly the particular duties of the teacher, during school</w:t>
      </w:r>
      <w:r>
        <w:noBreakHyphen/>
        <w:t>time determined by the school director and to be present on time;</w:t>
      </w:r>
    </w:p>
    <w:p w:rsidR="00000000" w:rsidRDefault="00000000">
      <w:pPr>
        <w:numPr>
          <w:ilvl w:val="0"/>
          <w:numId w:val="241"/>
        </w:numPr>
      </w:pPr>
      <w:r>
        <w:t>To participate and help, when possible, in the organization of extramural activities, quizzes and other competitions;</w:t>
      </w:r>
    </w:p>
    <w:p w:rsidR="00000000" w:rsidRDefault="00000000">
      <w:pPr>
        <w:numPr>
          <w:ilvl w:val="0"/>
          <w:numId w:val="241"/>
        </w:numPr>
      </w:pPr>
      <w:r>
        <w:t>To contribute, when elected, to the activity of school bodies, or in the different meetings and reviews with discussions and concrete proposals serving the correct application of teaching and educative plans;</w:t>
      </w:r>
    </w:p>
    <w:p w:rsidR="00000000" w:rsidRDefault="00000000">
      <w:pPr>
        <w:numPr>
          <w:ilvl w:val="0"/>
          <w:numId w:val="241"/>
        </w:numPr>
      </w:pPr>
      <w:r>
        <w:t>To apply correctly the criteria, procedures and rules settled by normative provisions:  for all examinations, including final tests, when appointed in the examination commission and other tests as regulated by the normative provisions;</w:t>
      </w:r>
    </w:p>
    <w:p w:rsidR="00000000" w:rsidRDefault="00000000">
      <w:pPr>
        <w:numPr>
          <w:ilvl w:val="0"/>
          <w:numId w:val="241"/>
        </w:numPr>
      </w:pPr>
      <w:r>
        <w:t xml:space="preserve">To take care of the maintenance, updating efficient use of didactic and laboratory tools; </w:t>
      </w:r>
    </w:p>
    <w:p w:rsidR="00000000" w:rsidRDefault="00000000">
      <w:pPr>
        <w:numPr>
          <w:ilvl w:val="0"/>
          <w:numId w:val="241"/>
        </w:numPr>
      </w:pPr>
      <w:r>
        <w:t>Not to allow the absence of a pupil from class for personal reasons;</w:t>
      </w:r>
    </w:p>
    <w:p w:rsidR="00000000" w:rsidRDefault="00000000">
      <w:pPr>
        <w:numPr>
          <w:ilvl w:val="0"/>
          <w:numId w:val="241"/>
        </w:numPr>
      </w:pPr>
      <w:r>
        <w:t>Not to allow private courses with his pupils;</w:t>
      </w:r>
    </w:p>
    <w:p w:rsidR="00000000" w:rsidRDefault="00000000">
      <w:pPr>
        <w:numPr>
          <w:ilvl w:val="0"/>
          <w:numId w:val="241"/>
        </w:numPr>
      </w:pPr>
      <w:r>
        <w:t xml:space="preserve">Not to smoke in the classroom and corridors. </w:t>
      </w:r>
    </w:p>
    <w:p w:rsidR="00000000" w:rsidRDefault="00000000">
      <w:pPr>
        <w:pStyle w:val="Heading3"/>
      </w:pPr>
      <w:r>
        <w:t>Non</w:t>
      </w:r>
      <w:r>
        <w:noBreakHyphen/>
        <w:t>public (private) schools</w:t>
      </w:r>
    </w:p>
    <w:p w:rsidR="00000000" w:rsidRDefault="00000000">
      <w:pPr>
        <w:pStyle w:val="Heading2"/>
      </w:pPr>
      <w:r>
        <w:t>Table 63</w:t>
      </w:r>
    </w:p>
    <w:p w:rsidR="00000000" w:rsidRDefault="00000000">
      <w:pPr>
        <w:pStyle w:val="Heading2"/>
      </w:pPr>
      <w:r>
        <w:t>Schools established in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1701"/>
        <w:gridCol w:w="1843"/>
        <w:gridCol w:w="1276"/>
        <w:gridCol w:w="1134"/>
      </w:tblGrid>
      <w:tr w:rsidR="00000000">
        <w:tblPrEx>
          <w:tblCellMar>
            <w:top w:w="0" w:type="dxa"/>
            <w:bottom w:w="0" w:type="dxa"/>
          </w:tblCellMar>
        </w:tblPrEx>
        <w:trPr>
          <w:jc w:val="center"/>
        </w:trPr>
        <w:tc>
          <w:tcPr>
            <w:tcW w:w="1384" w:type="dxa"/>
            <w:tcBorders>
              <w:bottom w:val="single" w:sz="4" w:space="0" w:color="auto"/>
            </w:tcBorders>
          </w:tcPr>
          <w:p w:rsidR="00000000" w:rsidRDefault="00000000">
            <w:pPr>
              <w:spacing w:after="0"/>
              <w:rPr>
                <w:bCs/>
              </w:rPr>
            </w:pPr>
            <w:r>
              <w:rPr>
                <w:bCs/>
              </w:rPr>
              <w:t>Institutions/</w:t>
            </w:r>
            <w:r>
              <w:rPr>
                <w:bCs/>
              </w:rPr>
              <w:br/>
              <w:t>schools</w:t>
            </w:r>
          </w:p>
        </w:tc>
        <w:tc>
          <w:tcPr>
            <w:tcW w:w="1701" w:type="dxa"/>
            <w:tcBorders>
              <w:bottom w:val="single" w:sz="4" w:space="0" w:color="auto"/>
            </w:tcBorders>
          </w:tcPr>
          <w:p w:rsidR="00000000" w:rsidRDefault="00000000">
            <w:pPr>
              <w:pStyle w:val="Header"/>
              <w:tabs>
                <w:tab w:val="clear" w:pos="4320"/>
                <w:tab w:val="clear" w:pos="8640"/>
              </w:tabs>
              <w:spacing w:after="0"/>
              <w:jc w:val="center"/>
              <w:rPr>
                <w:bCs/>
              </w:rPr>
            </w:pPr>
            <w:r>
              <w:rPr>
                <w:bCs/>
              </w:rPr>
              <w:t>Kindergartens</w:t>
            </w:r>
          </w:p>
        </w:tc>
        <w:tc>
          <w:tcPr>
            <w:tcW w:w="1843" w:type="dxa"/>
            <w:tcBorders>
              <w:bottom w:val="single" w:sz="4" w:space="0" w:color="auto"/>
            </w:tcBorders>
          </w:tcPr>
          <w:p w:rsidR="00000000" w:rsidRDefault="00000000">
            <w:pPr>
              <w:spacing w:after="0"/>
              <w:jc w:val="center"/>
              <w:rPr>
                <w:bCs/>
              </w:rPr>
            </w:pPr>
            <w:r>
              <w:rPr>
                <w:bCs/>
              </w:rPr>
              <w:t>Elementary and 8</w:t>
            </w:r>
            <w:r>
              <w:rPr>
                <w:bCs/>
              </w:rPr>
              <w:noBreakHyphen/>
              <w:t>year schools</w:t>
            </w:r>
          </w:p>
        </w:tc>
        <w:tc>
          <w:tcPr>
            <w:tcW w:w="1276" w:type="dxa"/>
            <w:tcBorders>
              <w:bottom w:val="single" w:sz="4" w:space="0" w:color="auto"/>
            </w:tcBorders>
          </w:tcPr>
          <w:p w:rsidR="00000000" w:rsidRDefault="00000000">
            <w:pPr>
              <w:spacing w:after="0"/>
              <w:jc w:val="center"/>
              <w:rPr>
                <w:bCs/>
              </w:rPr>
            </w:pPr>
            <w:r>
              <w:rPr>
                <w:bCs/>
              </w:rPr>
              <w:t>Secondary schools</w:t>
            </w:r>
          </w:p>
        </w:tc>
        <w:tc>
          <w:tcPr>
            <w:tcW w:w="1134" w:type="dxa"/>
            <w:tcBorders>
              <w:bottom w:val="single" w:sz="4" w:space="0" w:color="auto"/>
            </w:tcBorders>
          </w:tcPr>
          <w:p w:rsidR="00000000" w:rsidRDefault="00000000">
            <w:pPr>
              <w:spacing w:after="0"/>
              <w:jc w:val="center"/>
              <w:rPr>
                <w:bCs/>
              </w:rPr>
            </w:pPr>
            <w:r>
              <w:rPr>
                <w:bCs/>
              </w:rPr>
              <w:t>Higher schools</w:t>
            </w:r>
          </w:p>
        </w:tc>
      </w:tr>
      <w:tr w:rsidR="00000000">
        <w:tblPrEx>
          <w:tblCellMar>
            <w:top w:w="0" w:type="dxa"/>
            <w:bottom w:w="0" w:type="dxa"/>
          </w:tblCellMar>
        </w:tblPrEx>
        <w:trPr>
          <w:jc w:val="center"/>
        </w:trPr>
        <w:tc>
          <w:tcPr>
            <w:tcW w:w="1384" w:type="dxa"/>
            <w:tcBorders>
              <w:bottom w:val="nil"/>
            </w:tcBorders>
          </w:tcPr>
          <w:p w:rsidR="00000000" w:rsidRDefault="00000000">
            <w:pPr>
              <w:spacing w:after="0"/>
              <w:rPr>
                <w:bCs/>
              </w:rPr>
            </w:pPr>
            <w:r>
              <w:rPr>
                <w:bCs/>
              </w:rPr>
              <w:t>Number</w:t>
            </w:r>
          </w:p>
        </w:tc>
        <w:tc>
          <w:tcPr>
            <w:tcW w:w="1701" w:type="dxa"/>
            <w:tcBorders>
              <w:bottom w:val="nil"/>
            </w:tcBorders>
          </w:tcPr>
          <w:p w:rsidR="00000000" w:rsidRDefault="00000000">
            <w:pPr>
              <w:spacing w:after="0"/>
              <w:jc w:val="center"/>
              <w:rPr>
                <w:bCs/>
              </w:rPr>
            </w:pPr>
            <w:r>
              <w:rPr>
                <w:bCs/>
              </w:rPr>
              <w:t>106</w:t>
            </w:r>
          </w:p>
        </w:tc>
        <w:tc>
          <w:tcPr>
            <w:tcW w:w="1843" w:type="dxa"/>
            <w:tcBorders>
              <w:bottom w:val="nil"/>
            </w:tcBorders>
          </w:tcPr>
          <w:p w:rsidR="00000000" w:rsidRDefault="00000000">
            <w:pPr>
              <w:spacing w:after="0"/>
              <w:jc w:val="center"/>
              <w:rPr>
                <w:bCs/>
              </w:rPr>
            </w:pPr>
            <w:r>
              <w:rPr>
                <w:bCs/>
              </w:rPr>
              <w:t>14 and 80</w:t>
            </w:r>
          </w:p>
        </w:tc>
        <w:tc>
          <w:tcPr>
            <w:tcW w:w="1276" w:type="dxa"/>
            <w:tcBorders>
              <w:bottom w:val="nil"/>
            </w:tcBorders>
          </w:tcPr>
          <w:p w:rsidR="00000000" w:rsidRDefault="00000000">
            <w:pPr>
              <w:spacing w:after="0"/>
              <w:jc w:val="center"/>
              <w:rPr>
                <w:bCs/>
              </w:rPr>
            </w:pPr>
            <w:r>
              <w:rPr>
                <w:bCs/>
              </w:rPr>
              <w:t>66</w:t>
            </w:r>
          </w:p>
        </w:tc>
        <w:tc>
          <w:tcPr>
            <w:tcW w:w="1134" w:type="dxa"/>
            <w:tcBorders>
              <w:bottom w:val="nil"/>
            </w:tcBorders>
          </w:tcPr>
          <w:p w:rsidR="00000000" w:rsidRDefault="00000000">
            <w:pPr>
              <w:spacing w:after="0"/>
              <w:jc w:val="center"/>
              <w:rPr>
                <w:bCs/>
              </w:rPr>
            </w:pPr>
            <w:r>
              <w:rPr>
                <w:bCs/>
              </w:rPr>
              <w:t>2</w:t>
            </w:r>
          </w:p>
        </w:tc>
      </w:tr>
      <w:tr w:rsidR="00000000">
        <w:tblPrEx>
          <w:tblCellMar>
            <w:top w:w="0" w:type="dxa"/>
            <w:bottom w:w="0" w:type="dxa"/>
          </w:tblCellMar>
        </w:tblPrEx>
        <w:trPr>
          <w:jc w:val="center"/>
        </w:trPr>
        <w:tc>
          <w:tcPr>
            <w:tcW w:w="1384" w:type="dxa"/>
            <w:tcBorders>
              <w:top w:val="nil"/>
              <w:bottom w:val="nil"/>
            </w:tcBorders>
          </w:tcPr>
          <w:p w:rsidR="00000000" w:rsidRDefault="00000000">
            <w:pPr>
              <w:spacing w:after="0"/>
              <w:rPr>
                <w:bCs/>
              </w:rPr>
            </w:pPr>
            <w:r>
              <w:rPr>
                <w:bCs/>
              </w:rPr>
              <w:t>Pupils</w:t>
            </w:r>
          </w:p>
        </w:tc>
        <w:tc>
          <w:tcPr>
            <w:tcW w:w="1701" w:type="dxa"/>
            <w:tcBorders>
              <w:top w:val="nil"/>
              <w:bottom w:val="nil"/>
            </w:tcBorders>
          </w:tcPr>
          <w:p w:rsidR="00000000" w:rsidRDefault="00000000">
            <w:pPr>
              <w:pStyle w:val="Header"/>
              <w:tabs>
                <w:tab w:val="clear" w:pos="4320"/>
                <w:tab w:val="clear" w:pos="8640"/>
              </w:tabs>
              <w:spacing w:after="0"/>
              <w:jc w:val="center"/>
              <w:rPr>
                <w:bCs/>
              </w:rPr>
            </w:pPr>
            <w:r>
              <w:rPr>
                <w:bCs/>
              </w:rPr>
              <w:t>5 120</w:t>
            </w:r>
          </w:p>
        </w:tc>
        <w:tc>
          <w:tcPr>
            <w:tcW w:w="1843" w:type="dxa"/>
            <w:tcBorders>
              <w:top w:val="nil"/>
              <w:bottom w:val="nil"/>
            </w:tcBorders>
          </w:tcPr>
          <w:p w:rsidR="00000000" w:rsidRDefault="00000000">
            <w:pPr>
              <w:spacing w:after="0"/>
              <w:jc w:val="center"/>
              <w:rPr>
                <w:bCs/>
              </w:rPr>
            </w:pPr>
            <w:r>
              <w:rPr>
                <w:bCs/>
              </w:rPr>
              <w:t>11 790</w:t>
            </w:r>
          </w:p>
        </w:tc>
        <w:tc>
          <w:tcPr>
            <w:tcW w:w="1276" w:type="dxa"/>
            <w:tcBorders>
              <w:top w:val="nil"/>
              <w:bottom w:val="nil"/>
            </w:tcBorders>
          </w:tcPr>
          <w:p w:rsidR="00000000" w:rsidRDefault="00000000">
            <w:pPr>
              <w:spacing w:after="0"/>
              <w:jc w:val="center"/>
              <w:rPr>
                <w:bCs/>
              </w:rPr>
            </w:pPr>
            <w:r>
              <w:rPr>
                <w:bCs/>
              </w:rPr>
              <w:t>6 280</w:t>
            </w:r>
          </w:p>
        </w:tc>
        <w:tc>
          <w:tcPr>
            <w:tcW w:w="1134" w:type="dxa"/>
            <w:tcBorders>
              <w:top w:val="nil"/>
              <w:bottom w:val="nil"/>
            </w:tcBorders>
          </w:tcPr>
          <w:p w:rsidR="00000000" w:rsidRDefault="00000000">
            <w:pPr>
              <w:spacing w:after="0"/>
              <w:jc w:val="center"/>
              <w:rPr>
                <w:bCs/>
              </w:rPr>
            </w:pPr>
            <w:r>
              <w:rPr>
                <w:bCs/>
              </w:rPr>
              <w:t>N/A</w:t>
            </w:r>
          </w:p>
        </w:tc>
      </w:tr>
      <w:tr w:rsidR="00000000">
        <w:tblPrEx>
          <w:tblCellMar>
            <w:top w:w="0" w:type="dxa"/>
            <w:bottom w:w="0" w:type="dxa"/>
          </w:tblCellMar>
        </w:tblPrEx>
        <w:trPr>
          <w:jc w:val="center"/>
        </w:trPr>
        <w:tc>
          <w:tcPr>
            <w:tcW w:w="1384" w:type="dxa"/>
            <w:tcBorders>
              <w:top w:val="nil"/>
            </w:tcBorders>
          </w:tcPr>
          <w:p w:rsidR="00000000" w:rsidRDefault="00000000">
            <w:pPr>
              <w:spacing w:after="0"/>
              <w:rPr>
                <w:bCs/>
              </w:rPr>
            </w:pPr>
            <w:r>
              <w:rPr>
                <w:bCs/>
              </w:rPr>
              <w:t>Teachers</w:t>
            </w:r>
          </w:p>
        </w:tc>
        <w:tc>
          <w:tcPr>
            <w:tcW w:w="1701" w:type="dxa"/>
            <w:tcBorders>
              <w:top w:val="nil"/>
            </w:tcBorders>
          </w:tcPr>
          <w:p w:rsidR="00000000" w:rsidRDefault="00000000">
            <w:pPr>
              <w:spacing w:after="0"/>
              <w:jc w:val="center"/>
              <w:rPr>
                <w:bCs/>
              </w:rPr>
            </w:pPr>
            <w:r>
              <w:rPr>
                <w:bCs/>
              </w:rPr>
              <w:t>312</w:t>
            </w:r>
          </w:p>
        </w:tc>
        <w:tc>
          <w:tcPr>
            <w:tcW w:w="1843" w:type="dxa"/>
            <w:tcBorders>
              <w:top w:val="nil"/>
            </w:tcBorders>
          </w:tcPr>
          <w:p w:rsidR="00000000" w:rsidRDefault="00000000">
            <w:pPr>
              <w:spacing w:after="0"/>
              <w:jc w:val="center"/>
              <w:rPr>
                <w:bCs/>
              </w:rPr>
            </w:pPr>
            <w:r>
              <w:rPr>
                <w:bCs/>
              </w:rPr>
              <w:t>940</w:t>
            </w:r>
          </w:p>
        </w:tc>
        <w:tc>
          <w:tcPr>
            <w:tcW w:w="1276" w:type="dxa"/>
            <w:tcBorders>
              <w:top w:val="nil"/>
            </w:tcBorders>
          </w:tcPr>
          <w:p w:rsidR="00000000" w:rsidRDefault="00000000">
            <w:pPr>
              <w:spacing w:after="0"/>
              <w:jc w:val="center"/>
              <w:rPr>
                <w:bCs/>
              </w:rPr>
            </w:pPr>
            <w:r>
              <w:rPr>
                <w:bCs/>
              </w:rPr>
              <w:t>734</w:t>
            </w:r>
          </w:p>
        </w:tc>
        <w:tc>
          <w:tcPr>
            <w:tcW w:w="1134" w:type="dxa"/>
            <w:tcBorders>
              <w:top w:val="nil"/>
            </w:tcBorders>
          </w:tcPr>
          <w:p w:rsidR="00000000" w:rsidRDefault="00000000">
            <w:pPr>
              <w:spacing w:after="0"/>
              <w:jc w:val="center"/>
              <w:rPr>
                <w:bCs/>
              </w:rPr>
            </w:pPr>
            <w:r>
              <w:rPr>
                <w:bCs/>
              </w:rPr>
              <w:t>N/A</w:t>
            </w:r>
          </w:p>
        </w:tc>
      </w:tr>
    </w:tbl>
    <w:p w:rsidR="00000000" w:rsidRDefault="00000000">
      <w:pPr>
        <w:pStyle w:val="Heading3"/>
        <w:spacing w:before="240"/>
      </w:pPr>
      <w:r>
        <w:t>International cooperation</w:t>
      </w:r>
    </w:p>
    <w:p w:rsidR="00000000" w:rsidRDefault="00000000">
      <w:pPr>
        <w:pStyle w:val="ParaNo"/>
        <w:tabs>
          <w:tab w:val="clear" w:pos="737"/>
        </w:tabs>
        <w:rPr>
          <w:color w:val="000000"/>
          <w:lang w:val="en-GB"/>
        </w:rPr>
      </w:pPr>
      <w:r>
        <w:rPr>
          <w:lang w:val="en-GB"/>
        </w:rPr>
        <w:t>There are a number of foreign foundations and programmes operating in Albania that give assistance in the field, such as the Soros Foundation and Catholic Relief Services, the Danish programme DANIDA, the OPEC Fund, UNICEF, UNDP, the Greek foundation “</w:t>
      </w:r>
      <w:r>
        <w:rPr>
          <w:i/>
          <w:iCs/>
          <w:lang w:val="en-GB"/>
        </w:rPr>
        <w:t>Arsakeio</w:t>
      </w:r>
      <w:r>
        <w:rPr>
          <w:lang w:val="en-GB"/>
        </w:rPr>
        <w:t>”, the Italian programme “</w:t>
      </w:r>
      <w:r>
        <w:rPr>
          <w:i/>
          <w:iCs/>
          <w:lang w:val="en-GB"/>
        </w:rPr>
        <w:t>Don Bosco</w:t>
      </w:r>
      <w:r>
        <w:rPr>
          <w:lang w:val="en-GB"/>
        </w:rPr>
        <w:t>”, etc.  (Further information on the right to education can be found in document CRC/C/11/Add.27.</w:t>
      </w:r>
      <w:r>
        <w:rPr>
          <w:color w:val="000000"/>
          <w:szCs w:val="15"/>
          <w:lang w:val="en-GB"/>
        </w:rPr>
        <w:t>)</w:t>
      </w:r>
    </w:p>
    <w:p w:rsidR="00000000" w:rsidRDefault="00000000">
      <w:pPr>
        <w:pStyle w:val="Heading2"/>
      </w:pPr>
      <w:r>
        <w:t>Article 14</w:t>
      </w:r>
    </w:p>
    <w:p w:rsidR="00000000" w:rsidRDefault="00000000">
      <w:pPr>
        <w:pStyle w:val="Heading2"/>
      </w:pPr>
      <w:r>
        <w:t>Right to free mandatory education</w:t>
      </w:r>
    </w:p>
    <w:p w:rsidR="00000000" w:rsidRDefault="00000000">
      <w:pPr>
        <w:pStyle w:val="ParaNo"/>
        <w:tabs>
          <w:tab w:val="clear" w:pos="737"/>
        </w:tabs>
        <w:rPr>
          <w:lang w:val="en-GB"/>
        </w:rPr>
      </w:pPr>
      <w:r>
        <w:rPr>
          <w:lang w:val="en-GB"/>
        </w:rPr>
        <w:t>In the Republic of Albania the entire nine years of education is compulsory and free of charge.</w:t>
      </w:r>
    </w:p>
    <w:p w:rsidR="00000000" w:rsidRDefault="00000000">
      <w:pPr>
        <w:pStyle w:val="Heading2"/>
      </w:pPr>
      <w:r>
        <w:t>Article 15</w:t>
      </w:r>
    </w:p>
    <w:p w:rsidR="00000000" w:rsidRDefault="00000000">
      <w:pPr>
        <w:pStyle w:val="Heading2"/>
      </w:pPr>
      <w:r>
        <w:t>Right to take part in cultural life</w:t>
      </w:r>
    </w:p>
    <w:p w:rsidR="00000000" w:rsidRDefault="00000000">
      <w:pPr>
        <w:pStyle w:val="ParaNo"/>
        <w:tabs>
          <w:tab w:val="clear" w:pos="737"/>
        </w:tabs>
        <w:rPr>
          <w:lang w:val="en-GB"/>
        </w:rPr>
      </w:pPr>
      <w:r>
        <w:rPr>
          <w:lang w:val="en-GB"/>
        </w:rPr>
        <w:t xml:space="preserve">Article 58 of the Constitution provides that freedom of artistic creation and scientific research, as well as profit from their results are guaranteed for all.  Copyright is protected by law. </w:t>
      </w:r>
    </w:p>
    <w:p w:rsidR="00000000" w:rsidRDefault="00000000">
      <w:pPr>
        <w:pStyle w:val="ParaNo"/>
        <w:tabs>
          <w:tab w:val="clear" w:pos="737"/>
        </w:tabs>
        <w:rPr>
          <w:lang w:val="en-GB"/>
        </w:rPr>
      </w:pPr>
      <w:r>
        <w:rPr>
          <w:lang w:val="en-GB"/>
        </w:rPr>
        <w:t>Development of Albanian culture through protection, acknowledgement, safeguarding, promotion and enrichment of its multitude of values is and remains an important objective of the Government of Albania.  In today’s international global activity, the protection and promotion of national cultural identities is a very important obligation.  In the environment of Albanian society, the development of culture is one of the most important obligations of the State, and it must be carried out in collaboration with private institutions.</w:t>
      </w:r>
    </w:p>
    <w:p w:rsidR="00000000" w:rsidRDefault="00000000">
      <w:pPr>
        <w:pStyle w:val="ParaNo"/>
        <w:tabs>
          <w:tab w:val="clear" w:pos="737"/>
        </w:tabs>
        <w:rPr>
          <w:lang w:val="en-GB"/>
        </w:rPr>
      </w:pPr>
      <w:r>
        <w:rPr>
          <w:lang w:val="en-GB"/>
        </w:rPr>
        <w:t xml:space="preserve">The State budget for culture in 2003 is 970 million leks.  Such budget had assisted primarily the functioning of the institutions of culture and heritage, under the Ministry of Culture, Youth and Sports.  The law for the State budget provides funds to sustain such activities.  Such funds are managed by the Ministry of Culture, Youth and Sports.  Local artistic institutions are sustained by funds allocated from local authorities.  </w:t>
      </w:r>
    </w:p>
    <w:p w:rsidR="00000000" w:rsidRDefault="00000000">
      <w:pPr>
        <w:pStyle w:val="Heading3"/>
      </w:pPr>
      <w:r>
        <w:t xml:space="preserve">Institutional infrastructure </w:t>
      </w:r>
    </w:p>
    <w:p w:rsidR="00000000" w:rsidRDefault="00000000">
      <w:pPr>
        <w:pStyle w:val="ParaNo"/>
        <w:tabs>
          <w:tab w:val="clear" w:pos="737"/>
        </w:tabs>
        <w:rPr>
          <w:lang w:val="en-GB"/>
        </w:rPr>
      </w:pPr>
      <w:r>
        <w:rPr>
          <w:lang w:val="en-GB"/>
        </w:rPr>
        <w:t>The following national institutions are subject to the directory of cultural heritage, part of the Ministry of Culture, Youth and Sports:</w:t>
      </w:r>
    </w:p>
    <w:p w:rsidR="00000000" w:rsidRDefault="00000000">
      <w:pPr>
        <w:numPr>
          <w:ilvl w:val="0"/>
          <w:numId w:val="242"/>
        </w:numPr>
      </w:pPr>
      <w:r>
        <w:t>The Centre for the inventory of national possessions;</w:t>
      </w:r>
    </w:p>
    <w:p w:rsidR="00000000" w:rsidRDefault="00000000">
      <w:pPr>
        <w:numPr>
          <w:ilvl w:val="0"/>
          <w:numId w:val="242"/>
        </w:numPr>
      </w:pPr>
      <w:r>
        <w:t>The Institution of Cultural Monuments, with six regional directorates for Cultural Monuments in Shkodra, Tirana, Durres, Gjirokastra, Berat and Saranda;</w:t>
      </w:r>
    </w:p>
    <w:p w:rsidR="00000000" w:rsidRDefault="00000000">
      <w:pPr>
        <w:numPr>
          <w:ilvl w:val="0"/>
          <w:numId w:val="242"/>
        </w:numPr>
      </w:pPr>
      <w:r>
        <w:t xml:space="preserve">The National Centre for Folkloric Activity </w:t>
      </w:r>
      <w:r>
        <w:noBreakHyphen/>
        <w:t xml:space="preserve"> State Central Film Archive; </w:t>
      </w:r>
    </w:p>
    <w:p w:rsidR="00000000" w:rsidRDefault="00000000">
      <w:pPr>
        <w:numPr>
          <w:ilvl w:val="0"/>
          <w:numId w:val="242"/>
        </w:numPr>
      </w:pPr>
      <w:r>
        <w:t>The Museum of National History;</w:t>
      </w:r>
    </w:p>
    <w:p w:rsidR="00000000" w:rsidRDefault="00000000">
      <w:pPr>
        <w:numPr>
          <w:ilvl w:val="0"/>
          <w:numId w:val="242"/>
        </w:numPr>
      </w:pPr>
      <w:r>
        <w:t xml:space="preserve">The Museum of National History “Gj. K. Skenderbeu”, Kruja;  </w:t>
      </w:r>
    </w:p>
    <w:p w:rsidR="00000000" w:rsidRDefault="00000000">
      <w:pPr>
        <w:numPr>
          <w:ilvl w:val="0"/>
          <w:numId w:val="242"/>
        </w:numPr>
      </w:pPr>
      <w:r>
        <w:t>The “Onufri” National Museum, Berat;</w:t>
      </w:r>
    </w:p>
    <w:p w:rsidR="00000000" w:rsidRDefault="00000000">
      <w:pPr>
        <w:numPr>
          <w:ilvl w:val="0"/>
          <w:numId w:val="242"/>
        </w:numPr>
      </w:pPr>
      <w:r>
        <w:t>The National Museum of Medieval Art, Korça;</w:t>
      </w:r>
    </w:p>
    <w:p w:rsidR="00000000" w:rsidRDefault="00000000">
      <w:pPr>
        <w:numPr>
          <w:ilvl w:val="0"/>
          <w:numId w:val="242"/>
        </w:numPr>
      </w:pPr>
      <w:r>
        <w:br w:type="page"/>
        <w:t xml:space="preserve">The Centre for the Creation of Artwork; </w:t>
      </w:r>
    </w:p>
    <w:p w:rsidR="00000000" w:rsidRDefault="00000000">
      <w:pPr>
        <w:numPr>
          <w:ilvl w:val="0"/>
          <w:numId w:val="242"/>
        </w:numPr>
      </w:pPr>
      <w:r>
        <w:t>The Butrinti National Park.</w:t>
      </w:r>
    </w:p>
    <w:p w:rsidR="00000000" w:rsidRDefault="00000000">
      <w:pPr>
        <w:rPr>
          <w:bCs/>
        </w:rPr>
      </w:pPr>
      <w:r>
        <w:rPr>
          <w:bCs/>
        </w:rPr>
        <w:t xml:space="preserve">The following are subject to each municipality: </w:t>
      </w:r>
    </w:p>
    <w:p w:rsidR="00000000" w:rsidRDefault="00000000">
      <w:pPr>
        <w:numPr>
          <w:ilvl w:val="0"/>
          <w:numId w:val="243"/>
        </w:numPr>
      </w:pPr>
      <w:r>
        <w:t>Cultural centres;</w:t>
      </w:r>
    </w:p>
    <w:p w:rsidR="00000000" w:rsidRDefault="00000000">
      <w:pPr>
        <w:numPr>
          <w:ilvl w:val="0"/>
          <w:numId w:val="243"/>
        </w:numPr>
      </w:pPr>
      <w:r>
        <w:t>Movie theatres;</w:t>
      </w:r>
    </w:p>
    <w:p w:rsidR="00000000" w:rsidRDefault="00000000">
      <w:pPr>
        <w:numPr>
          <w:ilvl w:val="0"/>
          <w:numId w:val="243"/>
        </w:numPr>
      </w:pPr>
      <w:r>
        <w:t>Culture palaces;</w:t>
      </w:r>
    </w:p>
    <w:p w:rsidR="00000000" w:rsidRDefault="00000000">
      <w:pPr>
        <w:numPr>
          <w:ilvl w:val="0"/>
          <w:numId w:val="243"/>
        </w:numPr>
      </w:pPr>
      <w:r>
        <w:t>Historical museums.</w:t>
      </w:r>
    </w:p>
    <w:p w:rsidR="00000000" w:rsidRDefault="00000000">
      <w:pPr>
        <w:pStyle w:val="ParaNo"/>
        <w:tabs>
          <w:tab w:val="clear" w:pos="737"/>
        </w:tabs>
        <w:rPr>
          <w:lang w:val="en-GB"/>
        </w:rPr>
      </w:pPr>
      <w:r>
        <w:rPr>
          <w:lang w:val="en-GB"/>
        </w:rPr>
        <w:t>The main artistic institutions are:   the National Theatre; the Theatre of Opera and Ballet; the Group of Folk Music and Dance; Dolls’ Theatre; and the Children’s National Centre.  Different theatres and artistic groups are present in the local level.</w:t>
      </w:r>
    </w:p>
    <w:p w:rsidR="00000000" w:rsidRDefault="00000000">
      <w:pPr>
        <w:pStyle w:val="ParaNo"/>
        <w:tabs>
          <w:tab w:val="clear" w:pos="737"/>
        </w:tabs>
        <w:rPr>
          <w:lang w:val="en-GB"/>
        </w:rPr>
      </w:pPr>
      <w:r>
        <w:rPr>
          <w:lang w:val="en-GB"/>
        </w:rPr>
        <w:t>Each year the Ministry of Culture, Youth and Sports organizes four national heritage activities:</w:t>
      </w:r>
    </w:p>
    <w:p w:rsidR="00000000" w:rsidRDefault="00000000">
      <w:pPr>
        <w:numPr>
          <w:ilvl w:val="0"/>
          <w:numId w:val="245"/>
        </w:numPr>
      </w:pPr>
      <w:r>
        <w:t>The National Folkloric Song Festival in the city of Elbasan;</w:t>
      </w:r>
    </w:p>
    <w:p w:rsidR="00000000" w:rsidRDefault="00000000">
      <w:pPr>
        <w:numPr>
          <w:ilvl w:val="0"/>
          <w:numId w:val="245"/>
        </w:numPr>
      </w:pPr>
      <w:r>
        <w:t>The National Folkloric Rhapsody Festival in the city of Lezha;</w:t>
      </w:r>
    </w:p>
    <w:p w:rsidR="00000000" w:rsidRDefault="00000000">
      <w:pPr>
        <w:numPr>
          <w:ilvl w:val="0"/>
          <w:numId w:val="245"/>
        </w:numPr>
      </w:pPr>
      <w:r>
        <w:t>The National Folkloric air instruments and popular orchestras in the city of Korça;</w:t>
      </w:r>
    </w:p>
    <w:p w:rsidR="00000000" w:rsidRDefault="00000000">
      <w:pPr>
        <w:numPr>
          <w:ilvl w:val="0"/>
          <w:numId w:val="245"/>
        </w:numPr>
      </w:pPr>
      <w:r>
        <w:t>The National Folkloric Polyphonic Festival in the city of Vlora.</w:t>
      </w:r>
    </w:p>
    <w:p w:rsidR="00000000" w:rsidRDefault="00000000">
      <w:pPr>
        <w:pStyle w:val="ParaNo"/>
        <w:tabs>
          <w:tab w:val="clear" w:pos="737"/>
        </w:tabs>
        <w:ind w:left="0" w:firstLine="0"/>
        <w:rPr>
          <w:lang w:val="en-GB"/>
        </w:rPr>
      </w:pPr>
      <w:r>
        <w:rPr>
          <w:lang w:val="en-GB"/>
        </w:rPr>
        <w:t>Moreover, the Ministry of Culture, Youth and Sports organizes the following activities:</w:t>
      </w:r>
    </w:p>
    <w:p w:rsidR="00000000" w:rsidRDefault="00000000">
      <w:pPr>
        <w:numPr>
          <w:ilvl w:val="0"/>
          <w:numId w:val="246"/>
        </w:numPr>
      </w:pPr>
      <w:r>
        <w:t xml:space="preserve">Folkloric Festival of Popular Instruments in the city of Gjirokastra; </w:t>
      </w:r>
    </w:p>
    <w:p w:rsidR="00000000" w:rsidRDefault="00000000">
      <w:pPr>
        <w:numPr>
          <w:ilvl w:val="0"/>
          <w:numId w:val="246"/>
        </w:numPr>
      </w:pPr>
      <w:r>
        <w:t>Activity “Of the magical Flute” in the city of Butrintit;</w:t>
      </w:r>
    </w:p>
    <w:p w:rsidR="00000000" w:rsidRDefault="00000000">
      <w:pPr>
        <w:numPr>
          <w:ilvl w:val="0"/>
          <w:numId w:val="246"/>
        </w:numPr>
      </w:pPr>
      <w:r>
        <w:t>Folkloric Festival “Sofra e Dukagjinit” in the city of B. Currit.</w:t>
      </w:r>
    </w:p>
    <w:p w:rsidR="00000000" w:rsidRDefault="00000000">
      <w:pPr>
        <w:numPr>
          <w:ilvl w:val="0"/>
          <w:numId w:val="246"/>
        </w:numPr>
      </w:pPr>
      <w:r>
        <w:t>CIOFF International Folkloric Festival, “Permeti Multikulturor 2003” in the city of Permet;</w:t>
      </w:r>
    </w:p>
    <w:p w:rsidR="00000000" w:rsidRDefault="00000000">
      <w:pPr>
        <w:numPr>
          <w:ilvl w:val="0"/>
          <w:numId w:val="246"/>
        </w:numPr>
      </w:pPr>
      <w:r>
        <w:t>Festival of floor dance, in the city of Librazhd;</w:t>
      </w:r>
    </w:p>
    <w:p w:rsidR="00000000" w:rsidRDefault="00000000">
      <w:pPr>
        <w:numPr>
          <w:ilvl w:val="0"/>
          <w:numId w:val="246"/>
        </w:numPr>
      </w:pPr>
      <w:r>
        <w:t>Festival “Oda Dibrane”, in the city of Peshkopia.</w:t>
      </w:r>
    </w:p>
    <w:p w:rsidR="00000000" w:rsidRDefault="00000000">
      <w:pPr>
        <w:pStyle w:val="ParaNo"/>
        <w:tabs>
          <w:tab w:val="clear" w:pos="737"/>
        </w:tabs>
        <w:rPr>
          <w:lang w:val="en-GB"/>
        </w:rPr>
      </w:pPr>
      <w:r>
        <w:rPr>
          <w:lang w:val="en-GB"/>
        </w:rPr>
        <w:t>In order to promote the protection of minorities’ cultural heritage values, the Ministry of Culture, Youth and Sports organizes every year the International Folkloric Festival CIOFF “Multicultural Permeti 2003” (a festival of ethnics and minorities).</w:t>
      </w:r>
    </w:p>
    <w:p w:rsidR="00000000" w:rsidRDefault="00000000">
      <w:pPr>
        <w:pStyle w:val="ParaNo"/>
        <w:tabs>
          <w:tab w:val="clear" w:pos="737"/>
        </w:tabs>
        <w:rPr>
          <w:lang w:val="en-GB"/>
        </w:rPr>
      </w:pPr>
      <w:r>
        <w:rPr>
          <w:lang w:val="en-GB"/>
        </w:rPr>
        <w:t>The centre of the Ministry of Culture, Youth and Sports’ activity is the promotion of international cultural values.  The national park of Butrinti today has the status of an international heritage site, granted by UNESCO.  Moreover, the museum city of Gjirokastra was nominated for the same status.  The necessary documentation has been sent to UNESCO.  In August 2003 a UNESCO expert visited the city in order to decide its status.</w:t>
      </w:r>
    </w:p>
    <w:p w:rsidR="00000000" w:rsidRDefault="00000000">
      <w:pPr>
        <w:pStyle w:val="ParaNo"/>
        <w:tabs>
          <w:tab w:val="clear" w:pos="737"/>
        </w:tabs>
        <w:rPr>
          <w:lang w:val="en-GB"/>
        </w:rPr>
      </w:pPr>
      <w:r>
        <w:rPr>
          <w:lang w:val="en-GB"/>
        </w:rPr>
        <w:t>The Ministry of Culture, Youth and Sports has financed cultural and artistic projects, in order to maintain connections between ethnic minorities and their cultures of origin.</w:t>
      </w:r>
    </w:p>
    <w:p w:rsidR="00000000" w:rsidRDefault="00000000">
      <w:pPr>
        <w:pStyle w:val="Heading3"/>
      </w:pPr>
      <w:r>
        <w:t>Professional education in culture and arts</w:t>
      </w:r>
    </w:p>
    <w:p w:rsidR="00000000" w:rsidRDefault="00000000">
      <w:pPr>
        <w:pStyle w:val="ParaNo"/>
        <w:tabs>
          <w:tab w:val="clear" w:pos="737"/>
        </w:tabs>
        <w:rPr>
          <w:lang w:val="en-GB"/>
        </w:rPr>
      </w:pPr>
      <w:r>
        <w:rPr>
          <w:lang w:val="en-GB"/>
        </w:rPr>
        <w:t>Albania has a remarkable tradition in the area of cultural and arts education, establishing an efficient educational system at all levels.  The result of this tradition is a number of talents recognized worldwide, especially with regard to music.  An efficient network of artistic and cultural schools, for musicians, choreographers, dancers, figurative arts, etc. operates.  In this regard, the most distinguished institutions are the Academy of Arts, the “Jordan Misja” high school and the Academy of Ballet.</w:t>
      </w:r>
    </w:p>
    <w:p w:rsidR="00000000" w:rsidRDefault="00000000">
      <w:pPr>
        <w:pStyle w:val="Heading3"/>
      </w:pPr>
      <w:r>
        <w:t>Protection of copyright</w:t>
      </w:r>
    </w:p>
    <w:p w:rsidR="00000000" w:rsidRDefault="00000000">
      <w:pPr>
        <w:pStyle w:val="ParaNo"/>
        <w:tabs>
          <w:tab w:val="clear" w:pos="737"/>
        </w:tabs>
        <w:rPr>
          <w:lang w:val="en-GB"/>
        </w:rPr>
      </w:pPr>
      <w:r>
        <w:rPr>
          <w:lang w:val="en-GB"/>
        </w:rPr>
        <w:t>The protection of copyright is considered by the Ministry of Culture, Youth and Sports as a very important objective.  In this vision the Ministry of Foreign Affairs is preparing the draft law “For the adhesion of the Republic of Albania to the Universal Copyright Convention”.  This draft law is part of the strategy of the Ministry of Culture, Youth and Sports for the opening of the negotiations for the Association and Stability Agreement with the European Union.</w:t>
      </w:r>
    </w:p>
    <w:p w:rsidR="00000000" w:rsidRDefault="00000000">
      <w:pPr>
        <w:pStyle w:val="ParaNo"/>
        <w:tabs>
          <w:tab w:val="clear" w:pos="737"/>
        </w:tabs>
        <w:rPr>
          <w:lang w:val="en-GB"/>
        </w:rPr>
      </w:pPr>
      <w:r>
        <w:rPr>
          <w:lang w:val="en-GB"/>
        </w:rPr>
        <w:t>Since its approval in 1992, the existing law on copyright has been amended several times.  A specialized copyright agency, called “</w:t>
      </w:r>
      <w:r>
        <w:rPr>
          <w:i/>
          <w:iCs/>
          <w:lang w:val="en-GB"/>
        </w:rPr>
        <w:t>Albautor</w:t>
      </w:r>
      <w:r>
        <w:rPr>
          <w:lang w:val="en-GB"/>
        </w:rPr>
        <w:t>” has been established.  Such an agency functions in the area of recording and art works.  In order to raise the effectiveness of the copyright protection, a new law on copyright and related rights is being drafted.</w:t>
      </w:r>
    </w:p>
    <w:p w:rsidR="00000000" w:rsidRDefault="00000000">
      <w:pPr>
        <w:pStyle w:val="ParaNo"/>
        <w:tabs>
          <w:tab w:val="clear" w:pos="737"/>
        </w:tabs>
        <w:rPr>
          <w:lang w:val="en-GB"/>
        </w:rPr>
      </w:pPr>
      <w:r>
        <w:rPr>
          <w:lang w:val="en-GB"/>
        </w:rPr>
        <w:t>With the initiative of the Ministry of Culture, Youth and Sports, the First National Copyright Conference was organized.  This conference had as its main objective raising the consciousness of creative public opinion on important issues.  At this conference were present not only representatives of the creators but also representatives of the Ministries of Finance, and of the Judiciary and other State structures.</w:t>
      </w:r>
    </w:p>
    <w:p w:rsidR="00000000" w:rsidRDefault="00000000">
      <w:pPr>
        <w:pStyle w:val="ParaNo"/>
        <w:tabs>
          <w:tab w:val="clear" w:pos="737"/>
        </w:tabs>
        <w:rPr>
          <w:lang w:val="en-GB"/>
        </w:rPr>
      </w:pPr>
      <w:r>
        <w:rPr>
          <w:lang w:val="en-GB"/>
        </w:rPr>
        <w:t xml:space="preserve">Nevertheless, there are still many problems related to illegal copying.  The Ministry of Culture, Youth and Sports has a very active role in the elimination of such phenomena, also through the collaboration with the community of artists and other State organisms responsible for the enforcement of the law. </w:t>
      </w:r>
    </w:p>
    <w:p w:rsidR="00000000" w:rsidRDefault="00000000">
      <w:pPr>
        <w:pStyle w:val="ParaNo"/>
        <w:tabs>
          <w:tab w:val="clear" w:pos="737"/>
        </w:tabs>
        <w:rPr>
          <w:lang w:val="en-GB"/>
        </w:rPr>
      </w:pPr>
      <w:r>
        <w:rPr>
          <w:lang w:val="en-GB"/>
        </w:rPr>
        <w:t xml:space="preserve">The protection of intellectual and artistic property is carried out by the Trademark and Patent office in the Ministry of Finance, where all creators have the possibility of depositing their artwork in order to protect its economic and moral copyright.  </w:t>
      </w:r>
    </w:p>
    <w:p w:rsidR="00000000" w:rsidRDefault="00000000">
      <w:pPr>
        <w:pStyle w:val="ParaNo"/>
        <w:tabs>
          <w:tab w:val="clear" w:pos="737"/>
        </w:tabs>
        <w:rPr>
          <w:lang w:val="en-GB"/>
        </w:rPr>
      </w:pPr>
      <w:r>
        <w:rPr>
          <w:lang w:val="en-GB"/>
        </w:rPr>
        <w:t xml:space="preserve">The Albanian parliament approved the law “On Albanian cultural heritage”, which is a very important achievement in the consolidation of the legal infrastructure on the protection of </w:t>
      </w:r>
    </w:p>
    <w:p w:rsidR="00000000" w:rsidRDefault="00000000">
      <w:r>
        <w:br w:type="page"/>
        <w:t>the Albanian cultural heritage values.  The law on the theatre is in the implementation phase.  The reorganization of the National Theatre has started and also the restructuring of the Opera and Ballet Theatre.</w:t>
      </w:r>
    </w:p>
    <w:p w:rsidR="00000000" w:rsidRDefault="00000000">
      <w:pPr>
        <w:pStyle w:val="ParaNo"/>
        <w:tabs>
          <w:tab w:val="clear" w:pos="737"/>
        </w:tabs>
        <w:rPr>
          <w:lang w:val="en-GB"/>
        </w:rPr>
      </w:pPr>
      <w:r>
        <w:rPr>
          <w:lang w:val="en-GB"/>
        </w:rPr>
        <w:t>Albanian art and culture, together with its problems, is well covered in the media.  Generally, the media has played a positive role for the promotion of art and culture.</w:t>
      </w:r>
    </w:p>
    <w:p w:rsidR="00000000" w:rsidRDefault="00000000">
      <w:pPr>
        <w:pStyle w:val="ParaNo"/>
        <w:tabs>
          <w:tab w:val="clear" w:pos="737"/>
        </w:tabs>
        <w:rPr>
          <w:lang w:val="en-GB"/>
        </w:rPr>
      </w:pPr>
      <w:r>
        <w:rPr>
          <w:lang w:val="en-GB"/>
        </w:rPr>
        <w:t>Professional education in the art and culture field is carried out through specialized institutions, such as the Academy of Arts.  This important institution is under the jurisdiction of the Ministry of Education and Science.</w:t>
      </w:r>
    </w:p>
    <w:p w:rsidR="00000000" w:rsidRDefault="00000000">
      <w:pPr>
        <w:pStyle w:val="Heading3"/>
      </w:pPr>
      <w:r>
        <w:t>Cultural identity of minorities</w:t>
      </w:r>
    </w:p>
    <w:p w:rsidR="00000000" w:rsidRDefault="00000000">
      <w:pPr>
        <w:pStyle w:val="ParaNo"/>
        <w:tabs>
          <w:tab w:val="clear" w:pos="737"/>
        </w:tabs>
        <w:rPr>
          <w:lang w:val="en-GB"/>
        </w:rPr>
      </w:pPr>
      <w:r>
        <w:rPr>
          <w:lang w:val="en-GB"/>
        </w:rPr>
        <w:t>New developments have been recognized amongst the cultural and artistic activities of national minorities.  Every minority has established organizations and associations.  These associations play an important role in making the history, culture and traditions of minorities known to their own population.</w:t>
      </w:r>
    </w:p>
    <w:p w:rsidR="00000000" w:rsidRDefault="00000000">
      <w:pPr>
        <w:pStyle w:val="ParaNo"/>
        <w:tabs>
          <w:tab w:val="clear" w:pos="737"/>
        </w:tabs>
        <w:rPr>
          <w:lang w:val="en-GB"/>
        </w:rPr>
      </w:pPr>
      <w:r>
        <w:rPr>
          <w:lang w:val="en-GB"/>
        </w:rPr>
        <w:t>The Association of Minority Artists carries out its activity in Dropull, Prefecture of Gjirokastra.  Writers, poets, painters and other well</w:t>
      </w:r>
      <w:r>
        <w:rPr>
          <w:lang w:val="en-GB"/>
        </w:rPr>
        <w:noBreakHyphen/>
        <w:t>known minority artists are members of this association.  This association has organized a series of activities such as painting and photo exhibitions, exhibitions of folk cultural objects, etc.  The folk ensemble “Dropulli” has participated in cultural life both in and outside the country, and has received full and direct support from the Ministry of Culture, Youth and Sports, from the municipality, the Cultural Centre and from various sponsors.</w:t>
      </w:r>
    </w:p>
    <w:p w:rsidR="00000000" w:rsidRDefault="00000000">
      <w:pPr>
        <w:pStyle w:val="ParaNo"/>
        <w:tabs>
          <w:tab w:val="clear" w:pos="737"/>
        </w:tabs>
        <w:rPr>
          <w:lang w:val="en-GB"/>
        </w:rPr>
      </w:pPr>
      <w:r>
        <w:rPr>
          <w:lang w:val="en-GB"/>
        </w:rPr>
        <w:t>The representatives of Macedonian culture have established a series of associations, including the Albanian</w:t>
      </w:r>
      <w:r>
        <w:rPr>
          <w:lang w:val="en-GB"/>
        </w:rPr>
        <w:noBreakHyphen/>
        <w:t>Macedonian Union, and the Association “</w:t>
      </w:r>
      <w:r>
        <w:rPr>
          <w:i/>
          <w:iCs/>
          <w:lang w:val="en-GB"/>
        </w:rPr>
        <w:t>Druzhba Prespa</w:t>
      </w:r>
      <w:r>
        <w:rPr>
          <w:lang w:val="en-GB"/>
        </w:rPr>
        <w:t xml:space="preserve">” at the Commune of Liqenas, Korça Prefecture.  The latter leads and manages the activities of folk groups in Macedonian minority villages.  This association has organized the Liqenas Festival and a series of tours in Albania and in the neighbouring regions of The former Yugoslav Republic of Macedonia.  The values of folk traditions, culture and customs have been demonstrated during these shows. </w:t>
      </w:r>
    </w:p>
    <w:p w:rsidR="00000000" w:rsidRDefault="00000000">
      <w:pPr>
        <w:pStyle w:val="ParaNo"/>
        <w:tabs>
          <w:tab w:val="clear" w:pos="737"/>
        </w:tabs>
        <w:rPr>
          <w:lang w:val="en-GB"/>
        </w:rPr>
      </w:pPr>
      <w:r>
        <w:rPr>
          <w:lang w:val="en-GB"/>
        </w:rPr>
        <w:t xml:space="preserve">The cultural association of the Montenegrin minority, </w:t>
      </w:r>
      <w:r>
        <w:rPr>
          <w:i/>
          <w:iCs/>
          <w:lang w:val="en-GB"/>
        </w:rPr>
        <w:t>Moraca Rozafa</w:t>
      </w:r>
      <w:r>
        <w:rPr>
          <w:lang w:val="en-GB"/>
        </w:rPr>
        <w:t>, develops its activities in the Commune of Vraka, Shkodra Prefecture.  It has organized a series of activities, retaining and promoting the language, culture and traditions of the Montenegrin minority.</w:t>
      </w:r>
    </w:p>
    <w:p w:rsidR="00000000" w:rsidRDefault="00000000">
      <w:pPr>
        <w:pStyle w:val="ParaNo"/>
        <w:tabs>
          <w:tab w:val="clear" w:pos="737"/>
        </w:tabs>
        <w:rPr>
          <w:lang w:val="en-GB"/>
        </w:rPr>
      </w:pPr>
      <w:r>
        <w:rPr>
          <w:lang w:val="en-GB"/>
        </w:rPr>
        <w:t>The Roma minority has been organized in associations such as “</w:t>
      </w:r>
      <w:r>
        <w:rPr>
          <w:i/>
          <w:iCs/>
          <w:lang w:val="en-GB"/>
        </w:rPr>
        <w:t>Amaro</w:t>
      </w:r>
      <w:r>
        <w:rPr>
          <w:i/>
          <w:iCs/>
          <w:lang w:val="en-GB"/>
        </w:rPr>
        <w:noBreakHyphen/>
        <w:t>Drom</w:t>
      </w:r>
      <w:r>
        <w:rPr>
          <w:lang w:val="en-GB"/>
        </w:rPr>
        <w:t>”, “</w:t>
      </w:r>
      <w:r>
        <w:rPr>
          <w:i/>
          <w:iCs/>
          <w:lang w:val="en-GB"/>
        </w:rPr>
        <w:t>Amaro Divas</w:t>
      </w:r>
      <w:r>
        <w:rPr>
          <w:lang w:val="en-GB"/>
        </w:rPr>
        <w:t>”, “</w:t>
      </w:r>
      <w:r>
        <w:rPr>
          <w:i/>
          <w:iCs/>
          <w:lang w:val="en-GB"/>
        </w:rPr>
        <w:t>Romani Baxt</w:t>
      </w:r>
      <w:r>
        <w:rPr>
          <w:lang w:val="en-GB"/>
        </w:rPr>
        <w:t>”, etc.</w:t>
      </w:r>
    </w:p>
    <w:p w:rsidR="00000000" w:rsidRDefault="00000000">
      <w:pPr>
        <w:pStyle w:val="ParaNo"/>
        <w:tabs>
          <w:tab w:val="clear" w:pos="737"/>
        </w:tabs>
        <w:rPr>
          <w:lang w:val="en-GB"/>
        </w:rPr>
      </w:pPr>
      <w:r>
        <w:rPr>
          <w:lang w:val="en-GB"/>
        </w:rPr>
        <w:t>The Aromanians have established their association, “</w:t>
      </w:r>
      <w:r>
        <w:rPr>
          <w:i/>
          <w:iCs/>
          <w:lang w:val="en-GB"/>
        </w:rPr>
        <w:t>Armeni</w:t>
      </w:r>
      <w:r>
        <w:rPr>
          <w:i/>
          <w:iCs/>
          <w:lang w:val="en-GB"/>
        </w:rPr>
        <w:noBreakHyphen/>
        <w:t>Alban</w:t>
      </w:r>
      <w:r>
        <w:rPr>
          <w:lang w:val="en-GB"/>
        </w:rPr>
        <w:t xml:space="preserve">” (Aromanians of Albania), the Vlleha Voskopoja Association.  The main objective of these associations is to retain their language, culture and traditions. </w:t>
      </w:r>
    </w:p>
    <w:p w:rsidR="00000000" w:rsidRDefault="00000000">
      <w:pPr>
        <w:pStyle w:val="Heading3"/>
      </w:pPr>
      <w:r>
        <w:t>Mass media</w:t>
      </w:r>
    </w:p>
    <w:p w:rsidR="00000000" w:rsidRDefault="00000000">
      <w:pPr>
        <w:pStyle w:val="ParaNo"/>
        <w:tabs>
          <w:tab w:val="clear" w:pos="737"/>
        </w:tabs>
        <w:rPr>
          <w:lang w:val="en-GB"/>
        </w:rPr>
      </w:pPr>
      <w:r>
        <w:rPr>
          <w:lang w:val="en-GB"/>
        </w:rPr>
        <w:t>In October 2001 there were 15 daily newspapers in Albania and most of them were electronically available on the Internet.</w:t>
      </w:r>
    </w:p>
    <w:p w:rsidR="00000000" w:rsidRDefault="00000000">
      <w:pPr>
        <w:pStyle w:val="ParaNo"/>
        <w:tabs>
          <w:tab w:val="clear" w:pos="737"/>
        </w:tabs>
        <w:rPr>
          <w:lang w:val="en-GB"/>
        </w:rPr>
      </w:pPr>
      <w:r>
        <w:rPr>
          <w:lang w:val="en-GB"/>
        </w:rPr>
        <w:t>At the beginning of 2002 there was a total of 97 operators of licensed radio and television stations, of which 35 are FM radio operators (1 national and 34 local) and 62 TV operators (2 national and 54 local), including 1 satellite and 5 cable</w:t>
      </w:r>
      <w:r>
        <w:rPr>
          <w:lang w:val="en-GB"/>
        </w:rPr>
        <w:noBreakHyphen/>
        <w:t>TV operators.</w:t>
      </w:r>
    </w:p>
    <w:p w:rsidR="00000000" w:rsidRDefault="00000000">
      <w:pPr>
        <w:pStyle w:val="ParaNo"/>
        <w:tabs>
          <w:tab w:val="clear" w:pos="737"/>
        </w:tabs>
        <w:rPr>
          <w:lang w:val="en-GB"/>
        </w:rPr>
      </w:pPr>
      <w:r>
        <w:rPr>
          <w:lang w:val="en-GB"/>
        </w:rPr>
        <w:t>Further information on the mass media and the diffusion of culture by these means can be found in the initial report on the implementation of the International Covenant on Civil and Political Rights (</w:t>
      </w:r>
      <w:r>
        <w:rPr>
          <w:rStyle w:val="style181"/>
          <w:sz w:val="24"/>
          <w:szCs w:val="24"/>
          <w:lang w:val="en-GB"/>
        </w:rPr>
        <w:t>CCPR/C/ALB/2004/1)</w:t>
      </w:r>
      <w:r>
        <w:rPr>
          <w:lang w:val="en-GB"/>
        </w:rPr>
        <w:t>.</w:t>
      </w:r>
    </w:p>
    <w:p w:rsidR="00000000" w:rsidRDefault="00000000">
      <w:pPr>
        <w:pStyle w:val="Heading3"/>
      </w:pPr>
      <w:r>
        <w:t>Freedom of scientific research and creative activity</w:t>
      </w:r>
    </w:p>
    <w:p w:rsidR="00000000" w:rsidRDefault="00000000">
      <w:pPr>
        <w:pStyle w:val="ParaNo"/>
        <w:tabs>
          <w:tab w:val="clear" w:pos="737"/>
        </w:tabs>
        <w:rPr>
          <w:lang w:val="en-GB"/>
        </w:rPr>
      </w:pPr>
      <w:r>
        <w:rPr>
          <w:lang w:val="en-GB"/>
        </w:rPr>
        <w:t>In Albania there exists a comprehensive legal framework, one which guarantees the fundamental rights and freedoms in the field of scientific progress and aims at the development, dissemination and application of scientific achievements in favour of the democratic advancement of the country.</w:t>
      </w:r>
    </w:p>
    <w:p w:rsidR="00000000" w:rsidRDefault="00000000">
      <w:pPr>
        <w:pStyle w:val="ParaNo"/>
        <w:tabs>
          <w:tab w:val="clear" w:pos="737"/>
        </w:tabs>
        <w:rPr>
          <w:lang w:val="en-GB"/>
        </w:rPr>
      </w:pPr>
      <w:r>
        <w:rPr>
          <w:lang w:val="en-GB"/>
        </w:rPr>
        <w:t>Many articles of the basic legislation in this field, such as Law No. 7893, dated 22 December 1994, “On science and technological development”, guarantees everyone’s right to contribute to scientific research and technical progress, as well as to enjoy the benefits deriving from the scientific application and its application, including the protection, development and dissemination of scientific progress.</w:t>
      </w:r>
    </w:p>
    <w:p w:rsidR="00000000" w:rsidRDefault="00000000">
      <w:pPr>
        <w:pStyle w:val="ParaNo"/>
        <w:tabs>
          <w:tab w:val="clear" w:pos="737"/>
        </w:tabs>
        <w:rPr>
          <w:lang w:val="en-GB"/>
        </w:rPr>
      </w:pPr>
      <w:r>
        <w:rPr>
          <w:lang w:val="en-GB"/>
        </w:rPr>
        <w:t>In more concrete terms, this law guarantees:</w:t>
      </w:r>
    </w:p>
    <w:p w:rsidR="00000000" w:rsidRDefault="00000000">
      <w:pPr>
        <w:numPr>
          <w:ilvl w:val="0"/>
          <w:numId w:val="247"/>
        </w:numPr>
      </w:pPr>
      <w:r>
        <w:t>The right of the freedom of scientific research as guaranteed by law (art. 5);</w:t>
      </w:r>
    </w:p>
    <w:p w:rsidR="00000000" w:rsidRDefault="00000000">
      <w:pPr>
        <w:numPr>
          <w:ilvl w:val="0"/>
          <w:numId w:val="247"/>
        </w:numPr>
      </w:pPr>
      <w:r>
        <w:t>Freedom of choosing scientific and development methods by scientific personnel (art. 41);</w:t>
      </w:r>
    </w:p>
    <w:p w:rsidR="00000000" w:rsidRDefault="00000000">
      <w:pPr>
        <w:numPr>
          <w:ilvl w:val="0"/>
          <w:numId w:val="247"/>
        </w:numPr>
      </w:pPr>
      <w:r>
        <w:t>The right and purpose of scientific and technological research for harmonious and democratic development of the society, economy and culture (art. 6);</w:t>
      </w:r>
    </w:p>
    <w:p w:rsidR="00000000" w:rsidRDefault="00000000">
      <w:pPr>
        <w:numPr>
          <w:ilvl w:val="0"/>
          <w:numId w:val="247"/>
        </w:numPr>
      </w:pPr>
      <w:r>
        <w:t>The right to respect scientific truth and intellectual property (art. 6);</w:t>
      </w:r>
    </w:p>
    <w:p w:rsidR="00000000" w:rsidRDefault="00000000">
      <w:pPr>
        <w:numPr>
          <w:ilvl w:val="0"/>
          <w:numId w:val="247"/>
        </w:numPr>
      </w:pPr>
      <w:r>
        <w:t xml:space="preserve">The right to international scientific and technological cooperation </w:t>
      </w:r>
      <w:r>
        <w:br/>
        <w:t>(arts. 6 and 25);</w:t>
      </w:r>
    </w:p>
    <w:p w:rsidR="00000000" w:rsidRDefault="00000000">
      <w:pPr>
        <w:numPr>
          <w:ilvl w:val="0"/>
          <w:numId w:val="247"/>
        </w:numPr>
      </w:pPr>
      <w:r>
        <w:t>The right to establish private scientific institutions (art. 51) and privatization of scientific and technological development (art. 7);</w:t>
      </w:r>
    </w:p>
    <w:p w:rsidR="00000000" w:rsidRDefault="00000000">
      <w:pPr>
        <w:numPr>
          <w:ilvl w:val="0"/>
          <w:numId w:val="247"/>
        </w:numPr>
      </w:pPr>
      <w:r>
        <w:t>The right to make institutions of scientific research autonomous (art. 13);</w:t>
      </w:r>
    </w:p>
    <w:p w:rsidR="00000000" w:rsidRDefault="00000000">
      <w:pPr>
        <w:numPr>
          <w:ilvl w:val="0"/>
          <w:numId w:val="247"/>
        </w:numPr>
      </w:pPr>
      <w:r>
        <w:t>The right to association for scientific staff (art. 40);</w:t>
      </w:r>
    </w:p>
    <w:p w:rsidR="00000000" w:rsidRDefault="00000000">
      <w:pPr>
        <w:numPr>
          <w:ilvl w:val="0"/>
          <w:numId w:val="247"/>
        </w:numPr>
      </w:pPr>
      <w:r>
        <w:t>The right of scientific employees (junior employees in particular) to be trained and specialized in and out of the country (art. 42);</w:t>
      </w:r>
    </w:p>
    <w:p w:rsidR="00000000" w:rsidRDefault="00000000">
      <w:pPr>
        <w:numPr>
          <w:ilvl w:val="0"/>
          <w:numId w:val="247"/>
        </w:numPr>
      </w:pPr>
      <w:r>
        <w:br w:type="page"/>
        <w:t>The right to recognition, reward and scientific prizes for scientific and technological activity (art. 47);</w:t>
      </w:r>
    </w:p>
    <w:p w:rsidR="00000000" w:rsidRDefault="00000000">
      <w:pPr>
        <w:numPr>
          <w:ilvl w:val="0"/>
          <w:numId w:val="247"/>
        </w:numPr>
      </w:pPr>
      <w:r>
        <w:t>The right to information on scientific and technological activity (art. 49) and publication of results (art. 50).</w:t>
      </w:r>
    </w:p>
    <w:p w:rsidR="00000000" w:rsidRDefault="00000000">
      <w:pPr>
        <w:pStyle w:val="ParaNo"/>
        <w:tabs>
          <w:tab w:val="clear" w:pos="737"/>
        </w:tabs>
        <w:rPr>
          <w:lang w:val="en-GB"/>
        </w:rPr>
      </w:pPr>
      <w:r>
        <w:rPr>
          <w:lang w:val="en-GB"/>
        </w:rPr>
        <w:t>It is obvious from the above that these articles of the law reflect and contain best the principles, standards and requirements of a number of international instruments on human rights, and particularly article 15 of the International Covenant on Economic, Social and Cultural Rights and article 27 of the Universal Declaration of Human Rights on the rights of each person to freely participate in scientific progress and its benefits, as well as on the protection of moral and material interests deriving from each scientific production.  The legal provisions also support the development and dissemination of science, respecting the necessary freedom of scientific research creative activity, as well as the development of international cooperation in the field of science.</w:t>
      </w:r>
    </w:p>
    <w:p w:rsidR="00000000" w:rsidRDefault="00000000">
      <w:pPr>
        <w:pStyle w:val="ParaNo"/>
        <w:tabs>
          <w:tab w:val="clear" w:pos="737"/>
        </w:tabs>
        <w:rPr>
          <w:lang w:val="en-GB"/>
        </w:rPr>
      </w:pPr>
      <w:r>
        <w:rPr>
          <w:lang w:val="en-GB"/>
        </w:rPr>
        <w:t>The Government of Albania and the Ministry of Education and Science, in particular, have undertaken a number of successful measures to promote the dissemination of information on scientific and technological progress.  This includes promotion of national programmes of scientific research, periodic conferences and symposiums, publications and the collection of scientific research, extensive use of information technology at scientific and research institutions, the participation of Albanian scientists in regional and international projects and programmes of scientific research, as well as in forums and other important international research activities for the promotion of Albanian scientific achievements and exchange of updated scientific information, etc.</w:t>
      </w:r>
    </w:p>
    <w:p w:rsidR="00000000" w:rsidRDefault="00000000">
      <w:pPr>
        <w:pStyle w:val="ParaNo"/>
        <w:tabs>
          <w:tab w:val="clear" w:pos="737"/>
        </w:tabs>
        <w:rPr>
          <w:lang w:val="en-GB"/>
        </w:rPr>
      </w:pPr>
      <w:r>
        <w:rPr>
          <w:lang w:val="en-GB"/>
        </w:rPr>
        <w:t>In the meantime, legal and practical measures have been taken for the prevention of the use of scientific and technical achievements for purposes that infringe human rights, including the right to life, health, personal freedom and private life and other similar rights.  There are two trends worth noting:</w:t>
      </w:r>
    </w:p>
    <w:p w:rsidR="00000000" w:rsidRDefault="00000000">
      <w:pPr>
        <w:pStyle w:val="ParaNo"/>
        <w:numPr>
          <w:ilvl w:val="0"/>
          <w:numId w:val="248"/>
        </w:numPr>
        <w:tabs>
          <w:tab w:val="clear" w:pos="737"/>
        </w:tabs>
        <w:rPr>
          <w:lang w:val="en-GB"/>
        </w:rPr>
      </w:pPr>
      <w:r>
        <w:rPr>
          <w:lang w:val="en-GB"/>
        </w:rPr>
        <w:t>Firstly, the application of new information and communication technology is related with two problems:  its application to monitoring communication of particular individuals suspected of committing crimes and the negative impact on human health of antenna networks of mobile communication.  There is a full engagement of legislative and executive institutions to regulate legally and technically these issues;</w:t>
      </w:r>
    </w:p>
    <w:p w:rsidR="00000000" w:rsidRDefault="00000000">
      <w:pPr>
        <w:pStyle w:val="ParaNo"/>
        <w:numPr>
          <w:ilvl w:val="0"/>
          <w:numId w:val="248"/>
        </w:numPr>
        <w:tabs>
          <w:tab w:val="clear" w:pos="737"/>
        </w:tabs>
        <w:rPr>
          <w:lang w:val="en-GB"/>
        </w:rPr>
      </w:pPr>
      <w:r>
        <w:rPr>
          <w:lang w:val="en-GB"/>
        </w:rPr>
        <w:t>Secondly, regarding the achievements of genetic engineering, especially genetically modified organisms, their dissemination and use have an impact on health and environment.  The Parliament and Government are in a process of considering the adoption of relevant legislation in conformity with international standards.</w:t>
      </w:r>
    </w:p>
    <w:p w:rsidR="00000000" w:rsidRDefault="00000000">
      <w:pPr>
        <w:pStyle w:val="ParaNo"/>
        <w:tabs>
          <w:tab w:val="clear" w:pos="737"/>
        </w:tabs>
        <w:rPr>
          <w:lang w:val="en-GB"/>
        </w:rPr>
      </w:pPr>
      <w:r>
        <w:rPr>
          <w:lang w:val="en-GB"/>
        </w:rPr>
        <w:t>With a view to disseminating science and culture, the Government of Albania has established a network of scientific institutions.  This network includes three scientific systems:  the institutional system of the Academy of Sciences, the system of scientific institutions within ministries as well as the system of universities as teaching and scientific institutions.  The overall number of these institutions is 50.</w:t>
      </w:r>
    </w:p>
    <w:p w:rsidR="00000000" w:rsidRDefault="00000000">
      <w:pPr>
        <w:pStyle w:val="ParaNo"/>
        <w:tabs>
          <w:tab w:val="clear" w:pos="737"/>
        </w:tabs>
        <w:rPr>
          <w:lang w:val="en-GB"/>
        </w:rPr>
      </w:pPr>
      <w:r>
        <w:rPr>
          <w:lang w:val="en-GB"/>
        </w:rPr>
        <w:t>Scientific freedom is guaranteed by Law No. 7893, of 22 December 1994, “On science and technical development”, (arts. 5, 6 and 41).</w:t>
      </w:r>
    </w:p>
    <w:p w:rsidR="00000000" w:rsidRDefault="00000000">
      <w:pPr>
        <w:numPr>
          <w:ilvl w:val="0"/>
          <w:numId w:val="249"/>
        </w:numPr>
      </w:pPr>
      <w:r>
        <w:t>Article 5 guarantees the freedom of scientific research as guaranteed by law;</w:t>
      </w:r>
    </w:p>
    <w:p w:rsidR="00000000" w:rsidRDefault="00000000">
      <w:pPr>
        <w:numPr>
          <w:ilvl w:val="0"/>
          <w:numId w:val="249"/>
        </w:numPr>
      </w:pPr>
      <w:r>
        <w:t>Article 41 guarantees freedom of choice by scientific staff of methods of research and development;</w:t>
      </w:r>
    </w:p>
    <w:p w:rsidR="00000000" w:rsidRDefault="00000000">
      <w:pPr>
        <w:numPr>
          <w:ilvl w:val="0"/>
          <w:numId w:val="249"/>
        </w:numPr>
      </w:pPr>
      <w:r>
        <w:t>Article 6 guarantees the right and scope of scientific and technological activities for a harmonious and democratic progress of society, economy and culture; and the right of respecting scientific facts and intellectual property.</w:t>
      </w:r>
    </w:p>
    <w:p w:rsidR="00000000" w:rsidRDefault="00000000">
      <w:pPr>
        <w:pStyle w:val="ParaNo"/>
        <w:tabs>
          <w:tab w:val="clear" w:pos="737"/>
        </w:tabs>
        <w:rPr>
          <w:lang w:val="en-GB"/>
        </w:rPr>
      </w:pPr>
      <w:r>
        <w:rPr>
          <w:lang w:val="en-GB"/>
        </w:rPr>
        <w:t>Freedom to exchange scientific information is guaranteed by Law No. 7893, of 22 December 1994, “On science and technological development”, in its articles 49 and 50.  In more concrete terms, article 49 guarantees the right of the public to be informed on scientific issues and article 50 guarantees the right of dissemination and publication of the results of scientific research.</w:t>
      </w:r>
    </w:p>
    <w:p w:rsidR="00000000" w:rsidRDefault="00000000">
      <w:pPr>
        <w:pStyle w:val="ParaNo"/>
        <w:tabs>
          <w:tab w:val="clear" w:pos="737"/>
        </w:tabs>
        <w:rPr>
          <w:lang w:val="en-GB"/>
        </w:rPr>
      </w:pPr>
      <w:r>
        <w:rPr>
          <w:lang w:val="en-GB"/>
        </w:rPr>
        <w:t xml:space="preserve">From the constitutional, legal and practical points of view, all conditions are provided and all potential favourable and supportive measures are taken to organize associations of education and scientific employees. </w:t>
      </w:r>
    </w:p>
    <w:p w:rsidR="00000000" w:rsidRDefault="00000000">
      <w:pPr>
        <w:pStyle w:val="ParaNo"/>
        <w:tabs>
          <w:tab w:val="clear" w:pos="737"/>
        </w:tabs>
        <w:rPr>
          <w:lang w:val="en-GB"/>
        </w:rPr>
      </w:pPr>
      <w:r>
        <w:rPr>
          <w:lang w:val="en-GB"/>
        </w:rPr>
        <w:t>There are more than 100 associations in the field of education and science of different categories, which can be divided into three groups:</w:t>
      </w:r>
    </w:p>
    <w:p w:rsidR="00000000" w:rsidRDefault="00000000">
      <w:pPr>
        <w:pStyle w:val="ParaNo"/>
        <w:numPr>
          <w:ilvl w:val="0"/>
          <w:numId w:val="250"/>
        </w:numPr>
        <w:tabs>
          <w:tab w:val="clear" w:pos="737"/>
        </w:tabs>
        <w:rPr>
          <w:lang w:val="en-GB"/>
        </w:rPr>
      </w:pPr>
      <w:r>
        <w:rPr>
          <w:lang w:val="en-GB"/>
        </w:rPr>
        <w:t>Associations for civil education and human rights (the Specialists of Education Association, the Professors’ and Teachers’ Association, the Albanian Centre for Emigration Studies, the Citizens’ Engagement Association, the Albanian Movement for Peace and Understanding, “Education and Progress” Institute, etc.);</w:t>
      </w:r>
    </w:p>
    <w:p w:rsidR="00000000" w:rsidRDefault="00000000">
      <w:pPr>
        <w:pStyle w:val="ParaNo"/>
        <w:numPr>
          <w:ilvl w:val="0"/>
          <w:numId w:val="250"/>
        </w:numPr>
        <w:tabs>
          <w:tab w:val="clear" w:pos="737"/>
        </w:tabs>
        <w:rPr>
          <w:lang w:val="en-GB"/>
        </w:rPr>
      </w:pPr>
      <w:r>
        <w:rPr>
          <w:lang w:val="en-GB"/>
        </w:rPr>
        <w:t>Professional associations such as:  the Pan</w:t>
      </w:r>
      <w:r>
        <w:rPr>
          <w:lang w:val="en-GB"/>
        </w:rPr>
        <w:noBreakHyphen/>
        <w:t>Albanian League of Historians, Albanian Institute for Balkan Issues, the Economists’ Union, the Pan</w:t>
      </w:r>
      <w:r>
        <w:rPr>
          <w:lang w:val="en-GB"/>
        </w:rPr>
        <w:noBreakHyphen/>
        <w:t>Albanian Association of Psychologists, the Albanian Association of Philosophy, the English Language Professors’ and Teachers’ Association, Association of Interpreters, the respective associations of mathematicians, physicians, biologists, anthropologists, chemists, cardiologists, paediatricians, oncologists, the Doctors’ Order, Albanian Contemporary Music Association, the “Frederick Chopin” Association of Albania, the Mini</w:t>
      </w:r>
      <w:r>
        <w:rPr>
          <w:lang w:val="en-GB"/>
        </w:rPr>
        <w:noBreakHyphen/>
        <w:t>Basket and Beach</w:t>
      </w:r>
      <w:r>
        <w:rPr>
          <w:lang w:val="en-GB"/>
        </w:rPr>
        <w:noBreakHyphen/>
        <w:t>Volley Association, and so on);</w:t>
      </w:r>
    </w:p>
    <w:p w:rsidR="00000000" w:rsidRDefault="00000000">
      <w:pPr>
        <w:numPr>
          <w:ilvl w:val="0"/>
          <w:numId w:val="250"/>
        </w:numPr>
      </w:pPr>
      <w:r>
        <w:t>Associations for environmental protection and sustainable development such as Preservation and Protection of Natural Environment Association, Environmental Youth Club “Perla (Pearl)”, the Agro</w:t>
      </w:r>
      <w:r>
        <w:noBreakHyphen/>
        <w:t>Environment Association, the Agrarian Cooperative Union of Albania, the National Association of Cooperatives’ Assistance, the Association for Land Protection, the Association for the Protection and Preservation of Freshwater and Coastal Waters of Albania, the Association of Environmentalist Doctors, the Association for the Protection of Mammals and Poultry, the Scientific Association of Forestry Students, the Association of Cave Explorers, etc.</w:t>
      </w:r>
    </w:p>
    <w:p w:rsidR="00000000" w:rsidRDefault="00000000">
      <w:pPr>
        <w:pStyle w:val="ParaNo"/>
        <w:tabs>
          <w:tab w:val="clear" w:pos="737"/>
        </w:tabs>
        <w:rPr>
          <w:lang w:val="en-GB"/>
        </w:rPr>
      </w:pPr>
      <w:r>
        <w:rPr>
          <w:lang w:val="en-GB"/>
        </w:rPr>
        <w:br w:type="page"/>
        <w:t>They have a distinct and manifold contribution, but mainly related to:</w:t>
      </w:r>
    </w:p>
    <w:p w:rsidR="00000000" w:rsidRDefault="00000000">
      <w:pPr>
        <w:numPr>
          <w:ilvl w:val="0"/>
          <w:numId w:val="252"/>
        </w:numPr>
      </w:pPr>
      <w:r>
        <w:t>Awareness of academic opinion in favour of democratic reforms, on stimulation of democratic and critical thought, as a source of engagement for democratic and concrete transformation;</w:t>
      </w:r>
    </w:p>
    <w:p w:rsidR="00000000" w:rsidRDefault="00000000">
      <w:pPr>
        <w:numPr>
          <w:ilvl w:val="0"/>
          <w:numId w:val="251"/>
        </w:numPr>
      </w:pPr>
      <w:r>
        <w:t>The strategy of democratic, national and pan</w:t>
      </w:r>
      <w:r>
        <w:noBreakHyphen/>
        <w:t>Albanian development such as:  study and dissemination activities of the Economists’ Union on the priorities of national development and democratic integration of the region, activities of the League of Historians concerning the democratic and integrative perception of relevant national and regional historical developments, activities of a range of associations for environmental protection and sustainable development, particularly the Albanian Agrarian Cooperative Union, which had a significant impact as regards giving special attention, cooperation and ecological and sustainable development in the national strategy of agro</w:t>
      </w:r>
      <w:r>
        <w:noBreakHyphen/>
        <w:t>nutritive development;</w:t>
      </w:r>
    </w:p>
    <w:p w:rsidR="00000000" w:rsidRDefault="00000000">
      <w:pPr>
        <w:numPr>
          <w:ilvl w:val="0"/>
          <w:numId w:val="251"/>
        </w:numPr>
      </w:pPr>
      <w:r>
        <w:t>The democratic reform of civic education in schools and the community, such as the Professors’ and Teachers’ Association, the Education Specialists’ Association, and others, as regards democratic perception of democratic civic education in the conditions of a pluralist democratic society and a market economy, concerning the role of professors and the conditions of a new system of civic and democratic education;</w:t>
      </w:r>
    </w:p>
    <w:p w:rsidR="00000000" w:rsidRDefault="00000000">
      <w:pPr>
        <w:numPr>
          <w:ilvl w:val="0"/>
          <w:numId w:val="251"/>
        </w:numPr>
      </w:pPr>
      <w:r>
        <w:t>The improvement of curricula and educational and scientific process, by organizing discussions and scientific studies.  For instance, the Historians’ Association has organized discussions and publications that have a positive impact on improving history curricula in secondary education and of the community’s historical culture;</w:t>
      </w:r>
    </w:p>
    <w:p w:rsidR="00000000" w:rsidRDefault="00000000">
      <w:pPr>
        <w:numPr>
          <w:ilvl w:val="0"/>
          <w:numId w:val="251"/>
        </w:numPr>
      </w:pPr>
      <w:r>
        <w:t>Opposing governmental decision</w:t>
      </w:r>
      <w:r>
        <w:noBreakHyphen/>
        <w:t>making processes and institutional restructuring.  For instance, the Albanian Philosophical Association strongly opposed the Government’s decision to close the Faculty of Philosophy and Sociology at Tirana University in 1992, giving, at the same time, its alternatives for the gradual restructuring of this faculty, as was done with other faculties of this university.  This alternative was further developed in 1998 as regards the contemporaneous restructuring of the Philosophy and Sociology branch by dividing it into two distinctive branches as well as for the opening of a political sciences branch and a public administration branch, by proposing this alternative to relevant academic and State bodies;</w:t>
      </w:r>
    </w:p>
    <w:p w:rsidR="00000000" w:rsidRDefault="00000000">
      <w:pPr>
        <w:numPr>
          <w:ilvl w:val="0"/>
          <w:numId w:val="251"/>
        </w:numPr>
      </w:pPr>
      <w:r>
        <w:t>Democratic integration of the community in the Euro</w:t>
      </w:r>
      <w:r>
        <w:noBreakHyphen/>
        <w:t>Atlantic integration of the country.  For example, the integration of the Pan</w:t>
      </w:r>
      <w:r>
        <w:noBreakHyphen/>
        <w:t xml:space="preserve">Albanian Psychologists’ Association into the European and World Psychologists’ Organizations, respectively; the Anthropologists’ Association in its European homologue; the National Association of Cooperatives’ Assistance in Alliance Cooperative International; several medical associations in their European counterparts, and so on. </w:t>
      </w:r>
    </w:p>
    <w:p w:rsidR="00000000" w:rsidRDefault="00000000">
      <w:pPr>
        <w:pStyle w:val="ParaNo"/>
        <w:tabs>
          <w:tab w:val="clear" w:pos="737"/>
        </w:tabs>
        <w:rPr>
          <w:lang w:val="en-GB"/>
        </w:rPr>
      </w:pPr>
      <w:r>
        <w:rPr>
          <w:lang w:val="en-GB"/>
        </w:rPr>
        <w:br w:type="page"/>
        <w:t>There has been no evidence of difficulties affecting the realization of freedom of organization of employees in the fields of education and science.</w:t>
      </w:r>
    </w:p>
    <w:p w:rsidR="00000000" w:rsidRDefault="00000000">
      <w:pPr>
        <w:pStyle w:val="ParaNo"/>
        <w:tabs>
          <w:tab w:val="clear" w:pos="737"/>
        </w:tabs>
        <w:rPr>
          <w:lang w:val="en-GB"/>
        </w:rPr>
      </w:pPr>
      <w:r>
        <w:rPr>
          <w:lang w:val="en-GB"/>
        </w:rPr>
        <w:t>Participation of Albanian scientists in international activities is guaranteed by Law No. 7893, dated 22 December 1994, “On science and technological development”, article 25 of which sanctions the right of international scientific and technological cooperation, not only through projects of regional and international cooperation, but also through bilateral and multilateral intergovernmental agreements in the field of science.</w:t>
      </w:r>
    </w:p>
    <w:p w:rsidR="00000000" w:rsidRDefault="00000000">
      <w:pPr>
        <w:pStyle w:val="ParaNo"/>
        <w:tabs>
          <w:tab w:val="clear" w:pos="737"/>
        </w:tabs>
        <w:rPr>
          <w:lang w:val="en-GB"/>
        </w:rPr>
      </w:pPr>
      <w:r>
        <w:rPr>
          <w:lang w:val="en-GB"/>
        </w:rPr>
        <w:t>Difficulties in getting visas from foreign embassies in Albania or in other countries are affecting negatively the free movement of Albanian scientists.</w:t>
      </w:r>
    </w:p>
    <w:p w:rsidR="00000000" w:rsidRDefault="00000000">
      <w:pPr>
        <w:pStyle w:val="Heading3"/>
      </w:pPr>
      <w:r>
        <w:t>International cooperation</w:t>
      </w:r>
    </w:p>
    <w:p w:rsidR="00000000" w:rsidRDefault="00000000">
      <w:pPr>
        <w:pStyle w:val="ParaNo"/>
        <w:tabs>
          <w:tab w:val="clear" w:pos="737"/>
        </w:tabs>
        <w:rPr>
          <w:lang w:val="en-GB"/>
        </w:rPr>
      </w:pPr>
      <w:r>
        <w:rPr>
          <w:lang w:val="en-GB"/>
        </w:rPr>
        <w:t>International assistance has been present in the process of drafting the relevant legislation as regards scientific research.</w:t>
      </w:r>
    </w:p>
    <w:p w:rsidR="00000000" w:rsidRDefault="00000000">
      <w:pPr>
        <w:jc w:val="center"/>
      </w:pPr>
      <w:r>
        <w:t>- - - - -</w:t>
      </w:r>
    </w:p>
    <w:sectPr w:rsidR="00000000">
      <w:headerReference w:type="even" r:id="rId29"/>
      <w:headerReference w:type="default" r:id="rId30"/>
      <w:headerReference w:type="first" r:id="rId31"/>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600"/>
      </w:pPr>
      <w:r>
        <w:rPr>
          <w:rStyle w:val="FootnoteReference"/>
          <w:b w:val="0"/>
          <w:bCs/>
          <w:vertAlign w:val="baseline"/>
        </w:rPr>
        <w:t>*</w:t>
      </w:r>
      <w:r>
        <w:t xml:space="preserve">  The information submitted by Albania in accordance with the guidelines concerning the initial part of reports of States parties is contained in the core document (HRI/CORE/1/Add.124).</w:t>
      </w:r>
    </w:p>
    <w:p w:rsidR="00000000" w:rsidRDefault="00000000">
      <w:pPr>
        <w:pStyle w:val="FootnoteText"/>
      </w:pPr>
      <w:r>
        <w:t>GE.05</w:t>
      </w:r>
      <w:r>
        <w:noBreakHyphen/>
        <w:t>41010  (E)    110505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4320"/>
        <w:tab w:val="right" w:pos="8640"/>
      </w:tabs>
      <w:spacing w:after="0"/>
    </w:pPr>
    <w:r>
      <w:t>E/1990/5/Add.67</w:t>
    </w:r>
  </w:p>
  <w:p w:rsidR="00000000" w:rsidRDefault="00000000">
    <w:pPr>
      <w:tabs>
        <w:tab w:val="left" w:pos="4320"/>
        <w:tab w:val="right" w:pos="8640"/>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tabs>
        <w:tab w:val="left" w:pos="4320"/>
        <w:tab w:val="right"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480"/>
        <w:tab w:val="left" w:pos="7080"/>
      </w:tabs>
      <w:spacing w:after="0"/>
    </w:pPr>
    <w:r>
      <w:tab/>
    </w:r>
    <w:r>
      <w:tab/>
      <w:t>E/1990/5/Add.67</w:t>
    </w:r>
  </w:p>
  <w:p w:rsidR="00000000" w:rsidRDefault="00000000">
    <w:pPr>
      <w:pStyle w:val="Header"/>
      <w:tabs>
        <w:tab w:val="clear" w:pos="4320"/>
        <w:tab w:val="clear" w:pos="8640"/>
        <w:tab w:val="left" w:pos="6480"/>
        <w:tab w:val="left" w:pos="7080"/>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pStyle w:val="Header"/>
      <w:tabs>
        <w:tab w:val="clear" w:pos="4320"/>
        <w:tab w:val="clear" w:pos="8640"/>
        <w:tab w:val="left" w:pos="6480"/>
        <w:tab w:val="left" w:pos="708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3.95pt;margin-top:36.65pt;width:43.95pt;height:150.8pt;z-index:2" o:allowincell="f" stroked="f">
          <v:textbox style="layout-flow:vertical" inset=",,,.5mm">
            <w:txbxContent>
              <w:p w:rsidR="00000000" w:rsidRDefault="00000000">
                <w:r>
                  <w:t>E/1990/5/Add.67</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1;mso-position-vertical-relative:page" o:allowincell="f" stroked="f">
          <v:textbox style="layout-flow:vertical">
            <w:txbxContent>
              <w:p w:rsidR="00000000" w:rsidRDefault="00000000">
                <w:pPr>
                  <w:tabs>
                    <w:tab w:val="left" w:pos="851"/>
                  </w:tabs>
                </w:pPr>
                <w:r>
                  <w:tab/>
                  <w:t>E/1990/5/Add.67</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E/1990/5/Add.67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126</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E/1990/5/Add.67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125</w:t>
    </w:r>
    <w:r>
      <w:fldChar w:fldCharType="end"/>
    </w:r>
  </w:p>
  <w:p w:rsidR="00000000" w:rsidRDefault="00000000">
    <w:pPr>
      <w:pStyle w:val="Header"/>
      <w:tabs>
        <w:tab w:val="clear" w:pos="4320"/>
        <w:tab w:val="clear" w:pos="8640"/>
        <w:tab w:val="left" w:pos="5828"/>
        <w:tab w:val="left" w:pos="6650"/>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AB4338"/>
    <w:multiLevelType w:val="hybridMultilevel"/>
    <w:tmpl w:val="0C28CD66"/>
    <w:lvl w:ilvl="0" w:tplc="4C2236EA">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1767B4"/>
    <w:multiLevelType w:val="hybridMultilevel"/>
    <w:tmpl w:val="44A6183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04513685"/>
    <w:multiLevelType w:val="hybridMultilevel"/>
    <w:tmpl w:val="86A04D7E"/>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5C62034"/>
    <w:multiLevelType w:val="hybridMultilevel"/>
    <w:tmpl w:val="57D01938"/>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5F07E97"/>
    <w:multiLevelType w:val="hybridMultilevel"/>
    <w:tmpl w:val="C10CA01C"/>
    <w:lvl w:ilvl="0" w:tplc="BCA6D326">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A4BEC"/>
    <w:multiLevelType w:val="hybridMultilevel"/>
    <w:tmpl w:val="CA3AD152"/>
    <w:lvl w:ilvl="0" w:tplc="62640E48">
      <w:start w:val="1"/>
      <w:numFmt w:val="bullet"/>
      <w:lvlText w:val=""/>
      <w:lvlJc w:val="left"/>
      <w:pPr>
        <w:tabs>
          <w:tab w:val="num" w:pos="1083"/>
        </w:tabs>
        <w:ind w:left="1083" w:hanging="363"/>
      </w:pPr>
      <w:rPr>
        <w:rFonts w:ascii="Symbol" w:hAnsi="Symbol" w:hint="default"/>
      </w:rPr>
    </w:lvl>
    <w:lvl w:ilvl="1" w:tplc="6B8EB2AE">
      <w:start w:val="1"/>
      <w:numFmt w:val="bullet"/>
      <w:lvlText w:val=""/>
      <w:lvlJc w:val="left"/>
      <w:pPr>
        <w:tabs>
          <w:tab w:val="num" w:pos="1806"/>
        </w:tabs>
        <w:ind w:left="1806" w:hanging="363"/>
      </w:pPr>
      <w:rPr>
        <w:rFonts w:ascii="Symbol" w:hAnsi="Symbol" w:hint="default"/>
      </w:rPr>
    </w:lvl>
    <w:lvl w:ilvl="2" w:tplc="62640E48">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06976D3C"/>
    <w:multiLevelType w:val="hybridMultilevel"/>
    <w:tmpl w:val="A98E2E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6D2460F"/>
    <w:multiLevelType w:val="hybridMultilevel"/>
    <w:tmpl w:val="C91E349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
    <w:nsid w:val="06F10E13"/>
    <w:multiLevelType w:val="hybridMultilevel"/>
    <w:tmpl w:val="48FEA6D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06FE6DAA"/>
    <w:multiLevelType w:val="hybridMultilevel"/>
    <w:tmpl w:val="E5EEA0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073B25EF"/>
    <w:multiLevelType w:val="hybridMultilevel"/>
    <w:tmpl w:val="DB9C6C5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07701092"/>
    <w:multiLevelType w:val="hybridMultilevel"/>
    <w:tmpl w:val="DD4069DC"/>
    <w:lvl w:ilvl="0" w:tplc="724EB85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3">
    <w:nsid w:val="08C05D1E"/>
    <w:multiLevelType w:val="hybridMultilevel"/>
    <w:tmpl w:val="1F4C2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8CE0A5B"/>
    <w:multiLevelType w:val="hybridMultilevel"/>
    <w:tmpl w:val="D85A8B5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95D640D"/>
    <w:multiLevelType w:val="hybridMultilevel"/>
    <w:tmpl w:val="33FC958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9A064B1"/>
    <w:multiLevelType w:val="hybridMultilevel"/>
    <w:tmpl w:val="5D1A3D88"/>
    <w:lvl w:ilvl="0" w:tplc="0410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8">
    <w:nsid w:val="0A9D4E5A"/>
    <w:multiLevelType w:val="hybridMultilevel"/>
    <w:tmpl w:val="118A4956"/>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AC26C62"/>
    <w:multiLevelType w:val="singleLevel"/>
    <w:tmpl w:val="561E0F3E"/>
    <w:lvl w:ilvl="0">
      <w:start w:val="1"/>
      <w:numFmt w:val="decimal"/>
      <w:lvlText w:val="%1."/>
      <w:lvlJc w:val="left"/>
      <w:pPr>
        <w:tabs>
          <w:tab w:val="num" w:pos="720"/>
        </w:tabs>
        <w:ind w:left="720" w:hanging="720"/>
      </w:p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C76FDE"/>
    <w:multiLevelType w:val="hybridMultilevel"/>
    <w:tmpl w:val="DDAC89F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0ED81A31"/>
    <w:multiLevelType w:val="hybridMultilevel"/>
    <w:tmpl w:val="FC3057E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10873213"/>
    <w:multiLevelType w:val="hybridMultilevel"/>
    <w:tmpl w:val="918E98A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11756989"/>
    <w:multiLevelType w:val="hybridMultilevel"/>
    <w:tmpl w:val="D1B0DA4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2242EBA"/>
    <w:multiLevelType w:val="hybridMultilevel"/>
    <w:tmpl w:val="A39E68B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2771AB2"/>
    <w:multiLevelType w:val="hybridMultilevel"/>
    <w:tmpl w:val="C066C15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12A45FC2"/>
    <w:multiLevelType w:val="hybridMultilevel"/>
    <w:tmpl w:val="9C82D8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3666728"/>
    <w:multiLevelType w:val="hybridMultilevel"/>
    <w:tmpl w:val="8B8867A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9">
    <w:nsid w:val="13683F2F"/>
    <w:multiLevelType w:val="hybridMultilevel"/>
    <w:tmpl w:val="556ED06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13AC50B8"/>
    <w:multiLevelType w:val="hybridMultilevel"/>
    <w:tmpl w:val="F06ADAA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40F3FD3"/>
    <w:multiLevelType w:val="hybridMultilevel"/>
    <w:tmpl w:val="9D6016C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14B17FAB"/>
    <w:multiLevelType w:val="hybridMultilevel"/>
    <w:tmpl w:val="2BCC89BE"/>
    <w:lvl w:ilvl="0" w:tplc="04100001">
      <w:start w:val="1"/>
      <w:numFmt w:val="bullet"/>
      <w:lvlText w:val=""/>
      <w:lvlJc w:val="left"/>
      <w:pPr>
        <w:tabs>
          <w:tab w:val="num" w:pos="360"/>
        </w:tabs>
        <w:ind w:left="360" w:hanging="360"/>
      </w:pPr>
      <w:rPr>
        <w:rFonts w:ascii="Symbol" w:hAnsi="Symbol" w:hint="default"/>
        <w:lang w:val="en-GB"/>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14DF5225"/>
    <w:multiLevelType w:val="hybridMultilevel"/>
    <w:tmpl w:val="4144293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nsid w:val="150A5229"/>
    <w:multiLevelType w:val="hybridMultilevel"/>
    <w:tmpl w:val="6AD275D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nsid w:val="15813900"/>
    <w:multiLevelType w:val="hybridMultilevel"/>
    <w:tmpl w:val="0D36496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nsid w:val="15C71C7F"/>
    <w:multiLevelType w:val="hybridMultilevel"/>
    <w:tmpl w:val="EB34C7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15DB2C3B"/>
    <w:multiLevelType w:val="hybridMultilevel"/>
    <w:tmpl w:val="FA4CE86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67E1AE3"/>
    <w:multiLevelType w:val="hybridMultilevel"/>
    <w:tmpl w:val="3DE85FE2"/>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170C549E"/>
    <w:multiLevelType w:val="singleLevel"/>
    <w:tmpl w:val="01325DD6"/>
    <w:lvl w:ilvl="0">
      <w:start w:val="1"/>
      <w:numFmt w:val="lowerLetter"/>
      <w:lvlText w:val="(%1)"/>
      <w:lvlJc w:val="left"/>
      <w:pPr>
        <w:tabs>
          <w:tab w:val="num" w:pos="720"/>
        </w:tabs>
        <w:ind w:left="720" w:hanging="720"/>
      </w:pPr>
    </w:lvl>
  </w:abstractNum>
  <w:abstractNum w:abstractNumId="50">
    <w:nsid w:val="173167AB"/>
    <w:multiLevelType w:val="hybridMultilevel"/>
    <w:tmpl w:val="B7A83230"/>
    <w:lvl w:ilvl="0" w:tplc="95C87D1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7A12814"/>
    <w:multiLevelType w:val="hybridMultilevel"/>
    <w:tmpl w:val="A018422A"/>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2">
    <w:nsid w:val="18436610"/>
    <w:multiLevelType w:val="hybridMultilevel"/>
    <w:tmpl w:val="A3161B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nsid w:val="184E219A"/>
    <w:multiLevelType w:val="hybridMultilevel"/>
    <w:tmpl w:val="9BF0D36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18AD5E81"/>
    <w:multiLevelType w:val="hybridMultilevel"/>
    <w:tmpl w:val="A300A74C"/>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nsid w:val="194A5AA3"/>
    <w:multiLevelType w:val="hybridMultilevel"/>
    <w:tmpl w:val="F63E539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nsid w:val="1A403507"/>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1A724780"/>
    <w:multiLevelType w:val="hybridMultilevel"/>
    <w:tmpl w:val="7BB658B4"/>
    <w:lvl w:ilvl="0" w:tplc="04100001">
      <w:start w:val="1"/>
      <w:numFmt w:val="bullet"/>
      <w:lvlText w:val=""/>
      <w:lvlJc w:val="left"/>
      <w:pPr>
        <w:tabs>
          <w:tab w:val="num" w:pos="1080"/>
        </w:tabs>
        <w:ind w:left="1080" w:hanging="360"/>
      </w:pPr>
      <w:rPr>
        <w:rFonts w:ascii="Symbol" w:hAnsi="Symbol" w:hint="default"/>
      </w:rPr>
    </w:lvl>
    <w:lvl w:ilvl="1" w:tplc="A6C07EC2">
      <w:start w:val="1"/>
      <w:numFmt w:val="lowerLetter"/>
      <w:lvlText w:val="%2."/>
      <w:lvlJc w:val="left"/>
      <w:pPr>
        <w:tabs>
          <w:tab w:val="num" w:pos="2160"/>
        </w:tabs>
        <w:ind w:left="2160" w:hanging="360"/>
      </w:pPr>
      <w:rPr>
        <w:rFonts w:hint="default"/>
      </w:rPr>
    </w:lvl>
    <w:lvl w:ilvl="2" w:tplc="04100019">
      <w:start w:val="1"/>
      <w:numFmt w:val="lowerLetter"/>
      <w:lvlText w:val="%3."/>
      <w:lvlJc w:val="left"/>
      <w:pPr>
        <w:tabs>
          <w:tab w:val="num" w:pos="3060"/>
        </w:tabs>
        <w:ind w:left="3060" w:hanging="360"/>
      </w:pPr>
    </w:lvl>
    <w:lvl w:ilvl="3" w:tplc="A7A016AA">
      <w:start w:val="1"/>
      <w:numFmt w:val="lowerLetter"/>
      <w:lvlText w:val="%4)"/>
      <w:lvlJc w:val="left"/>
      <w:pPr>
        <w:tabs>
          <w:tab w:val="num" w:pos="3615"/>
        </w:tabs>
        <w:ind w:left="3615" w:hanging="375"/>
      </w:pPr>
      <w:rPr>
        <w:rFonts w:hint="default"/>
      </w:rPr>
    </w:lvl>
    <w:lvl w:ilvl="4" w:tplc="DFAA3EF0">
      <w:start w:val="11"/>
      <w:numFmt w:val="bullet"/>
      <w:lvlText w:val=""/>
      <w:lvlJc w:val="left"/>
      <w:pPr>
        <w:tabs>
          <w:tab w:val="num" w:pos="4350"/>
        </w:tabs>
        <w:ind w:left="4350" w:hanging="390"/>
      </w:pPr>
      <w:rPr>
        <w:rFonts w:ascii="Symbol" w:eastAsia="Times New Roman" w:hAnsi="Symbol" w:cs="Times New Roman" w:hint="default"/>
      </w:rPr>
    </w:lvl>
    <w:lvl w:ilvl="5" w:tplc="B10456F2">
      <w:start w:val="1"/>
      <w:numFmt w:val="upperRoman"/>
      <w:lvlText w:val="%6)"/>
      <w:lvlJc w:val="left"/>
      <w:pPr>
        <w:tabs>
          <w:tab w:val="num" w:pos="5580"/>
        </w:tabs>
        <w:ind w:left="5580" w:hanging="720"/>
      </w:pPr>
      <w:rPr>
        <w:rFonts w:hint="default"/>
      </w:r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58">
    <w:nsid w:val="1B8E5619"/>
    <w:multiLevelType w:val="hybridMultilevel"/>
    <w:tmpl w:val="80745A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C5A6E30"/>
    <w:multiLevelType w:val="hybridMultilevel"/>
    <w:tmpl w:val="F1247DC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0">
    <w:nsid w:val="1D5F6D1B"/>
    <w:multiLevelType w:val="hybridMultilevel"/>
    <w:tmpl w:val="49EC3DCE"/>
    <w:lvl w:ilvl="0" w:tplc="482E8CD8">
      <w:start w:val="1"/>
      <w:numFmt w:val="bullet"/>
      <w:lvlText w:val=""/>
      <w:lvlJc w:val="left"/>
      <w:pPr>
        <w:tabs>
          <w:tab w:val="num" w:pos="1080"/>
        </w:tabs>
        <w:ind w:left="1077" w:hanging="357"/>
      </w:pPr>
      <w:rPr>
        <w:rFonts w:ascii="Symbol" w:hAnsi="Symbol" w:hint="default"/>
      </w:rPr>
    </w:lvl>
    <w:lvl w:ilvl="1" w:tplc="6EF8BDC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1DD53B0C"/>
    <w:multiLevelType w:val="hybridMultilevel"/>
    <w:tmpl w:val="D908A9C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nsid w:val="1E6678CD"/>
    <w:multiLevelType w:val="hybridMultilevel"/>
    <w:tmpl w:val="29B67A8E"/>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F082880"/>
    <w:multiLevelType w:val="hybridMultilevel"/>
    <w:tmpl w:val="D64EE87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1F2E625C"/>
    <w:multiLevelType w:val="hybridMultilevel"/>
    <w:tmpl w:val="B5FAAD34"/>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1F3E4747"/>
    <w:multiLevelType w:val="hybridMultilevel"/>
    <w:tmpl w:val="548A819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FEC4F9F"/>
    <w:multiLevelType w:val="hybridMultilevel"/>
    <w:tmpl w:val="9E3021A6"/>
    <w:lvl w:ilvl="0" w:tplc="ABC6783C">
      <w:start w:val="1"/>
      <w:numFmt w:val="bullet"/>
      <w:lvlText w:val=""/>
      <w:lvlJc w:val="left"/>
      <w:pPr>
        <w:tabs>
          <w:tab w:val="num" w:pos="-975"/>
        </w:tabs>
        <w:ind w:left="-978" w:hanging="357"/>
      </w:pPr>
      <w:rPr>
        <w:rFonts w:ascii="Symbol" w:hAnsi="Symbol" w:hint="default"/>
      </w:rPr>
    </w:lvl>
    <w:lvl w:ilvl="1" w:tplc="04090003" w:tentative="1">
      <w:start w:val="1"/>
      <w:numFmt w:val="bullet"/>
      <w:lvlText w:val="o"/>
      <w:lvlJc w:val="left"/>
      <w:pPr>
        <w:tabs>
          <w:tab w:val="num" w:pos="-615"/>
        </w:tabs>
        <w:ind w:left="-615" w:hanging="360"/>
      </w:pPr>
      <w:rPr>
        <w:rFonts w:ascii="Courier New" w:hAnsi="Courier New" w:hint="default"/>
      </w:rPr>
    </w:lvl>
    <w:lvl w:ilvl="2" w:tplc="04090005" w:tentative="1">
      <w:start w:val="1"/>
      <w:numFmt w:val="bullet"/>
      <w:lvlText w:val=""/>
      <w:lvlJc w:val="left"/>
      <w:pPr>
        <w:tabs>
          <w:tab w:val="num" w:pos="105"/>
        </w:tabs>
        <w:ind w:left="105" w:hanging="360"/>
      </w:pPr>
      <w:rPr>
        <w:rFonts w:ascii="Wingdings" w:hAnsi="Wingdings" w:hint="default"/>
      </w:rPr>
    </w:lvl>
    <w:lvl w:ilvl="3" w:tplc="04090001" w:tentative="1">
      <w:start w:val="1"/>
      <w:numFmt w:val="bullet"/>
      <w:lvlText w:val=""/>
      <w:lvlJc w:val="left"/>
      <w:pPr>
        <w:tabs>
          <w:tab w:val="num" w:pos="825"/>
        </w:tabs>
        <w:ind w:left="825" w:hanging="360"/>
      </w:pPr>
      <w:rPr>
        <w:rFonts w:ascii="Symbol" w:hAnsi="Symbol" w:hint="default"/>
      </w:rPr>
    </w:lvl>
    <w:lvl w:ilvl="4" w:tplc="04090003" w:tentative="1">
      <w:start w:val="1"/>
      <w:numFmt w:val="bullet"/>
      <w:lvlText w:val="o"/>
      <w:lvlJc w:val="left"/>
      <w:pPr>
        <w:tabs>
          <w:tab w:val="num" w:pos="1545"/>
        </w:tabs>
        <w:ind w:left="1545" w:hanging="360"/>
      </w:pPr>
      <w:rPr>
        <w:rFonts w:ascii="Courier New" w:hAnsi="Courier New" w:hint="default"/>
      </w:rPr>
    </w:lvl>
    <w:lvl w:ilvl="5" w:tplc="04090005" w:tentative="1">
      <w:start w:val="1"/>
      <w:numFmt w:val="bullet"/>
      <w:lvlText w:val=""/>
      <w:lvlJc w:val="left"/>
      <w:pPr>
        <w:tabs>
          <w:tab w:val="num" w:pos="2265"/>
        </w:tabs>
        <w:ind w:left="2265" w:hanging="360"/>
      </w:pPr>
      <w:rPr>
        <w:rFonts w:ascii="Wingdings" w:hAnsi="Wingdings" w:hint="default"/>
      </w:rPr>
    </w:lvl>
    <w:lvl w:ilvl="6" w:tplc="04090001" w:tentative="1">
      <w:start w:val="1"/>
      <w:numFmt w:val="bullet"/>
      <w:lvlText w:val=""/>
      <w:lvlJc w:val="left"/>
      <w:pPr>
        <w:tabs>
          <w:tab w:val="num" w:pos="2985"/>
        </w:tabs>
        <w:ind w:left="2985" w:hanging="360"/>
      </w:pPr>
      <w:rPr>
        <w:rFonts w:ascii="Symbol" w:hAnsi="Symbol" w:hint="default"/>
      </w:rPr>
    </w:lvl>
    <w:lvl w:ilvl="7" w:tplc="04090003" w:tentative="1">
      <w:start w:val="1"/>
      <w:numFmt w:val="bullet"/>
      <w:lvlText w:val="o"/>
      <w:lvlJc w:val="left"/>
      <w:pPr>
        <w:tabs>
          <w:tab w:val="num" w:pos="3705"/>
        </w:tabs>
        <w:ind w:left="3705" w:hanging="360"/>
      </w:pPr>
      <w:rPr>
        <w:rFonts w:ascii="Courier New" w:hAnsi="Courier New" w:hint="default"/>
      </w:rPr>
    </w:lvl>
    <w:lvl w:ilvl="8" w:tplc="04090005" w:tentative="1">
      <w:start w:val="1"/>
      <w:numFmt w:val="bullet"/>
      <w:lvlText w:val=""/>
      <w:lvlJc w:val="left"/>
      <w:pPr>
        <w:tabs>
          <w:tab w:val="num" w:pos="4425"/>
        </w:tabs>
        <w:ind w:left="4425" w:hanging="360"/>
      </w:pPr>
      <w:rPr>
        <w:rFonts w:ascii="Wingdings" w:hAnsi="Wingdings" w:hint="default"/>
      </w:rPr>
    </w:lvl>
  </w:abstractNum>
  <w:abstractNum w:abstractNumId="67">
    <w:nsid w:val="201E6295"/>
    <w:multiLevelType w:val="hybridMultilevel"/>
    <w:tmpl w:val="57D01938"/>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0A9255D"/>
    <w:multiLevelType w:val="hybridMultilevel"/>
    <w:tmpl w:val="1A2C607A"/>
    <w:lvl w:ilvl="0" w:tplc="0410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nsid w:val="223344DF"/>
    <w:multiLevelType w:val="hybridMultilevel"/>
    <w:tmpl w:val="A0AC6B92"/>
    <w:lvl w:ilvl="0" w:tplc="ABC6783C">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70">
    <w:nsid w:val="232156EA"/>
    <w:multiLevelType w:val="hybridMultilevel"/>
    <w:tmpl w:val="29BC8BD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23373615"/>
    <w:multiLevelType w:val="hybridMultilevel"/>
    <w:tmpl w:val="28C20C2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3E24181"/>
    <w:multiLevelType w:val="hybridMultilevel"/>
    <w:tmpl w:val="45A8AE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241148A0"/>
    <w:multiLevelType w:val="hybridMultilevel"/>
    <w:tmpl w:val="C8AE692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4">
    <w:nsid w:val="24B900B0"/>
    <w:multiLevelType w:val="hybridMultilevel"/>
    <w:tmpl w:val="FD600DB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25030D01"/>
    <w:multiLevelType w:val="hybridMultilevel"/>
    <w:tmpl w:val="28187F4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7327314"/>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95C87D1C">
      <w:start w:val="1"/>
      <w:numFmt w:val="bullet"/>
      <w:lvlText w:val=""/>
      <w:lvlJc w:val="left"/>
      <w:pPr>
        <w:tabs>
          <w:tab w:val="num" w:pos="1806"/>
        </w:tabs>
        <w:ind w:left="1806"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7">
    <w:nsid w:val="27772A41"/>
    <w:multiLevelType w:val="hybridMultilevel"/>
    <w:tmpl w:val="9498161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28127337"/>
    <w:multiLevelType w:val="hybridMultilevel"/>
    <w:tmpl w:val="B23E61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28F4553A"/>
    <w:multiLevelType w:val="hybridMultilevel"/>
    <w:tmpl w:val="BDCCEA4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0">
    <w:nsid w:val="29817796"/>
    <w:multiLevelType w:val="hybridMultilevel"/>
    <w:tmpl w:val="A7EED32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2157"/>
        </w:tabs>
        <w:ind w:left="2157" w:hanging="360"/>
      </w:pPr>
    </w:lvl>
    <w:lvl w:ilvl="2" w:tplc="0409001B" w:tentative="1">
      <w:start w:val="1"/>
      <w:numFmt w:val="lowerRoman"/>
      <w:lvlText w:val="%3."/>
      <w:lvlJc w:val="right"/>
      <w:pPr>
        <w:tabs>
          <w:tab w:val="num" w:pos="2877"/>
        </w:tabs>
        <w:ind w:left="2877" w:hanging="180"/>
      </w:p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81">
    <w:nsid w:val="29B4287D"/>
    <w:multiLevelType w:val="hybridMultilevel"/>
    <w:tmpl w:val="FDEC0DA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2">
    <w:nsid w:val="29F978C5"/>
    <w:multiLevelType w:val="hybridMultilevel"/>
    <w:tmpl w:val="F70AF87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
    <w:nsid w:val="2AC16D0C"/>
    <w:multiLevelType w:val="hybridMultilevel"/>
    <w:tmpl w:val="8418092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85">
    <w:nsid w:val="2BF053E0"/>
    <w:multiLevelType w:val="hybridMultilevel"/>
    <w:tmpl w:val="10169C8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2C2250D7"/>
    <w:multiLevelType w:val="hybridMultilevel"/>
    <w:tmpl w:val="1002610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2E8C7FFB"/>
    <w:multiLevelType w:val="hybridMultilevel"/>
    <w:tmpl w:val="2A0C9A66"/>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8">
    <w:nsid w:val="2FC25780"/>
    <w:multiLevelType w:val="hybridMultilevel"/>
    <w:tmpl w:val="2920037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9">
    <w:nsid w:val="302A75A7"/>
    <w:multiLevelType w:val="singleLevel"/>
    <w:tmpl w:val="3496DD40"/>
    <w:lvl w:ilvl="0">
      <w:start w:val="1"/>
      <w:numFmt w:val="decimal"/>
      <w:lvlText w:val="(%1)"/>
      <w:lvlJc w:val="left"/>
      <w:pPr>
        <w:tabs>
          <w:tab w:val="num" w:pos="1440"/>
        </w:tabs>
        <w:ind w:left="1440" w:hanging="720"/>
      </w:pPr>
    </w:lvl>
  </w:abstractNum>
  <w:abstractNum w:abstractNumId="90">
    <w:nsid w:val="30BD7F6D"/>
    <w:multiLevelType w:val="hybridMultilevel"/>
    <w:tmpl w:val="B39A9EFC"/>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0CB0681"/>
    <w:multiLevelType w:val="hybridMultilevel"/>
    <w:tmpl w:val="5400FAA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1164E10"/>
    <w:multiLevelType w:val="hybridMultilevel"/>
    <w:tmpl w:val="0888B66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3">
    <w:nsid w:val="31665AFB"/>
    <w:multiLevelType w:val="hybridMultilevel"/>
    <w:tmpl w:val="34203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32454D92"/>
    <w:multiLevelType w:val="hybridMultilevel"/>
    <w:tmpl w:val="D130D50A"/>
    <w:lvl w:ilvl="0" w:tplc="62640E48">
      <w:start w:val="1"/>
      <w:numFmt w:val="bullet"/>
      <w:lvlText w:val=""/>
      <w:lvlJc w:val="left"/>
      <w:pPr>
        <w:tabs>
          <w:tab w:val="num" w:pos="1083"/>
        </w:tabs>
        <w:ind w:left="1083" w:hanging="363"/>
      </w:pPr>
      <w:rPr>
        <w:rFonts w:ascii="Symbol" w:hAnsi="Symbol" w:hint="default"/>
      </w:rPr>
    </w:lvl>
    <w:lvl w:ilvl="1" w:tplc="76204326">
      <w:start w:val="1"/>
      <w:numFmt w:val="lowerLetter"/>
      <w:lvlText w:val="%2-"/>
      <w:lvlJc w:val="left"/>
      <w:pPr>
        <w:tabs>
          <w:tab w:val="num" w:pos="1797"/>
        </w:tabs>
        <w:ind w:left="1797" w:hanging="360"/>
      </w:pPr>
      <w:rPr>
        <w:rFonts w:hint="default"/>
      </w:r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95">
    <w:nsid w:val="327041A9"/>
    <w:multiLevelType w:val="hybridMultilevel"/>
    <w:tmpl w:val="7DD8534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33131F1A"/>
    <w:multiLevelType w:val="hybridMultilevel"/>
    <w:tmpl w:val="C96A615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nsid w:val="33283819"/>
    <w:multiLevelType w:val="hybridMultilevel"/>
    <w:tmpl w:val="C9C0711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339069A1"/>
    <w:multiLevelType w:val="hybridMultilevel"/>
    <w:tmpl w:val="0A8CF92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9">
    <w:nsid w:val="34E33261"/>
    <w:multiLevelType w:val="hybridMultilevel"/>
    <w:tmpl w:val="CD26CAB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352E601C"/>
    <w:multiLevelType w:val="hybridMultilevel"/>
    <w:tmpl w:val="D5EC65D0"/>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35356F10"/>
    <w:multiLevelType w:val="hybridMultilevel"/>
    <w:tmpl w:val="0DA4BDA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36255761"/>
    <w:multiLevelType w:val="singleLevel"/>
    <w:tmpl w:val="0409000F"/>
    <w:lvl w:ilvl="0">
      <w:start w:val="1"/>
      <w:numFmt w:val="decimal"/>
      <w:lvlText w:val="%1."/>
      <w:lvlJc w:val="left"/>
      <w:pPr>
        <w:tabs>
          <w:tab w:val="num" w:pos="360"/>
        </w:tabs>
        <w:ind w:left="360" w:hanging="360"/>
      </w:pPr>
    </w:lvl>
  </w:abstractNum>
  <w:abstractNum w:abstractNumId="103">
    <w:nsid w:val="36B50F04"/>
    <w:multiLevelType w:val="hybridMultilevel"/>
    <w:tmpl w:val="742058B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376C5E83"/>
    <w:multiLevelType w:val="hybridMultilevel"/>
    <w:tmpl w:val="1E2C019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79E67E9"/>
    <w:multiLevelType w:val="hybridMultilevel"/>
    <w:tmpl w:val="20B295D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898656B"/>
    <w:multiLevelType w:val="hybridMultilevel"/>
    <w:tmpl w:val="FDFC4C3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7">
    <w:nsid w:val="39E82F6B"/>
    <w:multiLevelType w:val="hybridMultilevel"/>
    <w:tmpl w:val="A7EED32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3A883DDA"/>
    <w:multiLevelType w:val="hybridMultilevel"/>
    <w:tmpl w:val="2D022FD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3ABD24D2"/>
    <w:multiLevelType w:val="hybridMultilevel"/>
    <w:tmpl w:val="77DEF76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nsid w:val="3C612351"/>
    <w:multiLevelType w:val="hybridMultilevel"/>
    <w:tmpl w:val="039E049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C791E9B"/>
    <w:multiLevelType w:val="hybridMultilevel"/>
    <w:tmpl w:val="902A0BD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3">
    <w:nsid w:val="3CB237A0"/>
    <w:multiLevelType w:val="hybridMultilevel"/>
    <w:tmpl w:val="76D8A00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4">
    <w:nsid w:val="3D1E55F0"/>
    <w:multiLevelType w:val="hybridMultilevel"/>
    <w:tmpl w:val="4DA057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5">
    <w:nsid w:val="3D5A64E8"/>
    <w:multiLevelType w:val="hybridMultilevel"/>
    <w:tmpl w:val="B3765CD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3D646ECD"/>
    <w:multiLevelType w:val="hybridMultilevel"/>
    <w:tmpl w:val="FAC4E7E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7">
    <w:nsid w:val="3DAC23DC"/>
    <w:multiLevelType w:val="hybridMultilevel"/>
    <w:tmpl w:val="C5DE833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8">
    <w:nsid w:val="3E341CD4"/>
    <w:multiLevelType w:val="hybridMultilevel"/>
    <w:tmpl w:val="57941A0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9">
    <w:nsid w:val="3EF203CC"/>
    <w:multiLevelType w:val="hybridMultilevel"/>
    <w:tmpl w:val="BAD61368"/>
    <w:lvl w:ilvl="0" w:tplc="AE1294F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40221049"/>
    <w:multiLevelType w:val="singleLevel"/>
    <w:tmpl w:val="04D4B0C4"/>
    <w:lvl w:ilvl="0">
      <w:start w:val="1"/>
      <w:numFmt w:val="decimal"/>
      <w:lvlText w:val="%1."/>
      <w:lvlJc w:val="left"/>
      <w:pPr>
        <w:tabs>
          <w:tab w:val="num" w:pos="360"/>
        </w:tabs>
        <w:ind w:left="360" w:hanging="360"/>
      </w:pPr>
    </w:lvl>
  </w:abstractNum>
  <w:abstractNum w:abstractNumId="121">
    <w:nsid w:val="403B612A"/>
    <w:multiLevelType w:val="hybridMultilevel"/>
    <w:tmpl w:val="9CE0DF2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41435D0F"/>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4202076B"/>
    <w:multiLevelType w:val="hybridMultilevel"/>
    <w:tmpl w:val="66DC733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nsid w:val="42A87756"/>
    <w:multiLevelType w:val="hybridMultilevel"/>
    <w:tmpl w:val="EEC470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44BD3CF2"/>
    <w:multiLevelType w:val="hybridMultilevel"/>
    <w:tmpl w:val="C674E1B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26">
    <w:nsid w:val="44ED6A45"/>
    <w:multiLevelType w:val="hybridMultilevel"/>
    <w:tmpl w:val="724C4DC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452D144C"/>
    <w:multiLevelType w:val="singleLevel"/>
    <w:tmpl w:val="7C4C0A7C"/>
    <w:lvl w:ilvl="0">
      <w:start w:val="1"/>
      <w:numFmt w:val="decimal"/>
      <w:lvlText w:val="(%1)"/>
      <w:lvlJc w:val="left"/>
      <w:pPr>
        <w:tabs>
          <w:tab w:val="num" w:pos="720"/>
        </w:tabs>
        <w:ind w:left="720" w:hanging="720"/>
      </w:pPr>
    </w:lvl>
  </w:abstractNum>
  <w:abstractNum w:abstractNumId="128">
    <w:nsid w:val="456915DA"/>
    <w:multiLevelType w:val="hybridMultilevel"/>
    <w:tmpl w:val="DC5C2E1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461311AE"/>
    <w:multiLevelType w:val="hybridMultilevel"/>
    <w:tmpl w:val="ED12955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0">
    <w:nsid w:val="46ED2F20"/>
    <w:multiLevelType w:val="hybridMultilevel"/>
    <w:tmpl w:val="0FAA3778"/>
    <w:lvl w:ilvl="0" w:tplc="A7107F8A">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1440"/>
        </w:tabs>
        <w:ind w:left="1440" w:hanging="360"/>
      </w:pPr>
      <w:rPr>
        <w:rFonts w:hint="default"/>
      </w:rPr>
    </w:lvl>
    <w:lvl w:ilvl="2" w:tplc="04100001">
      <w:start w:val="1"/>
      <w:numFmt w:val="bullet"/>
      <w:lvlText w:val=""/>
      <w:lvlJc w:val="left"/>
      <w:pPr>
        <w:tabs>
          <w:tab w:val="num" w:pos="2340"/>
        </w:tabs>
        <w:ind w:left="2340" w:hanging="360"/>
      </w:pPr>
      <w:rPr>
        <w:rFonts w:ascii="Symbol" w:hAnsi="Symbol" w:hint="default"/>
        <w:lang w:val="en-US"/>
      </w:r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1">
    <w:nsid w:val="4840013C"/>
    <w:multiLevelType w:val="hybridMultilevel"/>
    <w:tmpl w:val="031ED2F2"/>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3">
    <w:nsid w:val="499F0E21"/>
    <w:multiLevelType w:val="hybridMultilevel"/>
    <w:tmpl w:val="87C2B1E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4A6F49BF"/>
    <w:multiLevelType w:val="hybridMultilevel"/>
    <w:tmpl w:val="CA907C1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5">
    <w:nsid w:val="4B0A09C8"/>
    <w:multiLevelType w:val="hybridMultilevel"/>
    <w:tmpl w:val="069E4314"/>
    <w:lvl w:ilvl="0" w:tplc="95C87D1C">
      <w:start w:val="1"/>
      <w:numFmt w:val="bullet"/>
      <w:lvlText w:val=""/>
      <w:lvlJc w:val="left"/>
      <w:pPr>
        <w:tabs>
          <w:tab w:val="num" w:pos="1443"/>
        </w:tabs>
        <w:ind w:left="1443" w:hanging="363"/>
      </w:pPr>
      <w:rPr>
        <w:rFonts w:ascii="Symbol" w:hAnsi="Symbol" w:hint="default"/>
      </w:rPr>
    </w:lvl>
    <w:lvl w:ilvl="1" w:tplc="95C87D1C">
      <w:start w:val="1"/>
      <w:numFmt w:val="bullet"/>
      <w:lvlText w:val=""/>
      <w:lvlJc w:val="left"/>
      <w:pPr>
        <w:tabs>
          <w:tab w:val="num" w:pos="2166"/>
        </w:tabs>
        <w:ind w:left="2166" w:hanging="363"/>
      </w:pPr>
      <w:rPr>
        <w:rFonts w:ascii="Symbol" w:hAnsi="Symbol" w:hint="default"/>
      </w:rPr>
    </w:lvl>
    <w:lvl w:ilvl="2" w:tplc="04090005" w:tentative="1">
      <w:start w:val="1"/>
      <w:numFmt w:val="bullet"/>
      <w:lvlText w:val=""/>
      <w:lvlJc w:val="left"/>
      <w:pPr>
        <w:tabs>
          <w:tab w:val="num" w:pos="2883"/>
        </w:tabs>
        <w:ind w:left="2883" w:hanging="360"/>
      </w:pPr>
      <w:rPr>
        <w:rFonts w:ascii="Wingdings" w:hAnsi="Wingdings" w:hint="default"/>
      </w:rPr>
    </w:lvl>
    <w:lvl w:ilvl="3" w:tplc="04090001" w:tentative="1">
      <w:start w:val="1"/>
      <w:numFmt w:val="bullet"/>
      <w:lvlText w:val=""/>
      <w:lvlJc w:val="left"/>
      <w:pPr>
        <w:tabs>
          <w:tab w:val="num" w:pos="3603"/>
        </w:tabs>
        <w:ind w:left="3603" w:hanging="360"/>
      </w:pPr>
      <w:rPr>
        <w:rFonts w:ascii="Symbol" w:hAnsi="Symbol" w:hint="default"/>
      </w:rPr>
    </w:lvl>
    <w:lvl w:ilvl="4" w:tplc="04090003" w:tentative="1">
      <w:start w:val="1"/>
      <w:numFmt w:val="bullet"/>
      <w:lvlText w:val="o"/>
      <w:lvlJc w:val="left"/>
      <w:pPr>
        <w:tabs>
          <w:tab w:val="num" w:pos="4323"/>
        </w:tabs>
        <w:ind w:left="4323" w:hanging="360"/>
      </w:pPr>
      <w:rPr>
        <w:rFonts w:ascii="Courier New" w:hAnsi="Courier New" w:hint="default"/>
      </w:rPr>
    </w:lvl>
    <w:lvl w:ilvl="5" w:tplc="04090005" w:tentative="1">
      <w:start w:val="1"/>
      <w:numFmt w:val="bullet"/>
      <w:lvlText w:val=""/>
      <w:lvlJc w:val="left"/>
      <w:pPr>
        <w:tabs>
          <w:tab w:val="num" w:pos="5043"/>
        </w:tabs>
        <w:ind w:left="5043" w:hanging="360"/>
      </w:pPr>
      <w:rPr>
        <w:rFonts w:ascii="Wingdings" w:hAnsi="Wingdings" w:hint="default"/>
      </w:rPr>
    </w:lvl>
    <w:lvl w:ilvl="6" w:tplc="04090001" w:tentative="1">
      <w:start w:val="1"/>
      <w:numFmt w:val="bullet"/>
      <w:lvlText w:val=""/>
      <w:lvlJc w:val="left"/>
      <w:pPr>
        <w:tabs>
          <w:tab w:val="num" w:pos="5763"/>
        </w:tabs>
        <w:ind w:left="5763" w:hanging="360"/>
      </w:pPr>
      <w:rPr>
        <w:rFonts w:ascii="Symbol" w:hAnsi="Symbol" w:hint="default"/>
      </w:rPr>
    </w:lvl>
    <w:lvl w:ilvl="7" w:tplc="04090003" w:tentative="1">
      <w:start w:val="1"/>
      <w:numFmt w:val="bullet"/>
      <w:lvlText w:val="o"/>
      <w:lvlJc w:val="left"/>
      <w:pPr>
        <w:tabs>
          <w:tab w:val="num" w:pos="6483"/>
        </w:tabs>
        <w:ind w:left="6483" w:hanging="360"/>
      </w:pPr>
      <w:rPr>
        <w:rFonts w:ascii="Courier New" w:hAnsi="Courier New" w:hint="default"/>
      </w:rPr>
    </w:lvl>
    <w:lvl w:ilvl="8" w:tplc="04090005" w:tentative="1">
      <w:start w:val="1"/>
      <w:numFmt w:val="bullet"/>
      <w:lvlText w:val=""/>
      <w:lvlJc w:val="left"/>
      <w:pPr>
        <w:tabs>
          <w:tab w:val="num" w:pos="7203"/>
        </w:tabs>
        <w:ind w:left="7203" w:hanging="360"/>
      </w:pPr>
      <w:rPr>
        <w:rFonts w:ascii="Wingdings" w:hAnsi="Wingdings" w:hint="default"/>
      </w:rPr>
    </w:lvl>
  </w:abstractNum>
  <w:abstractNum w:abstractNumId="136">
    <w:nsid w:val="4BB51958"/>
    <w:multiLevelType w:val="hybridMultilevel"/>
    <w:tmpl w:val="F1F027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4C2726D9"/>
    <w:multiLevelType w:val="hybridMultilevel"/>
    <w:tmpl w:val="3B1294E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4C731F92"/>
    <w:multiLevelType w:val="hybridMultilevel"/>
    <w:tmpl w:val="D538635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9">
    <w:nsid w:val="4CF2281F"/>
    <w:multiLevelType w:val="hybridMultilevel"/>
    <w:tmpl w:val="AAECA8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4DD40469"/>
    <w:multiLevelType w:val="hybridMultilevel"/>
    <w:tmpl w:val="902A0BD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4DD7086D"/>
    <w:multiLevelType w:val="hybridMultilevel"/>
    <w:tmpl w:val="C774250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4E3168F2"/>
    <w:multiLevelType w:val="hybridMultilevel"/>
    <w:tmpl w:val="B92EA9C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4E862F46"/>
    <w:multiLevelType w:val="hybridMultilevel"/>
    <w:tmpl w:val="81B6A16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4">
    <w:nsid w:val="4EFA2598"/>
    <w:multiLevelType w:val="singleLevel"/>
    <w:tmpl w:val="0409000F"/>
    <w:lvl w:ilvl="0">
      <w:start w:val="1"/>
      <w:numFmt w:val="decimal"/>
      <w:lvlText w:val="%1."/>
      <w:lvlJc w:val="left"/>
      <w:pPr>
        <w:tabs>
          <w:tab w:val="num" w:pos="360"/>
        </w:tabs>
        <w:ind w:left="360" w:hanging="360"/>
      </w:pPr>
    </w:lvl>
  </w:abstractNum>
  <w:abstractNum w:abstractNumId="145">
    <w:nsid w:val="4F122CBC"/>
    <w:multiLevelType w:val="hybridMultilevel"/>
    <w:tmpl w:val="B08C9010"/>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4F5D7497"/>
    <w:multiLevelType w:val="hybridMultilevel"/>
    <w:tmpl w:val="45A41A0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7">
    <w:nsid w:val="4FB8188F"/>
    <w:multiLevelType w:val="hybridMultilevel"/>
    <w:tmpl w:val="D102E4F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8">
    <w:nsid w:val="515A3FAE"/>
    <w:multiLevelType w:val="hybridMultilevel"/>
    <w:tmpl w:val="C6901B72"/>
    <w:lvl w:ilvl="0" w:tplc="29EE02E4">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nsid w:val="526A64EC"/>
    <w:multiLevelType w:val="hybridMultilevel"/>
    <w:tmpl w:val="E83A75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nsid w:val="53C212CB"/>
    <w:multiLevelType w:val="hybridMultilevel"/>
    <w:tmpl w:val="6A2C88D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1">
    <w:nsid w:val="53DF4A5A"/>
    <w:multiLevelType w:val="hybridMultilevel"/>
    <w:tmpl w:val="D90C475C"/>
    <w:lvl w:ilvl="0" w:tplc="E8C44AE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5E57026"/>
    <w:multiLevelType w:val="hybridMultilevel"/>
    <w:tmpl w:val="650CFCA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56750091"/>
    <w:multiLevelType w:val="hybridMultilevel"/>
    <w:tmpl w:val="C3425C8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4">
    <w:nsid w:val="568D1CCE"/>
    <w:multiLevelType w:val="hybridMultilevel"/>
    <w:tmpl w:val="9170150C"/>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5">
    <w:nsid w:val="56FF2A62"/>
    <w:multiLevelType w:val="hybridMultilevel"/>
    <w:tmpl w:val="6DCCCB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578F5E89"/>
    <w:multiLevelType w:val="hybridMultilevel"/>
    <w:tmpl w:val="F24022B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7">
    <w:nsid w:val="57A6453A"/>
    <w:multiLevelType w:val="hybridMultilevel"/>
    <w:tmpl w:val="04A4654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
    <w:nsid w:val="59DE707C"/>
    <w:multiLevelType w:val="hybridMultilevel"/>
    <w:tmpl w:val="09D0D49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5AB4013A"/>
    <w:multiLevelType w:val="hybridMultilevel"/>
    <w:tmpl w:val="910C01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1">
    <w:nsid w:val="5B1A3CFE"/>
    <w:multiLevelType w:val="hybridMultilevel"/>
    <w:tmpl w:val="29B6B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
    <w:nsid w:val="5B545F9B"/>
    <w:multiLevelType w:val="hybridMultilevel"/>
    <w:tmpl w:val="323A62E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5BF8019A"/>
    <w:multiLevelType w:val="hybridMultilevel"/>
    <w:tmpl w:val="5BFEAF8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4">
    <w:nsid w:val="5DD0379C"/>
    <w:multiLevelType w:val="hybridMultilevel"/>
    <w:tmpl w:val="11C038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5">
    <w:nsid w:val="5E21597C"/>
    <w:multiLevelType w:val="hybridMultilevel"/>
    <w:tmpl w:val="739480E2"/>
    <w:lvl w:ilvl="0" w:tplc="D04ECBF4">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5ED71F62"/>
    <w:multiLevelType w:val="hybridMultilevel"/>
    <w:tmpl w:val="56A46C64"/>
    <w:lvl w:ilvl="0" w:tplc="04100001">
      <w:start w:val="1"/>
      <w:numFmt w:val="bullet"/>
      <w:lvlText w:val=""/>
      <w:lvlJc w:val="left"/>
      <w:pPr>
        <w:tabs>
          <w:tab w:val="num" w:pos="720"/>
        </w:tabs>
        <w:ind w:left="72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7">
    <w:nsid w:val="5EF76571"/>
    <w:multiLevelType w:val="hybridMultilevel"/>
    <w:tmpl w:val="BBBA47F4"/>
    <w:lvl w:ilvl="0" w:tplc="7514DF5A">
      <w:start w:val="1"/>
      <w:numFmt w:val="bullet"/>
      <w:lvlText w:val=""/>
      <w:lvlJc w:val="left"/>
      <w:pPr>
        <w:tabs>
          <w:tab w:val="num" w:pos="371"/>
        </w:tabs>
        <w:ind w:left="11" w:firstLine="0"/>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68">
    <w:nsid w:val="5F93657C"/>
    <w:multiLevelType w:val="hybridMultilevel"/>
    <w:tmpl w:val="2692FF3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6099279B"/>
    <w:multiLevelType w:val="hybridMultilevel"/>
    <w:tmpl w:val="228CA46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
    <w:nsid w:val="610D74B6"/>
    <w:multiLevelType w:val="hybridMultilevel"/>
    <w:tmpl w:val="82486A80"/>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1">
    <w:nsid w:val="61914192"/>
    <w:multiLevelType w:val="hybridMultilevel"/>
    <w:tmpl w:val="9ED493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2">
    <w:nsid w:val="620825E4"/>
    <w:multiLevelType w:val="hybridMultilevel"/>
    <w:tmpl w:val="C4A4410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3">
    <w:nsid w:val="62855DAC"/>
    <w:multiLevelType w:val="hybridMultilevel"/>
    <w:tmpl w:val="BF0E13D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6324163A"/>
    <w:multiLevelType w:val="hybridMultilevel"/>
    <w:tmpl w:val="AAECA89A"/>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63A32866"/>
    <w:multiLevelType w:val="hybridMultilevel"/>
    <w:tmpl w:val="0BDC478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6">
    <w:nsid w:val="63E45BEF"/>
    <w:multiLevelType w:val="hybridMultilevel"/>
    <w:tmpl w:val="60FE892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64D9152C"/>
    <w:multiLevelType w:val="hybridMultilevel"/>
    <w:tmpl w:val="BE70724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8">
    <w:nsid w:val="64EA2624"/>
    <w:multiLevelType w:val="hybridMultilevel"/>
    <w:tmpl w:val="F0AEFE6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9">
    <w:nsid w:val="65827AF4"/>
    <w:multiLevelType w:val="hybridMultilevel"/>
    <w:tmpl w:val="83585266"/>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0">
    <w:nsid w:val="65D15DFE"/>
    <w:multiLevelType w:val="singleLevel"/>
    <w:tmpl w:val="475E6D3C"/>
    <w:lvl w:ilvl="0">
      <w:start w:val="1"/>
      <w:numFmt w:val="decimal"/>
      <w:lvlText w:val="%1."/>
      <w:lvlJc w:val="left"/>
      <w:pPr>
        <w:tabs>
          <w:tab w:val="num" w:pos="360"/>
        </w:tabs>
        <w:ind w:left="360" w:hanging="360"/>
      </w:pPr>
    </w:lvl>
  </w:abstractNum>
  <w:abstractNum w:abstractNumId="181">
    <w:nsid w:val="667C66B9"/>
    <w:multiLevelType w:val="hybridMultilevel"/>
    <w:tmpl w:val="3BB637EE"/>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68084242"/>
    <w:multiLevelType w:val="hybridMultilevel"/>
    <w:tmpl w:val="44EA59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684C07A0"/>
    <w:multiLevelType w:val="hybridMultilevel"/>
    <w:tmpl w:val="7DC09A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nsid w:val="68AE3466"/>
    <w:multiLevelType w:val="hybridMultilevel"/>
    <w:tmpl w:val="D9E816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5">
    <w:nsid w:val="692F7662"/>
    <w:multiLevelType w:val="hybridMultilevel"/>
    <w:tmpl w:val="C10CA01C"/>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69407B31"/>
    <w:multiLevelType w:val="hybridMultilevel"/>
    <w:tmpl w:val="83585266"/>
    <w:lvl w:ilvl="0" w:tplc="DC18FE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187">
    <w:nsid w:val="6A242896"/>
    <w:multiLevelType w:val="hybridMultilevel"/>
    <w:tmpl w:val="7082B6A4"/>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6A33660F"/>
    <w:multiLevelType w:val="hybridMultilevel"/>
    <w:tmpl w:val="069E431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9">
    <w:nsid w:val="6B0C0423"/>
    <w:multiLevelType w:val="hybridMultilevel"/>
    <w:tmpl w:val="C3D0746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6B4923DB"/>
    <w:multiLevelType w:val="hybridMultilevel"/>
    <w:tmpl w:val="731671C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6B7D7BC2"/>
    <w:multiLevelType w:val="hybridMultilevel"/>
    <w:tmpl w:val="4FD87DF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6B83523F"/>
    <w:multiLevelType w:val="hybridMultilevel"/>
    <w:tmpl w:val="18B8A0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3">
    <w:nsid w:val="6BAE519B"/>
    <w:multiLevelType w:val="hybridMultilevel"/>
    <w:tmpl w:val="018237E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4">
    <w:nsid w:val="6C53792A"/>
    <w:multiLevelType w:val="hybridMultilevel"/>
    <w:tmpl w:val="2EE0A7E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6C682534"/>
    <w:multiLevelType w:val="hybridMultilevel"/>
    <w:tmpl w:val="CB9CA10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6">
    <w:nsid w:val="6CA67B55"/>
    <w:multiLevelType w:val="hybridMultilevel"/>
    <w:tmpl w:val="910E4A2C"/>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7">
    <w:nsid w:val="6CE267B4"/>
    <w:multiLevelType w:val="hybridMultilevel"/>
    <w:tmpl w:val="5C663A1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70362701"/>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9">
    <w:nsid w:val="72033295"/>
    <w:multiLevelType w:val="hybridMultilevel"/>
    <w:tmpl w:val="B7A832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73BC3817"/>
    <w:multiLevelType w:val="hybridMultilevel"/>
    <w:tmpl w:val="F180786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1">
    <w:nsid w:val="73DC7FF7"/>
    <w:multiLevelType w:val="hybridMultilevel"/>
    <w:tmpl w:val="D8E8C1F8"/>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73FF4C0F"/>
    <w:multiLevelType w:val="hybridMultilevel"/>
    <w:tmpl w:val="22C4394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75B9069E"/>
    <w:multiLevelType w:val="hybridMultilevel"/>
    <w:tmpl w:val="29F879F4"/>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7622429C"/>
    <w:multiLevelType w:val="hybridMultilevel"/>
    <w:tmpl w:val="144ADA5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774D05FF"/>
    <w:multiLevelType w:val="hybridMultilevel"/>
    <w:tmpl w:val="4F8E85C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6">
    <w:nsid w:val="77C511D6"/>
    <w:multiLevelType w:val="hybridMultilevel"/>
    <w:tmpl w:val="FDEC0DA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07">
    <w:nsid w:val="77E306B4"/>
    <w:multiLevelType w:val="hybridMultilevel"/>
    <w:tmpl w:val="C8D2999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8">
    <w:nsid w:val="77F12F0A"/>
    <w:multiLevelType w:val="hybridMultilevel"/>
    <w:tmpl w:val="A9768C1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9">
    <w:nsid w:val="782F0438"/>
    <w:multiLevelType w:val="hybridMultilevel"/>
    <w:tmpl w:val="2B98C6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78356A8D"/>
    <w:multiLevelType w:val="hybridMultilevel"/>
    <w:tmpl w:val="EE0CEA7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1">
    <w:nsid w:val="79464F6E"/>
    <w:multiLevelType w:val="hybridMultilevel"/>
    <w:tmpl w:val="D130D50A"/>
    <w:lvl w:ilvl="0" w:tplc="0410000F">
      <w:start w:val="1"/>
      <w:numFmt w:val="decimal"/>
      <w:lvlText w:val="%1."/>
      <w:lvlJc w:val="left"/>
      <w:pPr>
        <w:tabs>
          <w:tab w:val="num" w:pos="720"/>
        </w:tabs>
        <w:ind w:left="720" w:hanging="360"/>
      </w:pPr>
      <w:rPr>
        <w:rFonts w:hint="default"/>
      </w:rPr>
    </w:lvl>
    <w:lvl w:ilvl="1" w:tplc="7620432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79574BB6"/>
    <w:multiLevelType w:val="hybridMultilevel"/>
    <w:tmpl w:val="96F6F2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3">
    <w:nsid w:val="796B4D9E"/>
    <w:multiLevelType w:val="hybridMultilevel"/>
    <w:tmpl w:val="B4129F8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14">
    <w:nsid w:val="79BD2CB7"/>
    <w:multiLevelType w:val="hybridMultilevel"/>
    <w:tmpl w:val="3B0CA81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7A5A1B5A"/>
    <w:multiLevelType w:val="hybridMultilevel"/>
    <w:tmpl w:val="E1D2FA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16">
    <w:nsid w:val="7ACA643D"/>
    <w:multiLevelType w:val="singleLevel"/>
    <w:tmpl w:val="0409000F"/>
    <w:lvl w:ilvl="0">
      <w:start w:val="1"/>
      <w:numFmt w:val="decimal"/>
      <w:lvlText w:val="%1."/>
      <w:lvlJc w:val="left"/>
      <w:pPr>
        <w:tabs>
          <w:tab w:val="num" w:pos="360"/>
        </w:tabs>
        <w:ind w:left="360" w:hanging="360"/>
      </w:pPr>
    </w:lvl>
  </w:abstractNum>
  <w:abstractNum w:abstractNumId="217">
    <w:nsid w:val="7AD1746C"/>
    <w:multiLevelType w:val="hybridMultilevel"/>
    <w:tmpl w:val="6164AD5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7B6516FE"/>
    <w:multiLevelType w:val="hybridMultilevel"/>
    <w:tmpl w:val="A1FCE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9">
    <w:nsid w:val="7B827295"/>
    <w:multiLevelType w:val="hybridMultilevel"/>
    <w:tmpl w:val="1F44E8A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0">
    <w:nsid w:val="7C6E4AAA"/>
    <w:multiLevelType w:val="hybridMultilevel"/>
    <w:tmpl w:val="29B67A8E"/>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1">
    <w:nsid w:val="7C760384"/>
    <w:multiLevelType w:val="hybridMultilevel"/>
    <w:tmpl w:val="81922218"/>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7CF349BD"/>
    <w:multiLevelType w:val="singleLevel"/>
    <w:tmpl w:val="1C2E7274"/>
    <w:lvl w:ilvl="0">
      <w:start w:val="1"/>
      <w:numFmt w:val="lowerRoman"/>
      <w:pStyle w:val="Rom1"/>
      <w:lvlText w:val="(%1)"/>
      <w:lvlJc w:val="right"/>
      <w:pPr>
        <w:tabs>
          <w:tab w:val="num" w:pos="1440"/>
        </w:tabs>
        <w:ind w:left="1440" w:hanging="589"/>
      </w:pPr>
      <w:rPr>
        <w:rFonts w:hint="default"/>
      </w:rPr>
    </w:lvl>
  </w:abstractNum>
  <w:abstractNum w:abstractNumId="223">
    <w:nsid w:val="7D7E2A9F"/>
    <w:multiLevelType w:val="hybridMultilevel"/>
    <w:tmpl w:val="AE34867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4">
    <w:nsid w:val="7DBF6B58"/>
    <w:multiLevelType w:val="singleLevel"/>
    <w:tmpl w:val="0409000F"/>
    <w:lvl w:ilvl="0">
      <w:start w:val="1"/>
      <w:numFmt w:val="decimal"/>
      <w:lvlText w:val="%1."/>
      <w:lvlJc w:val="left"/>
      <w:pPr>
        <w:tabs>
          <w:tab w:val="num" w:pos="360"/>
        </w:tabs>
        <w:ind w:left="360" w:hanging="360"/>
      </w:pPr>
    </w:lvl>
  </w:abstractNum>
  <w:abstractNum w:abstractNumId="225">
    <w:nsid w:val="7DE3451D"/>
    <w:multiLevelType w:val="hybridMultilevel"/>
    <w:tmpl w:val="5CB27E3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2"/>
  </w:num>
  <w:num w:numId="2">
    <w:abstractNumId w:val="84"/>
  </w:num>
  <w:num w:numId="3">
    <w:abstractNumId w:val="222"/>
  </w:num>
  <w:num w:numId="4">
    <w:abstractNumId w:val="84"/>
  </w:num>
  <w:num w:numId="5">
    <w:abstractNumId w:val="25"/>
  </w:num>
  <w:num w:numId="6">
    <w:abstractNumId w:val="102"/>
  </w:num>
  <w:num w:numId="7">
    <w:abstractNumId w:val="120"/>
  </w:num>
  <w:num w:numId="8">
    <w:abstractNumId w:val="216"/>
  </w:num>
  <w:num w:numId="9">
    <w:abstractNumId w:val="144"/>
  </w:num>
  <w:num w:numId="10">
    <w:abstractNumId w:val="224"/>
  </w:num>
  <w:num w:numId="11">
    <w:abstractNumId w:val="120"/>
  </w:num>
  <w:num w:numId="12">
    <w:abstractNumId w:val="132"/>
  </w:num>
  <w:num w:numId="13">
    <w:abstractNumId w:val="132"/>
  </w:num>
  <w:num w:numId="14">
    <w:abstractNumId w:val="180"/>
  </w:num>
  <w:num w:numId="15">
    <w:abstractNumId w:val="112"/>
  </w:num>
  <w:num w:numId="16">
    <w:abstractNumId w:val="112"/>
  </w:num>
  <w:num w:numId="17">
    <w:abstractNumId w:val="222"/>
  </w:num>
  <w:num w:numId="18">
    <w:abstractNumId w:val="84"/>
  </w:num>
  <w:num w:numId="19">
    <w:abstractNumId w:val="0"/>
  </w:num>
  <w:num w:numId="20">
    <w:abstractNumId w:val="222"/>
  </w:num>
  <w:num w:numId="21">
    <w:abstractNumId w:val="84"/>
  </w:num>
  <w:num w:numId="22">
    <w:abstractNumId w:val="148"/>
  </w:num>
  <w:num w:numId="23">
    <w:abstractNumId w:val="211"/>
  </w:num>
  <w:num w:numId="24">
    <w:abstractNumId w:val="221"/>
  </w:num>
  <w:num w:numId="25">
    <w:abstractNumId w:val="64"/>
  </w:num>
  <w:num w:numId="26">
    <w:abstractNumId w:val="68"/>
  </w:num>
  <w:num w:numId="27">
    <w:abstractNumId w:val="65"/>
  </w:num>
  <w:num w:numId="28">
    <w:abstractNumId w:val="159"/>
  </w:num>
  <w:num w:numId="29">
    <w:abstractNumId w:val="212"/>
  </w:num>
  <w:num w:numId="30">
    <w:abstractNumId w:val="31"/>
  </w:num>
  <w:num w:numId="31">
    <w:abstractNumId w:val="109"/>
  </w:num>
  <w:num w:numId="32">
    <w:abstractNumId w:val="67"/>
  </w:num>
  <w:num w:numId="33">
    <w:abstractNumId w:val="138"/>
  </w:num>
  <w:num w:numId="34">
    <w:abstractNumId w:val="12"/>
  </w:num>
  <w:num w:numId="35">
    <w:abstractNumId w:val="208"/>
  </w:num>
  <w:num w:numId="36">
    <w:abstractNumId w:val="55"/>
  </w:num>
  <w:num w:numId="37">
    <w:abstractNumId w:val="71"/>
  </w:num>
  <w:num w:numId="38">
    <w:abstractNumId w:val="61"/>
  </w:num>
  <w:num w:numId="39">
    <w:abstractNumId w:val="45"/>
  </w:num>
  <w:num w:numId="40">
    <w:abstractNumId w:val="210"/>
  </w:num>
  <w:num w:numId="41">
    <w:abstractNumId w:val="83"/>
  </w:num>
  <w:num w:numId="42">
    <w:abstractNumId w:val="163"/>
  </w:num>
  <w:num w:numId="43">
    <w:abstractNumId w:val="171"/>
  </w:num>
  <w:num w:numId="44">
    <w:abstractNumId w:val="21"/>
  </w:num>
  <w:num w:numId="45">
    <w:abstractNumId w:val="32"/>
  </w:num>
  <w:num w:numId="46">
    <w:abstractNumId w:val="52"/>
  </w:num>
  <w:num w:numId="47">
    <w:abstractNumId w:val="88"/>
  </w:num>
  <w:num w:numId="48">
    <w:abstractNumId w:val="178"/>
  </w:num>
  <w:num w:numId="49">
    <w:abstractNumId w:val="108"/>
  </w:num>
  <w:num w:numId="50">
    <w:abstractNumId w:val="79"/>
  </w:num>
  <w:num w:numId="51">
    <w:abstractNumId w:val="86"/>
  </w:num>
  <w:num w:numId="52">
    <w:abstractNumId w:val="169"/>
  </w:num>
  <w:num w:numId="53">
    <w:abstractNumId w:val="92"/>
  </w:num>
  <w:num w:numId="54">
    <w:abstractNumId w:val="118"/>
  </w:num>
  <w:num w:numId="55">
    <w:abstractNumId w:val="34"/>
  </w:num>
  <w:num w:numId="56">
    <w:abstractNumId w:val="24"/>
  </w:num>
  <w:num w:numId="57">
    <w:abstractNumId w:val="20"/>
  </w:num>
  <w:num w:numId="58">
    <w:abstractNumId w:val="151"/>
  </w:num>
  <w:num w:numId="59">
    <w:abstractNumId w:val="129"/>
  </w:num>
  <w:num w:numId="60">
    <w:abstractNumId w:val="78"/>
  </w:num>
  <w:num w:numId="61">
    <w:abstractNumId w:val="101"/>
  </w:num>
  <w:num w:numId="62">
    <w:abstractNumId w:val="150"/>
  </w:num>
  <w:num w:numId="63">
    <w:abstractNumId w:val="182"/>
  </w:num>
  <w:num w:numId="64">
    <w:abstractNumId w:val="143"/>
  </w:num>
  <w:num w:numId="65">
    <w:abstractNumId w:val="57"/>
  </w:num>
  <w:num w:numId="66">
    <w:abstractNumId w:val="107"/>
  </w:num>
  <w:num w:numId="67">
    <w:abstractNumId w:val="81"/>
  </w:num>
  <w:num w:numId="68">
    <w:abstractNumId w:val="149"/>
  </w:num>
  <w:num w:numId="69">
    <w:abstractNumId w:val="93"/>
  </w:num>
  <w:num w:numId="70">
    <w:abstractNumId w:val="137"/>
  </w:num>
  <w:num w:numId="71">
    <w:abstractNumId w:val="209"/>
  </w:num>
  <w:num w:numId="72">
    <w:abstractNumId w:val="105"/>
  </w:num>
  <w:num w:numId="73">
    <w:abstractNumId w:val="72"/>
  </w:num>
  <w:num w:numId="74">
    <w:abstractNumId w:val="203"/>
  </w:num>
  <w:num w:numId="75">
    <w:abstractNumId w:val="33"/>
  </w:num>
  <w:num w:numId="76">
    <w:abstractNumId w:val="193"/>
  </w:num>
  <w:num w:numId="77">
    <w:abstractNumId w:val="192"/>
  </w:num>
  <w:num w:numId="78">
    <w:abstractNumId w:val="164"/>
  </w:num>
  <w:num w:numId="79">
    <w:abstractNumId w:val="172"/>
  </w:num>
  <w:num w:numId="80">
    <w:abstractNumId w:val="205"/>
  </w:num>
  <w:num w:numId="81">
    <w:abstractNumId w:val="184"/>
  </w:num>
  <w:num w:numId="82">
    <w:abstractNumId w:val="113"/>
  </w:num>
  <w:num w:numId="83">
    <w:abstractNumId w:val="96"/>
  </w:num>
  <w:num w:numId="84">
    <w:abstractNumId w:val="23"/>
  </w:num>
  <w:num w:numId="85">
    <w:abstractNumId w:val="146"/>
  </w:num>
  <w:num w:numId="86">
    <w:abstractNumId w:val="44"/>
  </w:num>
  <w:num w:numId="87">
    <w:abstractNumId w:val="70"/>
  </w:num>
  <w:num w:numId="88">
    <w:abstractNumId w:val="130"/>
  </w:num>
  <w:num w:numId="89">
    <w:abstractNumId w:val="189"/>
  </w:num>
  <w:num w:numId="90">
    <w:abstractNumId w:val="43"/>
  </w:num>
  <w:num w:numId="91">
    <w:abstractNumId w:val="161"/>
  </w:num>
  <w:num w:numId="92">
    <w:abstractNumId w:val="134"/>
  </w:num>
  <w:num w:numId="93">
    <w:abstractNumId w:val="19"/>
  </w:num>
  <w:num w:numId="94">
    <w:abstractNumId w:val="156"/>
  </w:num>
  <w:num w:numId="95">
    <w:abstractNumId w:val="77"/>
  </w:num>
  <w:num w:numId="96">
    <w:abstractNumId w:val="207"/>
  </w:num>
  <w:num w:numId="97">
    <w:abstractNumId w:val="218"/>
  </w:num>
  <w:num w:numId="98">
    <w:abstractNumId w:val="219"/>
  </w:num>
  <w:num w:numId="99">
    <w:abstractNumId w:val="157"/>
  </w:num>
  <w:num w:numId="100">
    <w:abstractNumId w:val="177"/>
  </w:num>
  <w:num w:numId="101">
    <w:abstractNumId w:val="41"/>
  </w:num>
  <w:num w:numId="102">
    <w:abstractNumId w:val="85"/>
  </w:num>
  <w:num w:numId="103">
    <w:abstractNumId w:val="36"/>
  </w:num>
  <w:num w:numId="104">
    <w:abstractNumId w:val="223"/>
  </w:num>
  <w:num w:numId="105">
    <w:abstractNumId w:val="195"/>
  </w:num>
  <w:num w:numId="106">
    <w:abstractNumId w:val="39"/>
  </w:num>
  <w:num w:numId="107">
    <w:abstractNumId w:val="166"/>
  </w:num>
  <w:num w:numId="108">
    <w:abstractNumId w:val="197"/>
  </w:num>
  <w:num w:numId="109">
    <w:abstractNumId w:val="123"/>
  </w:num>
  <w:num w:numId="110">
    <w:abstractNumId w:val="42"/>
  </w:num>
  <w:num w:numId="111">
    <w:abstractNumId w:val="136"/>
  </w:num>
  <w:num w:numId="112">
    <w:abstractNumId w:val="82"/>
  </w:num>
  <w:num w:numId="113">
    <w:abstractNumId w:val="183"/>
  </w:num>
  <w:num w:numId="114">
    <w:abstractNumId w:val="200"/>
  </w:num>
  <w:num w:numId="115">
    <w:abstractNumId w:val="98"/>
  </w:num>
  <w:num w:numId="116">
    <w:abstractNumId w:val="27"/>
  </w:num>
  <w:num w:numId="117">
    <w:abstractNumId w:val="46"/>
  </w:num>
  <w:num w:numId="118">
    <w:abstractNumId w:val="147"/>
  </w:num>
  <w:num w:numId="119">
    <w:abstractNumId w:val="128"/>
  </w:num>
  <w:num w:numId="120">
    <w:abstractNumId w:val="153"/>
  </w:num>
  <w:num w:numId="121">
    <w:abstractNumId w:val="110"/>
  </w:num>
  <w:num w:numId="122">
    <w:abstractNumId w:val="117"/>
  </w:num>
  <w:num w:numId="123">
    <w:abstractNumId w:val="91"/>
  </w:num>
  <w:num w:numId="124">
    <w:abstractNumId w:val="112"/>
  </w:num>
  <w:num w:numId="125">
    <w:abstractNumId w:val="112"/>
  </w:num>
  <w:num w:numId="126">
    <w:abstractNumId w:val="112"/>
  </w:num>
  <w:num w:numId="127">
    <w:abstractNumId w:val="112"/>
  </w:num>
  <w:num w:numId="128">
    <w:abstractNumId w:val="112"/>
  </w:num>
  <w:num w:numId="129">
    <w:abstractNumId w:val="112"/>
  </w:num>
  <w:num w:numId="130">
    <w:abstractNumId w:val="112"/>
  </w:num>
  <w:num w:numId="131">
    <w:abstractNumId w:val="112"/>
  </w:num>
  <w:num w:numId="132">
    <w:abstractNumId w:val="112"/>
  </w:num>
  <w:num w:numId="133">
    <w:abstractNumId w:val="112"/>
  </w:num>
  <w:num w:numId="134">
    <w:abstractNumId w:val="112"/>
  </w:num>
  <w:num w:numId="135">
    <w:abstractNumId w:val="112"/>
  </w:num>
  <w:num w:numId="136">
    <w:abstractNumId w:val="112"/>
  </w:num>
  <w:num w:numId="137">
    <w:abstractNumId w:val="112"/>
  </w:num>
  <w:num w:numId="138">
    <w:abstractNumId w:val="112"/>
  </w:num>
  <w:num w:numId="139">
    <w:abstractNumId w:val="112"/>
  </w:num>
  <w:num w:numId="140">
    <w:abstractNumId w:val="112"/>
  </w:num>
  <w:num w:numId="141">
    <w:abstractNumId w:val="112"/>
  </w:num>
  <w:num w:numId="142">
    <w:abstractNumId w:val="22"/>
  </w:num>
  <w:num w:numId="143">
    <w:abstractNumId w:val="112"/>
  </w:num>
  <w:num w:numId="144">
    <w:abstractNumId w:val="1"/>
  </w:num>
  <w:num w:numId="145">
    <w:abstractNumId w:val="89"/>
  </w:num>
  <w:num w:numId="146">
    <w:abstractNumId w:val="11"/>
  </w:num>
  <w:num w:numId="147">
    <w:abstractNumId w:val="49"/>
  </w:num>
  <w:num w:numId="148">
    <w:abstractNumId w:val="29"/>
  </w:num>
  <w:num w:numId="149">
    <w:abstractNumId w:val="127"/>
  </w:num>
  <w:num w:numId="150">
    <w:abstractNumId w:val="160"/>
  </w:num>
  <w:num w:numId="151">
    <w:abstractNumId w:val="2"/>
  </w:num>
  <w:num w:numId="152">
    <w:abstractNumId w:val="3"/>
  </w:num>
  <w:num w:numId="153">
    <w:abstractNumId w:val="8"/>
  </w:num>
  <w:num w:numId="154">
    <w:abstractNumId w:val="9"/>
  </w:num>
  <w:num w:numId="155">
    <w:abstractNumId w:val="7"/>
  </w:num>
  <w:num w:numId="156">
    <w:abstractNumId w:val="6"/>
  </w:num>
  <w:num w:numId="157">
    <w:abstractNumId w:val="5"/>
  </w:num>
  <w:num w:numId="158">
    <w:abstractNumId w:val="4"/>
  </w:num>
  <w:num w:numId="159">
    <w:abstractNumId w:val="30"/>
  </w:num>
  <w:num w:numId="160">
    <w:abstractNumId w:val="191"/>
  </w:num>
  <w:num w:numId="161">
    <w:abstractNumId w:val="152"/>
  </w:num>
  <w:num w:numId="162">
    <w:abstractNumId w:val="17"/>
  </w:num>
  <w:num w:numId="163">
    <w:abstractNumId w:val="35"/>
  </w:num>
  <w:num w:numId="164">
    <w:abstractNumId w:val="145"/>
  </w:num>
  <w:num w:numId="165">
    <w:abstractNumId w:val="47"/>
  </w:num>
  <w:num w:numId="166">
    <w:abstractNumId w:val="58"/>
  </w:num>
  <w:num w:numId="167">
    <w:abstractNumId w:val="104"/>
  </w:num>
  <w:num w:numId="168">
    <w:abstractNumId w:val="181"/>
  </w:num>
  <w:num w:numId="169">
    <w:abstractNumId w:val="28"/>
  </w:num>
  <w:num w:numId="170">
    <w:abstractNumId w:val="187"/>
  </w:num>
  <w:num w:numId="171">
    <w:abstractNumId w:val="90"/>
  </w:num>
  <w:num w:numId="172">
    <w:abstractNumId w:val="74"/>
  </w:num>
  <w:num w:numId="173">
    <w:abstractNumId w:val="201"/>
  </w:num>
  <w:num w:numId="174">
    <w:abstractNumId w:val="131"/>
  </w:num>
  <w:num w:numId="175">
    <w:abstractNumId w:val="60"/>
  </w:num>
  <w:num w:numId="176">
    <w:abstractNumId w:val="119"/>
  </w:num>
  <w:num w:numId="177">
    <w:abstractNumId w:val="204"/>
  </w:num>
  <w:num w:numId="178">
    <w:abstractNumId w:val="176"/>
  </w:num>
  <w:num w:numId="179">
    <w:abstractNumId w:val="225"/>
  </w:num>
  <w:num w:numId="180">
    <w:abstractNumId w:val="115"/>
  </w:num>
  <w:num w:numId="181">
    <w:abstractNumId w:val="190"/>
  </w:num>
  <w:num w:numId="182">
    <w:abstractNumId w:val="40"/>
  </w:num>
  <w:num w:numId="183">
    <w:abstractNumId w:val="10"/>
  </w:num>
  <w:num w:numId="184">
    <w:abstractNumId w:val="87"/>
  </w:num>
  <w:num w:numId="185">
    <w:abstractNumId w:val="170"/>
  </w:num>
  <w:num w:numId="186">
    <w:abstractNumId w:val="51"/>
  </w:num>
  <w:num w:numId="187">
    <w:abstractNumId w:val="167"/>
  </w:num>
  <w:num w:numId="188">
    <w:abstractNumId w:val="124"/>
  </w:num>
  <w:num w:numId="189">
    <w:abstractNumId w:val="14"/>
  </w:num>
  <w:num w:numId="190">
    <w:abstractNumId w:val="165"/>
  </w:num>
  <w:num w:numId="191">
    <w:abstractNumId w:val="26"/>
  </w:num>
  <w:num w:numId="192">
    <w:abstractNumId w:val="217"/>
  </w:num>
  <w:num w:numId="193">
    <w:abstractNumId w:val="63"/>
  </w:num>
  <w:num w:numId="194">
    <w:abstractNumId w:val="215"/>
  </w:num>
  <w:num w:numId="195">
    <w:abstractNumId w:val="94"/>
  </w:num>
  <w:num w:numId="196">
    <w:abstractNumId w:val="80"/>
  </w:num>
  <w:num w:numId="197">
    <w:abstractNumId w:val="206"/>
  </w:num>
  <w:num w:numId="198">
    <w:abstractNumId w:val="154"/>
  </w:num>
  <w:num w:numId="199">
    <w:abstractNumId w:val="198"/>
  </w:num>
  <w:num w:numId="200">
    <w:abstractNumId w:val="188"/>
  </w:num>
  <w:num w:numId="201">
    <w:abstractNumId w:val="76"/>
  </w:num>
  <w:num w:numId="202">
    <w:abstractNumId w:val="50"/>
  </w:num>
  <w:num w:numId="203">
    <w:abstractNumId w:val="199"/>
  </w:num>
  <w:num w:numId="204">
    <w:abstractNumId w:val="135"/>
  </w:num>
  <w:num w:numId="205">
    <w:abstractNumId w:val="162"/>
  </w:num>
  <w:num w:numId="206">
    <w:abstractNumId w:val="126"/>
  </w:num>
  <w:num w:numId="207">
    <w:abstractNumId w:val="99"/>
  </w:num>
  <w:num w:numId="208">
    <w:abstractNumId w:val="141"/>
  </w:num>
  <w:num w:numId="209">
    <w:abstractNumId w:val="75"/>
  </w:num>
  <w:num w:numId="210">
    <w:abstractNumId w:val="155"/>
  </w:num>
  <w:num w:numId="211">
    <w:abstractNumId w:val="53"/>
  </w:num>
  <w:num w:numId="212">
    <w:abstractNumId w:val="133"/>
  </w:num>
  <w:num w:numId="213">
    <w:abstractNumId w:val="69"/>
  </w:num>
  <w:num w:numId="214">
    <w:abstractNumId w:val="66"/>
  </w:num>
  <w:num w:numId="215">
    <w:abstractNumId w:val="37"/>
  </w:num>
  <w:num w:numId="216">
    <w:abstractNumId w:val="54"/>
  </w:num>
  <w:num w:numId="217">
    <w:abstractNumId w:val="168"/>
  </w:num>
  <w:num w:numId="218">
    <w:abstractNumId w:val="122"/>
  </w:num>
  <w:num w:numId="219">
    <w:abstractNumId w:val="13"/>
  </w:num>
  <w:num w:numId="220">
    <w:abstractNumId w:val="56"/>
  </w:num>
  <w:num w:numId="221">
    <w:abstractNumId w:val="48"/>
  </w:num>
  <w:num w:numId="222">
    <w:abstractNumId w:val="214"/>
  </w:num>
  <w:num w:numId="223">
    <w:abstractNumId w:val="194"/>
  </w:num>
  <w:num w:numId="224">
    <w:abstractNumId w:val="173"/>
  </w:num>
  <w:num w:numId="225">
    <w:abstractNumId w:val="100"/>
  </w:num>
  <w:num w:numId="226">
    <w:abstractNumId w:val="97"/>
  </w:num>
  <w:num w:numId="227">
    <w:abstractNumId w:val="202"/>
  </w:num>
  <w:num w:numId="228">
    <w:abstractNumId w:val="121"/>
  </w:num>
  <w:num w:numId="229">
    <w:abstractNumId w:val="142"/>
  </w:num>
  <w:num w:numId="230">
    <w:abstractNumId w:val="103"/>
  </w:num>
  <w:num w:numId="231">
    <w:abstractNumId w:val="95"/>
  </w:num>
  <w:num w:numId="232">
    <w:abstractNumId w:val="185"/>
  </w:num>
  <w:num w:numId="233">
    <w:abstractNumId w:val="15"/>
  </w:num>
  <w:num w:numId="234">
    <w:abstractNumId w:val="111"/>
  </w:num>
  <w:num w:numId="235">
    <w:abstractNumId w:val="140"/>
  </w:num>
  <w:num w:numId="236">
    <w:abstractNumId w:val="158"/>
  </w:num>
  <w:num w:numId="237">
    <w:abstractNumId w:val="62"/>
  </w:num>
  <w:num w:numId="238">
    <w:abstractNumId w:val="220"/>
  </w:num>
  <w:num w:numId="239">
    <w:abstractNumId w:val="125"/>
  </w:num>
  <w:num w:numId="240">
    <w:abstractNumId w:val="16"/>
  </w:num>
  <w:num w:numId="241">
    <w:abstractNumId w:val="106"/>
  </w:num>
  <w:num w:numId="242">
    <w:abstractNumId w:val="73"/>
  </w:num>
  <w:num w:numId="243">
    <w:abstractNumId w:val="114"/>
  </w:num>
  <w:num w:numId="244">
    <w:abstractNumId w:val="59"/>
  </w:num>
  <w:num w:numId="245">
    <w:abstractNumId w:val="175"/>
  </w:num>
  <w:num w:numId="246">
    <w:abstractNumId w:val="196"/>
  </w:num>
  <w:num w:numId="247">
    <w:abstractNumId w:val="18"/>
  </w:num>
  <w:num w:numId="248">
    <w:abstractNumId w:val="38"/>
  </w:num>
  <w:num w:numId="249">
    <w:abstractNumId w:val="213"/>
  </w:num>
  <w:num w:numId="250">
    <w:abstractNumId w:val="116"/>
  </w:num>
  <w:num w:numId="251">
    <w:abstractNumId w:val="179"/>
  </w:num>
  <w:num w:numId="252">
    <w:abstractNumId w:val="186"/>
  </w:num>
  <w:num w:numId="253">
    <w:abstractNumId w:val="174"/>
  </w:num>
  <w:num w:numId="254">
    <w:abstractNumId w:val="139"/>
  </w:num>
  <w:num w:numId="255">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style181">
    <w:name w:val="style181"/>
    <w:rPr>
      <w:sz w:val="17"/>
      <w:szCs w:val="17"/>
    </w:rPr>
  </w:style>
  <w:style w:type="paragraph" w:styleId="BodyTextIndent2">
    <w:name w:val="Body Text Indent 2"/>
    <w:basedOn w:val="Normal"/>
    <w:semiHidden/>
    <w:pPr>
      <w:ind w:left="1077"/>
    </w:pPr>
  </w:style>
  <w:style w:type="paragraph" w:styleId="BodyText2">
    <w:name w:val="Body Text 2"/>
    <w:basedOn w:val="Normal"/>
    <w:semiHidden/>
    <w:pPr>
      <w:spacing w:after="0"/>
      <w:jc w:val="both"/>
    </w:pPr>
    <w:rPr>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Title">
    <w:name w:val="Title"/>
    <w:basedOn w:val="Normal"/>
    <w:qFormat/>
    <w:pPr>
      <w:spacing w:after="0" w:line="24" w:lineRule="atLeast"/>
      <w:jc w:val="center"/>
    </w:pPr>
    <w:rPr>
      <w:rFonts w:ascii="Arial Narrow" w:hAnsi="Arial Narrow" w:cs="Traditional Arabic"/>
      <w:b/>
      <w:bCs/>
      <w:noProof/>
      <w:sz w:val="32"/>
      <w:szCs w:val="38"/>
      <w:lang w:val="en-US"/>
    </w:rPr>
  </w:style>
  <w:style w:type="paragraph" w:styleId="Subtitle">
    <w:name w:val="Subtitle"/>
    <w:basedOn w:val="Normal"/>
    <w:qFormat/>
    <w:pPr>
      <w:spacing w:after="0"/>
      <w:jc w:val="center"/>
    </w:pPr>
    <w:rPr>
      <w:b/>
      <w:bCs/>
      <w:szCs w:val="24"/>
      <w:lang w:val="en-US"/>
    </w:rPr>
  </w:style>
  <w:style w:type="paragraph" w:styleId="BodyText3">
    <w:name w:val="Body Text 3"/>
    <w:basedOn w:val="Normal"/>
    <w:semiHidden/>
    <w:rPr>
      <w:bCs/>
      <w:color w:val="000000"/>
    </w:rPr>
  </w:style>
  <w:style w:type="paragraph" w:styleId="BodyTextIndent3">
    <w:name w:val="Body Text Indent 3"/>
    <w:basedOn w:val="Normal"/>
    <w:semiHidden/>
    <w:pPr>
      <w:ind w:left="720"/>
    </w:pPr>
  </w:style>
  <w:style w:type="character" w:styleId="Hyperlink">
    <w:name w:val="Hyperlink"/>
    <w:semiHidden/>
    <w:rPr>
      <w:color w:val="000080"/>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wmf"/><Relationship Id="rId18" Type="http://schemas.openxmlformats.org/officeDocument/2006/relationships/oleObject" Target="embeddings/Microsoft_Excel_Chart3.xls"/><Relationship Id="rId26" Type="http://schemas.openxmlformats.org/officeDocument/2006/relationships/oleObject" Target="embeddings/Microsoft_Excel_97-2003_Worksheet5.xls"/><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Microsoft_Excel_Chart2.xls"/><Relationship Id="rId20" Type="http://schemas.openxmlformats.org/officeDocument/2006/relationships/oleObject" Target="embeddings/Microsoft_Excel_Chart4.xls"/><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3.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Microsoft_Excel_97-2003_Worksheet6.xls"/><Relationship Id="rId10" Type="http://schemas.openxmlformats.org/officeDocument/2006/relationships/header" Target="header2.xml"/><Relationship Id="rId19" Type="http://schemas.openxmlformats.org/officeDocument/2006/relationships/image" Target="media/image5.wmf"/><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Microsoft_Word_97_-_2003_Document1.doc"/><Relationship Id="rId22" Type="http://schemas.openxmlformats.org/officeDocument/2006/relationships/oleObject" Target="embeddings/oleObject2.bin"/><Relationship Id="rId27" Type="http://schemas.openxmlformats.org/officeDocument/2006/relationships/image" Target="media/image9.wmf"/><Relationship Id="rId30"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49064</Words>
  <Characters>279668</Characters>
  <Application>Microsoft Office Word</Application>
  <DocSecurity>4</DocSecurity>
  <Lines>2330</Lines>
  <Paragraphs>559</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0541010</vt:lpstr>
      <vt:lpstr>IMPLEMENTATION OF THE INTERNATIONAL COVENANT on ECONOMIC, SOCIAL AND CULTURAL RI</vt:lpstr>
      <vt:lpstr>    Initial reports submitted by States parties under  articles 16 and 17 of the Cov</vt:lpstr>
      <vt:lpstr>    Addendum</vt:lpstr>
      <vt:lpstr>ALBANIA*</vt:lpstr>
      <vt:lpstr>CONTENTS</vt:lpstr>
      <vt:lpstr>    Introduction</vt:lpstr>
      <vt:lpstr>    Article 1</vt:lpstr>
      <vt:lpstr>    Right to self-determination</vt:lpstr>
      <vt:lpstr>        Disposal of natural resources</vt:lpstr>
      <vt:lpstr>    Table 1</vt:lpstr>
      <vt:lpstr>    Database of projects entirely or partly financed by foreign donors  for the prot</vt:lpstr>
      <vt:lpstr>    </vt:lpstr>
      <vt:lpstr>    Article 2</vt:lpstr>
      <vt:lpstr>    Prohibition of discrimination</vt:lpstr>
      <vt:lpstr>        Equal treatment for persons with various disabilities, or families with more chi</vt:lpstr>
      <vt:lpstr>        Equal treatment of the elderly</vt:lpstr>
      <vt:lpstr>    Article 3</vt:lpstr>
      <vt:lpstr>    Equality between men and women</vt:lpstr>
      <vt:lpstr>        Legal cases </vt:lpstr>
      <vt:lpstr>        Research on gender issues</vt:lpstr>
      <vt:lpstr>        National and international cooperation </vt:lpstr>
      <vt:lpstr>    Article 6</vt:lpstr>
      <vt:lpstr>    Right to employment</vt:lpstr>
      <vt:lpstr>    Levels and tendencies of employment</vt:lpstr>
      <vt:lpstr>    Unemployment</vt:lpstr>
      <vt:lpstr>    Table 2</vt:lpstr>
      <vt:lpstr>    Number of unemployed during 1990-2001</vt:lpstr>
      <vt:lpstr>        Most affected persons, groups and regions with regard to unemployment</vt:lpstr>
      <vt:lpstr>    Employment of foreigners</vt:lpstr>
      <vt:lpstr>    Employment promotion</vt:lpstr>
      <vt:lpstr>        Technical and vocational training </vt:lpstr>
      <vt:lpstr>        Difficulties faced in the fulfilment of employment objectives</vt:lpstr>
      <vt:lpstr>        International cooperation </vt:lpstr>
      <vt:lpstr>    Article 7</vt:lpstr>
      <vt:lpstr>    Right to just and favourable working conditions</vt:lpstr>
      <vt:lpstr>    Wages</vt:lpstr>
      <vt:lpstr>        Minimum wage</vt:lpstr>
      <vt:lpstr>    Classification and trend of the wage levels</vt:lpstr>
      <vt:lpstr>    Equal remuneration for work of equal value </vt:lpstr>
      <vt:lpstr>    Table 3</vt:lpstr>
      <vt:lpstr>    Statistics on wages for the reporting period</vt:lpstr>
      <vt:lpstr>    Average monthly wage in public sector and official minimum wage 1990-2001 (in le</vt:lpstr>
      <vt:lpstr>    Table 4</vt:lpstr>
      <vt:lpstr>    Wage increases in the public sector (percentage)</vt:lpstr>
      <vt:lpstr>    Table 5</vt:lpstr>
      <vt:lpstr>    Average monthly wage for an employee, according to main  groups of professions i</vt:lpstr>
      <vt:lpstr>    Table 6</vt:lpstr>
      <vt:lpstr>    Average monthly wage and salary per employee  (Public and private sector 1997, 1</vt:lpstr>
      <vt:lpstr>        Safe and healthy working conditions</vt:lpstr>
      <vt:lpstr>    Labour accidents</vt:lpstr>
      <vt:lpstr>    Working time, rest time and leave </vt:lpstr>
      <vt:lpstr>        Holidays </vt:lpstr>
      <vt:lpstr>        Annual leave and vacation </vt:lpstr>
      <vt:lpstr>        Other leave </vt:lpstr>
      <vt:lpstr>    International cooperation</vt:lpstr>
      <vt:lpstr>    Article 8</vt:lpstr>
      <vt:lpstr>    Right to organize in trade unions</vt:lpstr>
      <vt:lpstr>    Right to collective bargaining </vt:lpstr>
      <vt:lpstr>    Right to strike </vt:lpstr>
      <vt:lpstr>    Article 9</vt:lpstr>
      <vt:lpstr>    Right to social insurance</vt:lpstr>
      <vt:lpstr>    Social insurance</vt:lpstr>
      <vt:lpstr>    Social security benefits awarded because of disease</vt:lpstr>
      <vt:lpstr>    Unemployment benefits</vt:lpstr>
      <vt:lpstr>    Maternity benefits</vt:lpstr>
      <vt:lpstr>    Social insurance benefits due to accidents at work</vt:lpstr>
      <vt:lpstr>    Old-age pension, disability and family benefits </vt:lpstr>
      <vt:lpstr>        Mandatory insurance</vt:lpstr>
    </vt:vector>
  </TitlesOfParts>
  <Company>ONU</Company>
  <LinksUpToDate>false</LinksUpToDate>
  <CharactersWithSpaces>343451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0541010</dc:title>
  <dc:subject/>
  <dc:creator>Luu/Pacis</dc:creator>
  <cp:keywords>E/1990/5/Add.67</cp:keywords>
  <dc:description>Final</dc:description>
  <cp:lastModifiedBy>rl</cp:lastModifiedBy>
  <cp:revision>2</cp:revision>
  <cp:lastPrinted>2005-05-11T08:23:00Z</cp:lastPrinted>
  <dcterms:created xsi:type="dcterms:W3CDTF">2005-05-11T08:37:00Z</dcterms:created>
  <dcterms:modified xsi:type="dcterms:W3CDTF">2005-05-11T08:37:00Z</dcterms:modified>
</cp:coreProperties>
</file>