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42508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010705    010705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33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CAT/C/CR/34/BHR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21 June 2005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четвертая сессия</w:t>
      </w:r>
    </w:p>
    <w:p w:rsidR="00000000" w:rsidRDefault="00000000">
      <w:r>
        <w:t>2-20 мая 2005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 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БАХРЕЙН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 xml:space="preserve">Комитет рассмотрел первоначальный доклад Бахрейна (CAT/C/47/Add.4) на своих 653-м и 656-м заседаниях (CAT/C/SR.653 и 656), состоявшихся 12 и 13 мая 2005 года, и принял на своем 663-м заседании (CAT/C/SR.633) следующие выводы и рекомендации.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первоначальный доклад Бахрейна, выражая при этом сожаление, что доклад, который должен был быть представлен в апреле 1999 года, получен с пятилетним опозданием.</w:t>
      </w:r>
    </w:p>
    <w:p w:rsidR="00000000" w:rsidRDefault="00000000"/>
    <w:p w:rsidR="00000000" w:rsidRDefault="00000000">
      <w:r>
        <w:t>3.</w:t>
      </w:r>
      <w:r>
        <w:tab/>
        <w:t>Комитет отмечает, что доклад не в полной мере соответствует руководящим принципам Комитета, касающимся подготовки первоначальных докладов, и не содержит информации о практических аспектах осуществления положений Конвенции.</w:t>
      </w:r>
    </w:p>
    <w:p w:rsidR="00000000" w:rsidRDefault="00000000"/>
    <w:p w:rsidR="00000000" w:rsidRDefault="00000000">
      <w:r>
        <w:t>4.</w:t>
      </w:r>
      <w:r>
        <w:tab/>
        <w:t>Комитет приветствует представившуюся ему возможность обсудить доклад с многочисленной делегацией, знакомой с теми многогранными вопросами, которые рассматриваются в Конвенции, а также получившийся обстоятельный и конструктивный диалог.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rPr>
          <w:lang w:val="en-US"/>
        </w:rPr>
        <w:t>5</w:t>
      </w:r>
      <w:r>
        <w:t>.</w:t>
      </w:r>
      <w:r>
        <w:tab/>
        <w:t>Комитет отмечает следующие позитивные изменения: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 xml:space="preserve">проводимые государством-участником широкие политические, правовые и социальные реформы, включая: </w:t>
      </w:r>
    </w:p>
    <w:p w:rsidR="00000000" w:rsidRDefault="00000000">
      <w:pPr>
        <w:ind w:left="1134" w:hanging="1134"/>
      </w:pPr>
    </w:p>
    <w:p w:rsidR="00000000" w:rsidRDefault="00000000">
      <w:pPr>
        <w:tabs>
          <w:tab w:val="clear" w:pos="1134"/>
          <w:tab w:val="right" w:pos="1276"/>
        </w:tabs>
        <w:ind w:left="1701" w:hanging="1701"/>
      </w:pPr>
      <w:r>
        <w:tab/>
      </w:r>
      <w:r>
        <w:tab/>
        <w:t>i)</w:t>
      </w:r>
      <w:r>
        <w:tab/>
        <w:t>принятие в 2001 году Национальной хартии действий, в которой содержится план реформ, направленных на усиление борьбы с дискриминацией, обеспечение надлежащей правовой процедуры и запрет пыток и произвольных арестов, а также декларируется, что любые, доказательства, полученные под пытками, считаются неприемлемыми;</w:t>
      </w:r>
    </w:p>
    <w:p w:rsidR="00000000" w:rsidRDefault="00000000">
      <w:pPr>
        <w:tabs>
          <w:tab w:val="clear" w:pos="1134"/>
          <w:tab w:val="right" w:pos="1276"/>
        </w:tabs>
        <w:ind w:left="1701" w:hanging="1701"/>
      </w:pPr>
    </w:p>
    <w:p w:rsidR="00000000" w:rsidRDefault="00000000">
      <w:pPr>
        <w:tabs>
          <w:tab w:val="clear" w:pos="1134"/>
          <w:tab w:val="right" w:pos="1276"/>
        </w:tabs>
        <w:ind w:left="1701" w:hanging="1701"/>
      </w:pPr>
      <w:r>
        <w:tab/>
      </w:r>
      <w:r>
        <w:tab/>
        <w:t>ii)</w:t>
      </w:r>
      <w:r>
        <w:tab/>
        <w:t>принятие измененной Конституции;</w:t>
      </w:r>
    </w:p>
    <w:p w:rsidR="00000000" w:rsidRDefault="00000000">
      <w:pPr>
        <w:tabs>
          <w:tab w:val="clear" w:pos="1134"/>
          <w:tab w:val="right" w:pos="1276"/>
        </w:tabs>
        <w:ind w:left="1701" w:hanging="1701"/>
      </w:pPr>
    </w:p>
    <w:p w:rsidR="00000000" w:rsidRDefault="00000000">
      <w:pPr>
        <w:tabs>
          <w:tab w:val="clear" w:pos="1134"/>
          <w:tab w:val="right" w:pos="1276"/>
        </w:tabs>
        <w:ind w:left="1701" w:hanging="1701"/>
      </w:pPr>
      <w:r>
        <w:tab/>
      </w:r>
      <w:r>
        <w:tab/>
        <w:t>iii)</w:t>
      </w:r>
      <w:r>
        <w:tab/>
        <w:t>создание в 2002 году Конституционного суда;</w:t>
      </w:r>
    </w:p>
    <w:p w:rsidR="00000000" w:rsidRDefault="00000000">
      <w:pPr>
        <w:tabs>
          <w:tab w:val="clear" w:pos="1134"/>
          <w:tab w:val="right" w:pos="1276"/>
        </w:tabs>
        <w:ind w:left="1701" w:hanging="1701"/>
      </w:pPr>
    </w:p>
    <w:p w:rsidR="00000000" w:rsidRDefault="00000000">
      <w:pPr>
        <w:tabs>
          <w:tab w:val="clear" w:pos="1134"/>
          <w:tab w:val="right" w:pos="1276"/>
        </w:tabs>
        <w:ind w:left="1701" w:hanging="1701"/>
      </w:pPr>
      <w:r>
        <w:tab/>
      </w:r>
      <w:r>
        <w:tab/>
        <w:t>iv)</w:t>
      </w:r>
      <w:r>
        <w:tab/>
        <w:t>создание нового двухпалатного парламента, одна из палат которого избирается;</w:t>
      </w:r>
    </w:p>
    <w:p w:rsidR="00000000" w:rsidRDefault="00000000">
      <w:pPr>
        <w:tabs>
          <w:tab w:val="clear" w:pos="1134"/>
          <w:tab w:val="right" w:pos="1276"/>
        </w:tabs>
        <w:ind w:left="1701" w:hanging="1701"/>
      </w:pPr>
    </w:p>
    <w:p w:rsidR="00000000" w:rsidRDefault="00000000">
      <w:pPr>
        <w:tabs>
          <w:tab w:val="clear" w:pos="1134"/>
          <w:tab w:val="right" w:pos="1276"/>
        </w:tabs>
        <w:ind w:left="1701" w:hanging="1701"/>
      </w:pPr>
      <w:r>
        <w:tab/>
      </w:r>
      <w:r>
        <w:tab/>
        <w:t>v)</w:t>
      </w:r>
      <w:r>
        <w:tab/>
        <w:t>декрет № 19 2002 года, вводящий в действие новое конституционное положение об учреждении Высшего судебного совета, проводящий четкое разграничение между исполнительной и судебной властью и тем самым усиливающий принцип разделения властей, провозглашенный в новой Конституции;</w:t>
      </w:r>
    </w:p>
    <w:p w:rsidR="00000000" w:rsidRDefault="00000000">
      <w:pPr>
        <w:tabs>
          <w:tab w:val="clear" w:pos="1134"/>
          <w:tab w:val="right" w:pos="1276"/>
        </w:tabs>
        <w:ind w:left="1701" w:hanging="1701"/>
      </w:pPr>
    </w:p>
    <w:p w:rsidR="00000000" w:rsidRDefault="00000000">
      <w:pPr>
        <w:tabs>
          <w:tab w:val="clear" w:pos="1134"/>
          <w:tab w:val="right" w:pos="1276"/>
        </w:tabs>
        <w:ind w:left="1701" w:hanging="1701"/>
      </w:pPr>
      <w:r>
        <w:tab/>
      </w:r>
      <w:r>
        <w:tab/>
        <w:t>vi)</w:t>
      </w:r>
      <w:r>
        <w:tab/>
        <w:t>декрет № 4 2001 года об упразднении Суда по вопросам государственной безопасности, который рассматривал преступления против внутренней и внешней безопасности государства и случаи нарушения законодательства о чрезвычайном положении, которыми теперь занимаются обычные уголовные суды;</w:t>
      </w:r>
    </w:p>
    <w:p w:rsidR="00000000" w:rsidRDefault="00000000">
      <w:pPr>
        <w:tabs>
          <w:tab w:val="clear" w:pos="1134"/>
          <w:tab w:val="right" w:pos="1276"/>
        </w:tabs>
        <w:ind w:left="1701" w:hanging="1701"/>
      </w:pPr>
    </w:p>
    <w:p w:rsidR="00000000" w:rsidRDefault="00000000">
      <w:pPr>
        <w:tabs>
          <w:tab w:val="clear" w:pos="1134"/>
          <w:tab w:val="right" w:pos="1276"/>
        </w:tabs>
        <w:ind w:left="1701" w:hanging="1701"/>
      </w:pPr>
      <w:r>
        <w:tab/>
      </w:r>
      <w:r>
        <w:tab/>
        <w:t>vii)</w:t>
      </w:r>
      <w:r>
        <w:tab/>
        <w:t>декрет № 11 2001 года об отмене закона о государственной безопасности;</w:t>
      </w:r>
    </w:p>
    <w:p w:rsidR="00000000" w:rsidRDefault="00000000">
      <w:pPr>
        <w:ind w:left="1701" w:hanging="1701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b)</w:t>
      </w:r>
      <w:r>
        <w:tab/>
        <w:t>присоединение государства-участника к международным договорам в области прав человека, в том числе к Конвенции против пыток в 1998 году и к Конвенции о ликвидации всех форм дискриминации в отношении женщин в 2002 году, а также заверения делегаций в том, что Международный пакт о гражданских и политических правах и Международный пакт об экономических, социальных и культурных правах "были утверждены и находятся в процессе ратификации";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ind w:left="1701" w:hanging="1701"/>
      </w:pPr>
      <w:r>
        <w:tab/>
        <w:t>с)</w:t>
      </w:r>
      <w:r>
        <w:tab/>
        <w:t>снятие оговорки по статье 20 Конвенции;</w:t>
      </w:r>
    </w:p>
    <w:p w:rsidR="00000000" w:rsidRDefault="00000000">
      <w:pPr>
        <w:ind w:left="1701" w:hanging="1701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d)</w:t>
      </w:r>
      <w:r>
        <w:tab/>
        <w:t>посещение Бахрейна в 2001 году Рабочей группой по произвольным задержаниям, которой был предоставлен неограниченный доступ во все тюрьмы и имеющие камеры полицейские участки и возможность свободно общаться без свидетелей с отобранными по случайному принципу заключенными;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е)</w:t>
      </w:r>
      <w:r>
        <w:tab/>
        <w:t>публикацию руководства для иностранных рабочих;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f)</w:t>
      </w:r>
      <w:r>
        <w:tab/>
        <w:t>сообщения о том, что после реформ 2001 года систематическое применение пыток прекратилось.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tabs>
          <w:tab w:val="clear" w:pos="1701"/>
        </w:tabs>
        <w:ind w:left="1134" w:hanging="1134"/>
        <w:jc w:val="center"/>
        <w:rPr>
          <w:b/>
          <w:bCs/>
        </w:rPr>
      </w:pPr>
    </w:p>
    <w:p w:rsidR="00000000" w:rsidRDefault="00000000">
      <w:pPr>
        <w:tabs>
          <w:tab w:val="clear" w:pos="1701"/>
        </w:tabs>
        <w:ind w:left="1134" w:hanging="1134"/>
      </w:pPr>
      <w:r>
        <w:rPr>
          <w:lang w:val="en-US"/>
        </w:rPr>
        <w:t>6</w:t>
      </w:r>
      <w:r>
        <w:t>.</w:t>
      </w:r>
      <w:r>
        <w:tab/>
        <w:t>Комитет выражает обеспокоенность в связи с: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а)</w:t>
      </w:r>
      <w:r>
        <w:tab/>
        <w:t>сохраняющимся разрывом между законодательной основой и ее практическим применением, в том что касается вытекающих из Конвенции обязательств;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b)</w:t>
      </w:r>
      <w:r>
        <w:tab/>
        <w:t>отсутствием во внутреннем праве всеобъемлющего определения пыток, содержащегося в статье 1 Конвенции;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с)</w:t>
      </w:r>
      <w:r>
        <w:tab/>
        <w:t>большим числом сообщений о пытках и других жестоких, бесчеловечных или унижающих достоинство видах обращения с задержанными или их наказания до 2001 года;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d)</w:t>
      </w:r>
      <w:r>
        <w:tab/>
        <w:t>сообщениями о случаях содержания задержанных лиц без связи с внешним миром в течение длительного времени, особенно на этапе досудебного расследования, в период между ратификацией Конвенции и 2001 годом;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е)</w:t>
      </w:r>
      <w:r>
        <w:tab/>
        <w:t>непредоставлением арестованным полицией лицам адекватного доступа к адвокатам со стороны и к медицинской помощи, а также возможности встретиться с членами семей, что снижает действенность защитных мер, имеющихся у задержанных;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f)</w:t>
      </w:r>
      <w:r>
        <w:tab/>
        <w:t>очевидной неспособностью оперативно, беспристрастно и полно расследовать многочисленные жалобы на пытки и жестокое обращение и привлекать к ответственности предполагаемых виновников, и в частности в связи с безнаказанностью сотрудников правоохранительных органов, виновных в применении пыток и иных видов жестокого обращения в прошлом;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g)</w:t>
      </w:r>
      <w:r>
        <w:tab/>
        <w:t>полной амнистией на основании декрета № 56 2002 года всех предполагаемых виновников пыток и других преступлений и невозмещением ущерба, причиненного жертвам пыток;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h)</w:t>
      </w:r>
      <w:r>
        <w:tab/>
        <w:t>недостаточной доступностью на практике гражданско-правовых форм возмещения ущерба и реабилитации для жертв пыток до 2001 года;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i)</w:t>
      </w:r>
      <w:r>
        <w:tab/>
        <w:t>отдельными положениями проекта закона о борьбе с терроризмом, который, если он будет принят, ослабит действенность мер защиты против пыток и может привести к восстановлению положения, благоприятствовавшего совершению злоупотреблений в прошлом на основании закона о государственной безопасности.  К числу вызывающих обеспокоенность положений этого закона относятся, в частности, широкое и расплывчатое определение терроризма и террористических организаций, а также передача от судебных органов прокуратуре полномочий на арест и содержание под стражей, в частности, на протяжении длительного периода досудебного разбирательства;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j)</w:t>
      </w:r>
      <w:r>
        <w:tab/>
        <w:t>отсутствием у независимых инспекторов возможности без предварительного уведомления посещать и осматривать все места содержания под стражей, несмотря на заверения государства-участника в том, что оно предоставит такие возможности организациям гражданского общества;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k)</w:t>
      </w:r>
      <w:r>
        <w:tab/>
        <w:t>отсутствием информации о жалобах на пытки и жестокое обращение, результатах следствия или преследования, возбужденного в связи с положениями Конвенции;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l)</w:t>
      </w:r>
      <w:r>
        <w:tab/>
        <w:t>полученной информацией об ограничении возможностей неправительственных правозащитных организаций заниматься своей работой в стране и за рубежом, особенно что касается деятельности, связанной с Конвенцией;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keepLines/>
        <w:tabs>
          <w:tab w:val="clear" w:pos="1701"/>
        </w:tabs>
        <w:ind w:left="1134" w:hanging="1134"/>
      </w:pPr>
      <w:r>
        <w:tab/>
        <w:t>m)</w:t>
      </w:r>
      <w:r>
        <w:tab/>
        <w:t>проводимыми как в законодательстве, так и на практике различиями между гражданами и иностранцами с точки зрения их законного права не подвергаться действиям, противоречащим Конвенции.  Комитет напоминает государству-участнику о том, что Конвенция и ее защитные положения распространяются на все действия, идущие вразрез с Конвенцией, которые происходят в сфере его юрисдикции.  Из этого следует, что закрепленные в ней права имеют все лица в равной степени и без какой-либо дискриминации;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n)</w:t>
      </w:r>
      <w:r>
        <w:tab/>
        <w:t>отклонением палатой депутатов в марте 2005 года предложения о создании независимой национальной комиссии по правам человека;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о)</w:t>
      </w:r>
      <w:r>
        <w:tab/>
        <w:t>имеющимися у судей шариатского суда чрезмерными дискреционными полномочиями в применении положений законодательства о личном статусе и уголовного законодательства, в частности в связи с сообщениями об отказе принимать во внимание бесспорные доказательства насилия по отношению к женщинам, подтверждаемые медицинскими свидетельствами;</w:t>
      </w:r>
    </w:p>
    <w:p w:rsidR="00000000" w:rsidRDefault="00000000">
      <w:pPr>
        <w:tabs>
          <w:tab w:val="clear" w:pos="1701"/>
        </w:tabs>
        <w:ind w:left="1134" w:hanging="1134"/>
      </w:pPr>
    </w:p>
    <w:p w:rsidR="00000000" w:rsidRDefault="00000000">
      <w:pPr>
        <w:tabs>
          <w:tab w:val="clear" w:pos="1701"/>
        </w:tabs>
        <w:ind w:left="1134" w:hanging="1134"/>
      </w:pPr>
      <w:r>
        <w:tab/>
        <w:t>р)</w:t>
      </w:r>
      <w:r>
        <w:tab/>
        <w:t>сообщениями об избиении заключенных и жестоком обращении с ними во время проходивших в 2003 году в тюрьме "Джав" трех забастовок, после которых было достигнуто соглашение о создании следственной комиссии, выводы которой так и не были обнародованы.</w:t>
      </w:r>
    </w:p>
    <w:p w:rsidR="00000000" w:rsidRDefault="00000000">
      <w:pPr>
        <w:tabs>
          <w:tab w:val="clear" w:pos="1701"/>
        </w:tabs>
        <w:ind w:left="1134" w:hanging="1134"/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tab/>
      </w:r>
      <w:r>
        <w:rPr>
          <w:b/>
          <w:bCs/>
        </w:rPr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>включить в свое уголовное законодательство определение пытки, согласующееся со статьей 1 Конвенции, в том числе для излагаемых в ней различных целей, и обеспечить, чтобы все виды пыток рассматривались в уголовном законодательстве как правонарушения и наказывались соответствующим образом с учетом тяжести подобных правонарушений;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представить полную и подробную информацию о количестве задержанных, подвергавшихся пыткам и жестокому обращению, в том числе о случаях гибели заключенных, результатах расследования причин и признании должностных лиц виновными;</w:t>
      </w:r>
    </w:p>
    <w:p w:rsidR="00000000" w:rsidRDefault="00000000"/>
    <w:p w:rsidR="00000000" w:rsidRDefault="00000000">
      <w:r>
        <w:tab/>
        <w:t>с)</w:t>
      </w:r>
      <w:r>
        <w:tab/>
        <w:t xml:space="preserve">уважать абсолютный характер статьи 3 при всех обстоятельствах и в полной мере инкорпорировать ее во внутреннее законодательство;  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рассмотреть шаги по внесению поправок в Декрет № 56 2002 года, с тем чтобы не оставлять безнаказанными должностных лиц, виновных в применении пыток или других жестоких, бесчеловечных или унижающих достоинство видов обращения или в попустительстве этому;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обеспечить, чтобы правовая система страны гарантировала лицам, ставшим в прошлом жертвами пыток, возмещение причиненного им ущерба и принудительное обеспечение их права на справедливую и адекватную компенсацию;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 xml:space="preserve">обеспечить, чтобы все меры по борьбе с терроризмом, в том числе проект законодательства, не шли вразрез с резолюциями Совета Безопасности, требующими, в частности, чтобы </w:t>
      </w:r>
      <w:proofErr w:type="spellStart"/>
      <w:r>
        <w:t>антитеррористические</w:t>
      </w:r>
      <w:proofErr w:type="spellEnd"/>
      <w:r>
        <w:t xml:space="preserve"> меры осуществлялись при полном уважении применимых норм, в частности международных правозащитных норм, включая Конвенцию;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 xml:space="preserve">создать независимый орган, которому было бы поручено посещение и/или инспектирование мест содержания под стражей без предварительного уведомления, а также разрешить независимым и неправительственным организациям посещать тюрьмы и места содержания под стражей;  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обеспечить полную независимость судебной власти и назначить на официальные должности в судебной системе женщин;</w:t>
      </w:r>
    </w:p>
    <w:p w:rsidR="00000000" w:rsidRDefault="00000000"/>
    <w:p w:rsidR="00000000" w:rsidRDefault="00000000"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 xml:space="preserve">рассмотреть возможность принятия семейного кодекса, включающего, в частности, меры по предупреждению и наказанию насилия по отношению к женщинам, особенно бытового насилия, в том числе справедливые нормы </w:t>
      </w:r>
      <w:proofErr w:type="spellStart"/>
      <w:r>
        <w:t>доказывания</w:t>
      </w:r>
      <w:proofErr w:type="spellEnd"/>
      <w:r>
        <w:t>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обеспечить, чтобы всем задержанным лицам незамедлительно предоставлялся доступ к врачам и адвокатам, а также разрешалось общение с семьями и чтобы лица, задержанные следственными органами, незамедлительно доставлялись к судье;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принять действенные меры для предупреждения и устранения серьезных проблем, с которыми традиционно сталкиваются иностранные рабочие, особенно женщины, работающие в качестве домашней прислуги;</w:t>
      </w:r>
    </w:p>
    <w:p w:rsidR="00000000" w:rsidRDefault="00000000"/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рассмотреть возможность создания национального правозащитного органа в соответствии с Принципами, касающимися статуса национальных учреждений, занимающихся поощрением и защитой прав человека (Парижскими принципами);</w:t>
      </w:r>
    </w:p>
    <w:p w:rsidR="00000000" w:rsidRDefault="00000000"/>
    <w:p w:rsidR="00000000" w:rsidRDefault="00000000">
      <w:r>
        <w:tab/>
      </w:r>
      <w:r>
        <w:rPr>
          <w:lang w:val="en-US"/>
        </w:rPr>
        <w:t>m</w:t>
      </w:r>
      <w:r>
        <w:t>)</w:t>
      </w:r>
      <w:r>
        <w:tab/>
        <w:t>снять неоправданные ограничения на деятельность неправительственных организаций, особенно тех, которые занимаются вопросами, связанными с Конвенцией;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n</w:t>
      </w:r>
      <w:r>
        <w:t>)</w:t>
      </w:r>
      <w:r>
        <w:tab/>
        <w:t>обеспечивать, чтобы сотрудники правоохранительных органов, гражданских, военных и медицинских учреждений и государственных органов, а также все другие лица, которые могут иметь отношение к содержанию под стражей, допросам или обслуживанию лиц, лишенных свободы, получили подготовку, позволяющую им отличать физические последствия пыток и требующую от них уважать полный запрет на их применение;</w:t>
      </w:r>
    </w:p>
    <w:p w:rsidR="00000000" w:rsidRDefault="00000000"/>
    <w:p w:rsidR="00000000" w:rsidRDefault="00000000">
      <w:r>
        <w:tab/>
        <w:t>о)</w:t>
      </w:r>
      <w:r>
        <w:tab/>
        <w:t>представить Комитету сведения о предлагаемом создании комитета по вопросам предотвращения безнравственности и поощрения нравственности, в том числе сведения о том, будет ли он наделен конкретной юрисдикцией в полном соответствии с требованиями Конвенции и будут ли его решения подпадать под контроль обычных судебных органов.</w:t>
      </w:r>
    </w:p>
    <w:p w:rsidR="00000000" w:rsidRDefault="00000000"/>
    <w:p w:rsidR="00000000" w:rsidRDefault="00000000">
      <w:r>
        <w:t>8.</w:t>
      </w:r>
      <w:r>
        <w:tab/>
        <w:t>Комитет рекомендует подготовить следующий периодический доклад в соответствии с его руководящими принципами и включить в него: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статистические данные о жалобах на пытки и жестокое обращение со стороны сотрудников правоохранительных органов в разбивке по видам преступлений, возрасту, полу и гражданству, а также о связанных с этими случаями расследованиях, преследованиях и уголовных и дисциплинарных наказаниях;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информацию о предоставленной жертвам компенсации и их реабилитации;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подробную информацию о практическом осуществлении законодательства и рекомендаций Комитета;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базовый документ с последней информацией, подготовленный в соответствии с руководящими принципами.</w:t>
      </w:r>
    </w:p>
    <w:p w:rsidR="00000000" w:rsidRDefault="00000000"/>
    <w:p w:rsidR="00000000" w:rsidRDefault="00000000">
      <w:r>
        <w:t>9.</w:t>
      </w:r>
      <w:r>
        <w:tab/>
        <w:t>Комитет призывает государство-участник рассмотреть возможность сделать заявления по статьям 21 и 22 Конвенции и ратифицировать Факультативный протокол к Конвенции.</w:t>
      </w:r>
    </w:p>
    <w:p w:rsidR="00000000" w:rsidRDefault="00000000"/>
    <w:p w:rsidR="00000000" w:rsidRDefault="00000000">
      <w:pPr>
        <w:keepLines/>
      </w:pPr>
      <w:r>
        <w:t>10.</w:t>
      </w:r>
      <w:r>
        <w:tab/>
        <w:t xml:space="preserve">К государству-участнику обращается призыв обеспечить широкое распространение докладов, представленных Бахрейном Комитету, а также выводов и рекомендаций Комитета на соответствующих языках и через официальные </w:t>
      </w:r>
      <w:proofErr w:type="spellStart"/>
      <w:r>
        <w:t>вебсайты</w:t>
      </w:r>
      <w:proofErr w:type="spellEnd"/>
      <w:r>
        <w:t>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11.</w:t>
      </w:r>
      <w:r>
        <w:tab/>
        <w:t xml:space="preserve">Комитет просит государство-участник представить в течение одного года информацию о том, как оно отреагировало на рекомендации Комитета, содержащиеся в пунктах </w:t>
      </w:r>
      <w:r>
        <w:rPr>
          <w:lang w:val="en-US"/>
        </w:rPr>
        <w:t>e</w:t>
      </w:r>
      <w:r>
        <w:t xml:space="preserve">), </w:t>
      </w:r>
      <w:r>
        <w:rPr>
          <w:lang w:val="en-US"/>
        </w:rPr>
        <w:t>m</w:t>
      </w:r>
      <w:r>
        <w:t xml:space="preserve">) и </w:t>
      </w:r>
      <w:r>
        <w:rPr>
          <w:lang w:val="en-US"/>
        </w:rPr>
        <w:t>o</w:t>
      </w:r>
      <w:r>
        <w:t>).</w:t>
      </w:r>
    </w:p>
    <w:p w:rsidR="00000000" w:rsidRDefault="00000000"/>
    <w:p w:rsidR="00000000" w:rsidRDefault="00000000">
      <w:r>
        <w:t>12.</w:t>
      </w:r>
      <w:r>
        <w:tab/>
        <w:t>Государству-участнику предлагается представить второй периодический доклад к апрелю 2007 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p w:rsidR="00000000" w:rsidRDefault="00000000">
      <w:pPr>
        <w:tabs>
          <w:tab w:val="clear" w:pos="1701"/>
        </w:tabs>
        <w:ind w:left="1134" w:hanging="1134"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CAT/C/CR/34/BHR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CAT/C/CR/34/BHR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13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1877</Words>
  <Characters>10702</Characters>
  <Application>Microsoft Office Word</Application>
  <DocSecurity>4</DocSecurity>
  <Lines>89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42508.01</vt:lpstr>
    </vt:vector>
  </TitlesOfParts>
  <Company> </Company>
  <LinksUpToDate>false</LinksUpToDate>
  <CharactersWithSpaces>13142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42508.01</dc:title>
  <dc:subject/>
  <dc:creator>Tcherniaeva</dc:creator>
  <cp:keywords/>
  <dc:description/>
  <cp:lastModifiedBy>Черняева</cp:lastModifiedBy>
  <cp:revision>3</cp:revision>
  <cp:lastPrinted>2005-07-01T12:52:00Z</cp:lastPrinted>
  <dcterms:created xsi:type="dcterms:W3CDTF">2005-07-01T12:52:00Z</dcterms:created>
  <dcterms:modified xsi:type="dcterms:W3CDTF">2005-07-01T12:52:00Z</dcterms:modified>
</cp:coreProperties>
</file>