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  <w:t>230103   060203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proofErr w:type="spellStart"/>
            <w:r>
              <w:rPr>
                <w:sz w:val="22"/>
              </w:rPr>
              <w:t>CAT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CR</w:t>
            </w:r>
            <w:proofErr w:type="spellEnd"/>
            <w:r>
              <w:rPr>
                <w:sz w:val="22"/>
              </w:rPr>
              <w:t>/29/3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23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</w:pPr>
      <w:r>
        <w:t>Двадцать девятая сессия</w:t>
      </w:r>
    </w:p>
    <w:p w:rsidR="00000000" w:rsidRDefault="00000000">
      <w:pPr>
        <w:tabs>
          <w:tab w:val="left" w:pos="0"/>
        </w:tabs>
        <w:suppressAutoHyphens/>
      </w:pPr>
      <w:r>
        <w:t>11-22 ноября 2002 года</w:t>
      </w:r>
    </w:p>
    <w:p w:rsidR="00000000" w:rsidRDefault="00000000">
      <w:pPr>
        <w:tabs>
          <w:tab w:val="left" w:pos="0"/>
        </w:tabs>
        <w:suppressAutoHyphens/>
        <w:spacing w:line="216" w:lineRule="auto"/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spacing w:line="216" w:lineRule="auto"/>
      </w:pPr>
    </w:p>
    <w:p w:rsidR="00000000" w:rsidRDefault="00000000">
      <w:pPr>
        <w:pStyle w:val="16"/>
        <w:spacing w:line="240" w:lineRule="auto"/>
        <w:rPr>
          <w:bCs/>
          <w:u w:val="single"/>
        </w:rPr>
      </w:pPr>
      <w:r>
        <w:rPr>
          <w:bCs/>
          <w:u w:val="single"/>
        </w:rPr>
        <w:t>Выводы и рекомендации Комитета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4"/>
        <w:spacing w:line="240" w:lineRule="auto"/>
        <w:rPr>
          <w:bCs/>
          <w:u w:val="none"/>
        </w:rPr>
      </w:pPr>
      <w:r>
        <w:rPr>
          <w:bCs/>
          <w:u w:val="none"/>
        </w:rPr>
        <w:t>ИСПАНИЯ</w:t>
      </w:r>
    </w:p>
    <w:p w:rsidR="00000000" w:rsidRDefault="00000000">
      <w:pPr>
        <w:pStyle w:val="14"/>
        <w:rPr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Испании (CAT/C/55/Add.5) на своих 530, 533 и 540</w:t>
      </w:r>
      <w:r>
        <w:rPr>
          <w:lang w:val="en-US"/>
        </w:rPr>
        <w:t xml:space="preserve"> </w:t>
      </w:r>
      <w:r>
        <w:t>заседаниях, состоявшихся 12, 13 и 19 ноября 2002 года (CAT/C/SR/530, 533 и 540), и принял следующие выводы и рекомендации.</w:t>
      </w:r>
    </w:p>
    <w:p w:rsidR="00000000" w:rsidRDefault="00000000">
      <w:pPr>
        <w:spacing w:line="240" w:lineRule="auto"/>
      </w:pPr>
    </w:p>
    <w:p w:rsidR="00000000" w:rsidRDefault="00000000">
      <w:pPr>
        <w:pStyle w:val="14"/>
        <w:spacing w:line="240" w:lineRule="auto"/>
        <w:rPr>
          <w:bCs/>
        </w:rPr>
      </w:pPr>
      <w:r>
        <w:rPr>
          <w:bCs/>
          <w:u w:val="none"/>
        </w:rPr>
        <w:t>А.</w:t>
      </w:r>
      <w:r>
        <w:rPr>
          <w:bCs/>
          <w:u w:val="none"/>
        </w:rPr>
        <w:tab/>
        <w:t>Введение</w:t>
      </w:r>
    </w:p>
    <w:p w:rsidR="00000000" w:rsidRDefault="00000000">
      <w:pPr>
        <w:pStyle w:val="14"/>
        <w:spacing w:line="240" w:lineRule="auto"/>
        <w:rPr>
          <w:bCs/>
        </w:rPr>
      </w:pPr>
    </w:p>
    <w:p w:rsidR="00000000" w:rsidRDefault="00000000">
      <w:r>
        <w:t>2.</w:t>
      </w:r>
      <w:r>
        <w:tab/>
        <w:t>Комитет с удовлетворением принимает к сведению четвертый периодический доклад Испании, который был представлен к назначенному сроку.  Несмотря на наличие в докладе обширной информации об изменениях в законодательстве, Комитет тем не менее обращает внимание на отсутствие в нем сведений относительно практического применения Конвенции против пыток и других жестоких, бесчеловечных или унижающих достоинство видах обращения и наказания за истекший с момента представления предыдущего доклада период.</w:t>
      </w:r>
    </w:p>
    <w:p w:rsidR="00000000" w:rsidRDefault="00000000"/>
    <w:p w:rsidR="00000000" w:rsidRDefault="00000000">
      <w:r>
        <w:t>3.</w:t>
      </w:r>
      <w:r>
        <w:tab/>
        <w:t>Комитет с удовлетворением отмечает направление Испанией многочисленной и компетентной делегации для целей рассмотрения доклада, что свидетельствует о стремлении государства-участника продолжать открытый и конструктивный диалог с Комитетом.  Комитет с признательностью принимает к сведению дополнительную информацию, представленную государством-участником в его дополнительном докладе и в его исчерпывающих устных ответах на вопросы членов Комитета, что позволило заполнить статистические лакуны.</w:t>
      </w:r>
    </w:p>
    <w:p w:rsidR="00000000" w:rsidRDefault="00000000"/>
    <w:p w:rsidR="00000000" w:rsidRDefault="00000000">
      <w:pPr>
        <w:pStyle w:val="14"/>
        <w:rPr>
          <w:bCs/>
        </w:rPr>
      </w:pPr>
      <w:r>
        <w:rPr>
          <w:bCs/>
          <w:u w:val="none"/>
        </w:rPr>
        <w:t>В.</w:t>
      </w:r>
      <w:r>
        <w:rPr>
          <w:bCs/>
          <w:u w:val="none"/>
        </w:rPr>
        <w:tab/>
        <w:t>Позитивные аспекты</w:t>
      </w:r>
    </w:p>
    <w:p w:rsidR="00000000" w:rsidRDefault="00000000">
      <w:pPr>
        <w:pStyle w:val="14"/>
        <w:rPr>
          <w:bCs/>
        </w:rPr>
      </w:pPr>
    </w:p>
    <w:p w:rsidR="00000000" w:rsidRDefault="00000000">
      <w:r>
        <w:t>4.</w:t>
      </w:r>
      <w:r>
        <w:tab/>
        <w:t>Комитет с удовлетворением отмечает, что в соответствии со статьей 96 Конституции Испании Конвенция является частью внутригосударственного законодательства и на нее можно непосредственно ссылаться в судах.</w:t>
      </w:r>
    </w:p>
    <w:p w:rsidR="00000000" w:rsidRDefault="00000000">
      <w:pPr>
        <w:rPr>
          <w:lang w:val="en-US"/>
        </w:rPr>
      </w:pPr>
    </w:p>
    <w:p w:rsidR="00000000" w:rsidRDefault="00000000">
      <w:r>
        <w:t>5.</w:t>
      </w:r>
      <w:r>
        <w:tab/>
        <w:t>Ссылаясь на свои предыдущие выводы и рекомендации (A/55/44, пункты 119-136), Комитет вновь отмечает, что действующий с 1996 года в Уголовный кодекс Испании в целом соответствует статье 1 Конвенции.  В этой связи Комитет с удовлетворением отмечает, что в статье 57 Уголовного кодекса с внесенными в него изменениями на основании Органического закона № 14 от 9 июня 1999 года предусматривается возможность осуществления судьями или судами в случаях применения пыток помимо основного доказания дополнительных мер пресечения с целью последующей защиты пострадавшего.</w:t>
      </w:r>
    </w:p>
    <w:p w:rsidR="00000000" w:rsidRDefault="00000000"/>
    <w:p w:rsidR="00000000" w:rsidRDefault="00000000">
      <w:r>
        <w:t>6.</w:t>
      </w:r>
      <w:r>
        <w:tab/>
        <w:t>Кроме того, Комитет с удовлетворением принимает к сведению следующее:</w:t>
      </w:r>
    </w:p>
    <w:p w:rsidR="00000000" w:rsidRDefault="00000000"/>
    <w:p w:rsidR="00000000" w:rsidRDefault="00000000">
      <w:r>
        <w:tab/>
        <w:t>а)</w:t>
      </w:r>
      <w:r>
        <w:tab/>
        <w:t>ратификацию в октябре 2000 года Римского статута Международного уголовного суда;</w:t>
      </w:r>
    </w:p>
    <w:p w:rsidR="00000000" w:rsidRDefault="00000000"/>
    <w:p w:rsidR="00000000" w:rsidRDefault="00000000">
      <w:r>
        <w:tab/>
        <w:t>b)</w:t>
      </w:r>
      <w:r>
        <w:tab/>
        <w:t>принятие мер для обеспечения защиты прав задержанных лиц, включая, в частности, подготовку "Практического руководства в отношении действий и поведения сотрудников судебной полиции", и его распространение среди сотрудников государственных правоохранительных органов, а также судей и прокуроров.  В нем определяются правила поведения служащих, особенно в тех случаях, когда речь идет о введении конкретных ограничений на права и свободы граждан;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  <w:t>усилия по осуществлению учебно-просветительских программ для сотрудников государственных правоохранительных органов;</w:t>
      </w:r>
    </w:p>
    <w:p w:rsidR="00000000" w:rsidRDefault="00000000">
      <w:pPr>
        <w:ind w:left="1134" w:hanging="1134"/>
      </w:pPr>
    </w:p>
    <w:p w:rsidR="00000000" w:rsidRDefault="00000000">
      <w:r>
        <w:tab/>
        <w:t>d)</w:t>
      </w:r>
      <w:r>
        <w:tab/>
        <w:t>принятие Государственным управлением по делам иностранцев и иммигрантов инструкции об обращении с иностранцами, незаконно проникшими на территорию страны, заменяющей собой аналогичную инструкцию от 17 ноября 1998 года.  В ней предусматривается ряд гарантий, касающихся права на оказание бесплатной юридической помощи в рамках возможных административных или судебных процедур в связи с принятием к рассмотрению ходатайств о предоставлении убежища или отказом во въезде в страну или высылкой или выдворением из страны;</w:t>
      </w:r>
    </w:p>
    <w:p w:rsidR="00000000" w:rsidRDefault="00000000">
      <w:pPr>
        <w:ind w:left="1134" w:hanging="1134"/>
      </w:pPr>
    </w:p>
    <w:p w:rsidR="00000000" w:rsidRDefault="00000000">
      <w:r>
        <w:tab/>
        <w:t>е)</w:t>
      </w:r>
      <w:r>
        <w:tab/>
        <w:t>прогресс в деле модернизации пенитенциарной системы путем введения в действие 13 новых пенитенциарных центров, рассчитанных как минимум на 14 000 заключенных;</w:t>
      </w:r>
    </w:p>
    <w:p w:rsidR="00000000" w:rsidRDefault="00000000">
      <w:pPr>
        <w:ind w:left="1134" w:hanging="1134"/>
      </w:pPr>
    </w:p>
    <w:p w:rsidR="00000000" w:rsidRDefault="00000000">
      <w:r>
        <w:tab/>
        <w:t>f)</w:t>
      </w:r>
      <w:r>
        <w:tab/>
        <w:t>сокращение числа лиц, содержащихся под стражей в режиме предварительного заключения до вынесения приговора;</w:t>
      </w:r>
    </w:p>
    <w:p w:rsidR="00000000" w:rsidRDefault="00000000">
      <w:pPr>
        <w:ind w:left="1134" w:hanging="1134"/>
      </w:pPr>
    </w:p>
    <w:p w:rsidR="00000000" w:rsidRDefault="00000000">
      <w:r>
        <w:tab/>
        <w:t>g)</w:t>
      </w:r>
      <w:r>
        <w:tab/>
        <w:t>регулярное внесение взносов в Добровольный фонд Организации Объединенных Наций для жертв пыток.</w:t>
      </w:r>
    </w:p>
    <w:p w:rsidR="00000000" w:rsidRDefault="00000000">
      <w:pPr>
        <w:ind w:left="1134" w:hanging="1134"/>
      </w:pPr>
    </w:p>
    <w:p w:rsidR="00000000" w:rsidRDefault="00000000">
      <w:pPr>
        <w:pStyle w:val="14"/>
        <w:rPr>
          <w:bCs/>
        </w:rPr>
      </w:pPr>
      <w:r>
        <w:rPr>
          <w:bCs/>
          <w:u w:val="none"/>
        </w:rPr>
        <w:t>С.</w:t>
      </w:r>
      <w:r>
        <w:rPr>
          <w:bCs/>
          <w:u w:val="none"/>
        </w:rPr>
        <w:tab/>
        <w:t>Факторы и трудности, препятствующие осуществлению Конвенции</w:t>
      </w:r>
    </w:p>
    <w:p w:rsidR="00000000" w:rsidRDefault="00000000">
      <w:pPr>
        <w:pStyle w:val="14"/>
        <w:rPr>
          <w:bCs/>
        </w:rPr>
      </w:pPr>
    </w:p>
    <w:p w:rsidR="00000000" w:rsidRDefault="00000000">
      <w:r>
        <w:t>7.</w:t>
      </w:r>
      <w:r>
        <w:tab/>
        <w:t>Комитет сознает тяжелую ситуацию, в которой находится государство-участник по причине грубых и систематических актов насилия и терроризма, посягающих на безопасность государства и влекущих за собой человеческие жертвы и материальный ущерб.  Комитет признает право и обязанность государства защищать своих граждан от этих актов и принимать меры, направленные на искоренение насилия, и отмечает, что законная реакция государства-участника на эти акты должна быть совместимой с положениями пункта 2 статьи 2 Конвенции, где говорится, что никакие исключительные обстоятельства не могут служить оправданием пыток.</w:t>
      </w:r>
    </w:p>
    <w:p w:rsidR="00000000" w:rsidRDefault="00000000"/>
    <w:p w:rsidR="00000000" w:rsidRDefault="00000000">
      <w:pPr>
        <w:pStyle w:val="14"/>
        <w:rPr>
          <w:bCs/>
          <w:u w:val="none"/>
        </w:rPr>
      </w:pPr>
      <w:r>
        <w:rPr>
          <w:bCs/>
          <w:u w:val="none"/>
        </w:rPr>
        <w:t>D.</w:t>
      </w:r>
      <w:r>
        <w:rPr>
          <w:bCs/>
          <w:u w:val="none"/>
        </w:rPr>
        <w:tab/>
        <w:t>Проблемы, вызывающие озабоченность</w:t>
      </w:r>
    </w:p>
    <w:p w:rsidR="00000000" w:rsidRDefault="00000000">
      <w:pPr>
        <w:pStyle w:val="14"/>
        <w:rPr>
          <w:bCs/>
        </w:rPr>
      </w:pPr>
    </w:p>
    <w:p w:rsidR="00000000" w:rsidRDefault="00000000">
      <w:r>
        <w:t>8.</w:t>
      </w:r>
      <w:r>
        <w:tab/>
        <w:t>Комитет с озабоченностью обращает внимание на противоречие между заявлением государства-участника о том, что в Испании отсутствует практика пыток и применения жестокого обращения, за исключением единичных случаев (CAT/C/55/Add.5, пункт 10), и поступающей из неправительственных источников информации, которая свидетельствует о систематическом применении пыток и жестокого обращения сотрудниками государственных правоохранительных органов.</w:t>
      </w:r>
    </w:p>
    <w:p w:rsidR="00000000" w:rsidRDefault="00000000"/>
    <w:p w:rsidR="00000000" w:rsidRDefault="00000000">
      <w:r>
        <w:t>9.</w:t>
      </w:r>
      <w:r>
        <w:tab/>
        <w:t>Комитет с особой обеспокоенностью обращает внимание на заявления о жестоком обращении, включая, в частности, сексуальные надругательства и изнасилования, жертвами которых становятся иммигранты предположительно на почве расизма или ксенофобии.  Комитет отмечает, что именно через Испанию в Европу проникает большое количество иммигрантов, что, как представляется, привело к значительному увеличению числа иностранцев в стране.  В этой связи Комитет особо подчеркивает отсутствие в тексте статьи 174 Уголовного кодекса упоминания о пытках на почве "дискриминации любого характера" даже с учетом того, что в том же кодексе фактор расизма рассматривается в качестве отягчающего вину обстоятельства.</w:t>
      </w:r>
    </w:p>
    <w:p w:rsidR="00000000" w:rsidRDefault="00000000"/>
    <w:p w:rsidR="00000000" w:rsidRDefault="00000000">
      <w:r>
        <w:t>10.</w:t>
      </w:r>
      <w:r>
        <w:tab/>
        <w:t>Комитет по</w:t>
      </w:r>
      <w:r>
        <w:noBreakHyphen/>
        <w:t>прежнему выражает серьезную обеспокоенность в связи с сохранением в контексте определенных категорий особо тяжких преступлений процедуры содержания под стражей в режиме строгой изоляции на срок до пяти дней, в течение которого задержанное лицо не имеет доступа ни к адвокату, ни к врачу по своему выбору и не имеет права оповестить о задержании свою семью.  Хотя государство-участник объясняет, что режим содержания под стражей в режиме строгой изоляции не означает абсолютной изоляции задержанного от внешнего мира, поскольку он может пользоваться услугами назначенного ему адвоката и судебного врача, Комитет тем не менее считает, что режим содержания под стражей в режиме строгой изоляции, невзирая на юридические гарантии, сопутствующие его применению, благоприятствует совершению актов пыток и жестокого обращения.</w:t>
      </w:r>
    </w:p>
    <w:p w:rsidR="00000000" w:rsidRDefault="00000000"/>
    <w:p w:rsidR="00000000" w:rsidRDefault="00000000">
      <w:r>
        <w:t>11.</w:t>
      </w:r>
      <w:r>
        <w:tab/>
        <w:t>Кроме того, предметом озабоченности Комитета является следующее:</w:t>
      </w:r>
    </w:p>
    <w:p w:rsidR="00000000" w:rsidRDefault="00000000"/>
    <w:p w:rsidR="00000000" w:rsidRDefault="00000000">
      <w:r>
        <w:tab/>
        <w:t>а)</w:t>
      </w:r>
      <w:r>
        <w:tab/>
        <w:t>продолжительные задержки с проведением судебных расследований по заявлениям о применении пыток, в результате чего осужденные могут подпадать под постановление о помиловании или могут быть освобождены от наказания по причине истечения чрезмерно большого времени с момента совершения преступления.  Такие задержки не позволяют обеспечивать надлежащее удовлетворение прав пострадавших на моральное и материальное возмещение;</w:t>
      </w:r>
    </w:p>
    <w:p w:rsidR="00000000" w:rsidRDefault="00000000"/>
    <w:p w:rsidR="00000000" w:rsidRDefault="00000000">
      <w:r>
        <w:tab/>
        <w:t>b)</w:t>
      </w:r>
      <w:r>
        <w:tab/>
        <w:t>в ряде случаев административные органы власти воздерживаются от возбуждения дисциплинарных процедур до завершения уже возбужденного разбирательства по уголовному иску.  Вследствие возможных задержек с осуществлением судебно-процессуальных процедур в некоторых случаях могут возникать ситуации, когда завершение уголовного процесса совпадает с истечением предусмотренного законом срока для привлечения соответствующего лица к дисциплинарной ответственности;</w:t>
      </w:r>
    </w:p>
    <w:p w:rsidR="00000000" w:rsidRDefault="00000000"/>
    <w:p w:rsidR="00000000" w:rsidRDefault="00000000">
      <w:r>
        <w:tab/>
        <w:t>с)</w:t>
      </w:r>
      <w:r>
        <w:tab/>
        <w:t>случаи жестокого обращения в ходе исполнения предписаний о высылке, в частности когда речь идет о высылке несопровождаемых несовершеннолетних лиц;</w:t>
      </w:r>
    </w:p>
    <w:p w:rsidR="00000000" w:rsidRDefault="00000000">
      <w:pPr>
        <w:ind w:left="1134" w:hanging="1134"/>
      </w:pPr>
    </w:p>
    <w:p w:rsidR="00000000" w:rsidRDefault="00000000">
      <w:r>
        <w:tab/>
        <w:t>d)</w:t>
      </w:r>
      <w:r>
        <w:tab/>
        <w:t>суровые условия содержания под стражей заключенных особо строгого режима.  Согласно полученной информации, заключенные, относящиеся к первой категории режима постоянного наблюдения, должны находиться в своих камерах бóльшую часть суток и в некоторых случаях имеют право только на двухчасовую прогулку во внутреннем дворике.  Кроме того, они не имеют права принимать участие в коллективных мероприятиях, заниматься спортом и трудиться, и к ним применяются самые жесткие меры надзора.  В целом Комитет полагает, что физические условия содержания под стражей данной категории заключенных противоречат пенитенциарной методике перевоспитания и могут квалифицироваться как обращение, запрещенное статьей 16 Конвенции.</w:t>
      </w:r>
    </w:p>
    <w:p w:rsidR="00000000" w:rsidRDefault="00000000">
      <w:pPr>
        <w:ind w:left="1134" w:hanging="1134"/>
      </w:pPr>
    </w:p>
    <w:p w:rsidR="00000000" w:rsidRDefault="00000000">
      <w:pPr>
        <w:pStyle w:val="Heading7"/>
        <w:spacing w:line="288" w:lineRule="auto"/>
        <w:jc w:val="center"/>
        <w:rPr>
          <w:sz w:val="24"/>
        </w:rPr>
      </w:pPr>
      <w:r>
        <w:rPr>
          <w:sz w:val="24"/>
        </w:rPr>
        <w:t>Е.</w:t>
      </w:r>
      <w:r>
        <w:rPr>
          <w:sz w:val="24"/>
        </w:rPr>
        <w:tab/>
        <w:t>Рекомендации</w:t>
      </w:r>
    </w:p>
    <w:p w:rsidR="00000000" w:rsidRDefault="00000000">
      <w:pPr>
        <w:pStyle w:val="Heading7"/>
        <w:spacing w:line="288" w:lineRule="auto"/>
        <w:jc w:val="center"/>
        <w:rPr>
          <w:sz w:val="24"/>
        </w:rPr>
      </w:pPr>
    </w:p>
    <w:p w:rsidR="00000000" w:rsidRDefault="00000000">
      <w:pPr>
        <w:rPr>
          <w:bCs/>
        </w:rPr>
      </w:pPr>
      <w:r>
        <w:rPr>
          <w:bCs/>
        </w:rPr>
        <w:t>12.</w:t>
      </w:r>
      <w:r>
        <w:rPr>
          <w:bCs/>
        </w:rPr>
        <w:tab/>
        <w:t xml:space="preserve">Комитет рекомендует государству-участнику рассмотреть возможность типификации преступления пытки, закрепленного в статье 174 Уголовного кодекса, в целях обеспечения его полного соответствия статье 1 Конвенции.  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13.</w:t>
      </w:r>
      <w:r>
        <w:rPr>
          <w:bCs/>
        </w:rPr>
        <w:tab/>
        <w:t>Комитет рекомендует государству-участнику и впредь принимать меры, направленные на пресечение в испанском обществе проявлений расизма и ксенофобии.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14.</w:t>
      </w:r>
      <w:r>
        <w:rPr>
          <w:bCs/>
        </w:rPr>
        <w:tab/>
        <w:t>Комитет предлагает государству-участнику рассмотреть возможность принятия ряда охранительных мер в случаях содержания под стражей в режиме строгой изоляции, включая, в частности: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>введение в качестве общепринятой практики системы видеозаписи допросов в полицейских учреждениях как с целью защиты прав задержанных, так и с целью защиты самих полицейских, которые могут быть безосновательно обвинены в применении пыток или жестокого обращения.  Эти записи следует препровождать судье, в распоряжение которого передается задержанное лицо.  В противном случае могут возникнуть затруднения с подтверждением достоверности показаний задержанного или любых других его показаний;</w:t>
      </w:r>
    </w:p>
    <w:p w:rsidR="00000000" w:rsidRDefault="00000000">
      <w:pPr>
        <w:ind w:left="1134" w:hanging="1134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ab/>
        <w:t>b)</w:t>
      </w:r>
      <w:r>
        <w:rPr>
          <w:bCs/>
        </w:rPr>
        <w:tab/>
        <w:t>медицинское обследование лица, содержащегося под стражей в режиме строгой изоляции, проводимое совместно судебным врачом и врачом по выбору этого лица.</w:t>
      </w:r>
    </w:p>
    <w:p w:rsidR="00000000" w:rsidRDefault="00000000">
      <w:pPr>
        <w:ind w:left="1134" w:hanging="1134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15.</w:t>
      </w:r>
      <w:r>
        <w:rPr>
          <w:bCs/>
        </w:rPr>
        <w:tab/>
        <w:t>Комитет напоминает государству-участнику о его обязательстве проводить незамедлительное и беспристрастное расследование и привлекать к судебной ответственности предполагаемых нарушителей прав человека, включая, в частности, лиц, подозреваемых в применении пыток.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16.</w:t>
      </w:r>
      <w:r>
        <w:rPr>
          <w:bCs/>
        </w:rPr>
        <w:tab/>
        <w:t>Комитет рекомендует государству-участнику обеспечивать, чтобы в случае применения пыток или жестокого обращения одновременно с возбуждением уголовного дела возбуждались, без ущерба для процессуальных действий по соответствующему уголовному иску, надлежащие дисциплинарные процедуры.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17.</w:t>
      </w:r>
      <w:r>
        <w:rPr>
          <w:bCs/>
        </w:rPr>
        <w:tab/>
        <w:t>Комитет настоятельно рекомендует государству-участнику принять необходимые меры в целях обеспечения того, чтобы процедура высылки, включая, в частности, высылку несовершеннолетних лиц, соответствовала положениям Конвенции.</w:t>
      </w:r>
    </w:p>
    <w:p w:rsidR="00000000" w:rsidRDefault="00000000"/>
    <w:p w:rsidR="00000000" w:rsidRDefault="00000000">
      <w:r>
        <w:t>18.</w:t>
      </w:r>
      <w:r>
        <w:tab/>
        <w:t>Комитет рекомендует обеспечить широкое распространение настоящих выводов и рекомендаций на всех языках государства-участника.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rPr>
          <w:lang w:val="en-US"/>
        </w:rPr>
        <w:t>----</w:t>
      </w:r>
      <w:r>
        <w:t>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CAT/C/CR/29/3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CAT/C/CR/29/3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1581</Words>
  <Characters>9015</Characters>
  <Application>Microsoft Office Word</Application>
  <DocSecurity>4</DocSecurity>
  <Lines>75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Muraviev</dc:subject>
  <dc:creator>Tatiana Chvets</dc:creator>
  <cp:keywords/>
  <dc:description/>
  <cp:lastModifiedBy>Tatiana Chvets</cp:lastModifiedBy>
  <cp:revision>3</cp:revision>
  <cp:lastPrinted>2003-02-06T13:01:00Z</cp:lastPrinted>
  <dcterms:created xsi:type="dcterms:W3CDTF">2003-02-06T13:01:00Z</dcterms:created>
  <dcterms:modified xsi:type="dcterms:W3CDTF">2003-02-06T13:01:00Z</dcterms:modified>
</cp:coreProperties>
</file>