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41828</w:t>
                  </w:r>
                  <w:r>
                    <w:rPr>
                      <w:lang w:val="en-US"/>
                    </w:rPr>
                    <w:fldChar w:fldCharType="end"/>
                  </w:r>
                  <w:r>
                    <w:rPr>
                      <w:lang w:val="en-US"/>
                    </w:rPr>
                    <w:t xml:space="preserve">   (R)</w:t>
                  </w:r>
                  <w:r>
                    <w:t xml:space="preserve">    140906    301006</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1932"/>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69902"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CAT/C/SR.700</w:t>
            </w:r>
            <w:r>
              <w:rPr>
                <w:sz w:val="22"/>
              </w:rPr>
              <w:fldChar w:fldCharType="end"/>
            </w:r>
          </w:p>
          <w:p w:rsidR="00000000" w:rsidRDefault="00000000">
            <w:pPr>
              <w:tabs>
                <w:tab w:val="left" w:pos="0"/>
                <w:tab w:val="left" w:pos="7086"/>
              </w:tabs>
              <w:suppressAutoHyphens/>
              <w:spacing w:line="216" w:lineRule="auto"/>
              <w:rPr>
                <w:sz w:val="22"/>
                <w:lang w:val="en-US"/>
              </w:rPr>
            </w:pPr>
            <w:r>
              <w:rPr>
                <w:sz w:val="22"/>
              </w:rPr>
              <w:t xml:space="preserve">30 </w:t>
            </w:r>
            <w:r>
              <w:rPr>
                <w:sz w:val="22"/>
                <w:lang w:val="en-US"/>
              </w:rPr>
              <w:t>October 2006</w:t>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tabs>
                <w:tab w:val="left" w:pos="0"/>
                <w:tab w:val="left" w:pos="7086"/>
              </w:tabs>
              <w:suppressAutoHyphens/>
              <w:spacing w:line="216" w:lineRule="auto"/>
              <w:ind w:left="29"/>
              <w:rPr>
                <w:sz w:val="22"/>
              </w:rPr>
            </w:pPr>
            <w:r>
              <w:rPr>
                <w:sz w:val="22"/>
              </w:rPr>
              <w:t xml:space="preserve">Original:  </w:t>
            </w:r>
            <w:r>
              <w:rPr>
                <w:sz w:val="22"/>
              </w:rPr>
              <w:fldChar w:fldCharType="begin">
                <w:ffData>
                  <w:name w:val="ПолеСоСписком3"/>
                  <w:enabled/>
                  <w:calcOnExit w:val="0"/>
                  <w:ddList>
                    <w:listEntry w:val="FRENCH"/>
                    <w:listEntry w:val="ENGLIS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tc>
      </w:tr>
    </w:tbl>
    <w:p w:rsidR="00000000" w:rsidRDefault="00000000">
      <w:pPr>
        <w:tabs>
          <w:tab w:val="left" w:pos="0"/>
          <w:tab w:val="left" w:pos="7086"/>
        </w:tabs>
        <w:suppressAutoHyphens/>
      </w:pPr>
    </w:p>
    <w:p w:rsidR="00000000" w:rsidRDefault="00000000">
      <w:pPr>
        <w:spacing w:line="240" w:lineRule="auto"/>
        <w:jc w:val="center"/>
      </w:pPr>
      <w:r>
        <w:t>КОМИТЕТ ПРОТИВ ПЫТОК</w:t>
      </w:r>
    </w:p>
    <w:p w:rsidR="00000000" w:rsidRDefault="00000000">
      <w:pPr>
        <w:spacing w:line="240" w:lineRule="auto"/>
        <w:jc w:val="center"/>
      </w:pPr>
    </w:p>
    <w:p w:rsidR="00000000" w:rsidRDefault="00000000">
      <w:pPr>
        <w:spacing w:line="240" w:lineRule="auto"/>
        <w:jc w:val="center"/>
      </w:pPr>
      <w:r>
        <w:t>Тридцать шестая сессия</w:t>
      </w:r>
    </w:p>
    <w:p w:rsidR="00000000" w:rsidRDefault="00000000">
      <w:pPr>
        <w:spacing w:line="240" w:lineRule="auto"/>
        <w:jc w:val="center"/>
      </w:pPr>
    </w:p>
    <w:p w:rsidR="00000000" w:rsidRDefault="00000000">
      <w:pPr>
        <w:spacing w:line="240" w:lineRule="auto"/>
        <w:jc w:val="center"/>
      </w:pPr>
      <w:r>
        <w:t>АНАЛИТИЧЕСКИЙ ОТЧЕТ О ПЕРВОЙ (ОТКРЫТЫЙ)* ЧАСТИ 700-го ЗАСЕДАНИЯ,</w:t>
      </w:r>
    </w:p>
    <w:p w:rsidR="00000000" w:rsidRDefault="00000000">
      <w:pPr>
        <w:spacing w:line="240" w:lineRule="auto"/>
        <w:jc w:val="center"/>
      </w:pPr>
    </w:p>
    <w:p w:rsidR="00000000" w:rsidRDefault="00000000">
      <w:pPr>
        <w:jc w:val="center"/>
        <w:rPr>
          <w:lang w:val="en-US"/>
        </w:rPr>
      </w:pPr>
      <w:r>
        <w:t xml:space="preserve">состоявшегося во Дворце наций в Женеве </w:t>
      </w:r>
    </w:p>
    <w:p w:rsidR="00000000" w:rsidRDefault="00000000">
      <w:pPr>
        <w:jc w:val="center"/>
      </w:pPr>
      <w:r>
        <w:t>в среду, 3 мая 2006 года, в 15 час. 00 мин.</w:t>
      </w:r>
    </w:p>
    <w:p w:rsidR="00000000" w:rsidRDefault="00000000">
      <w:pPr>
        <w:jc w:val="center"/>
      </w:pPr>
    </w:p>
    <w:p w:rsidR="00000000" w:rsidRDefault="00000000">
      <w:pPr>
        <w:jc w:val="center"/>
      </w:pPr>
      <w:r>
        <w:rPr>
          <w:u w:val="single"/>
        </w:rPr>
        <w:t>Председатель</w:t>
      </w:r>
      <w:r>
        <w:t xml:space="preserve">:  г-н МАВРОММАТИС </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w:t>
      </w:r>
      <w:r>
        <w:rPr>
          <w:i/>
          <w:iCs/>
        </w:rPr>
        <w:t>продолжение</w:t>
      </w:r>
      <w:r>
        <w:t>)</w:t>
      </w:r>
    </w:p>
    <w:p w:rsidR="00000000" w:rsidRDefault="00000000">
      <w:pPr>
        <w:jc w:val="center"/>
      </w:pPr>
    </w:p>
    <w:p w:rsidR="00000000" w:rsidRDefault="00000000">
      <w:r>
        <w:tab/>
      </w:r>
      <w:r>
        <w:rPr>
          <w:u w:val="single"/>
        </w:rPr>
        <w:t>Четвертый периодический доклад Перу</w:t>
      </w:r>
      <w:r>
        <w:t xml:space="preserve"> (</w:t>
      </w:r>
      <w:r>
        <w:rPr>
          <w:i/>
          <w:iCs/>
        </w:rPr>
        <w:t>продолжение</w:t>
      </w:r>
      <w:r>
        <w:t>)</w:t>
      </w:r>
    </w:p>
    <w:p w:rsidR="00000000" w:rsidRDefault="00000000"/>
    <w:p w:rsidR="00000000" w:rsidRDefault="00000000">
      <w:pPr>
        <w:spacing w:line="240" w:lineRule="auto"/>
      </w:pPr>
      <w:r>
        <w:t>______________________</w:t>
      </w:r>
    </w:p>
    <w:p w:rsidR="00000000" w:rsidRDefault="00000000">
      <w:pPr>
        <w:spacing w:line="240" w:lineRule="auto"/>
      </w:pPr>
    </w:p>
    <w:p w:rsidR="00000000" w:rsidRDefault="00000000">
      <w:pPr>
        <w:spacing w:line="240" w:lineRule="auto"/>
      </w:pPr>
      <w:r>
        <w:t>*</w:t>
      </w:r>
      <w:r>
        <w:tab/>
        <w:t>Аналитический отчет о второй (закрытой) части заседания  не составлялся.</w:t>
      </w:r>
    </w:p>
    <w:p w:rsidR="00000000" w:rsidRDefault="00000000">
      <w:pPr>
        <w:spacing w:line="240" w:lineRule="auto"/>
      </w:pPr>
    </w:p>
    <w:p w:rsidR="00000000" w:rsidRDefault="00000000">
      <w:pPr>
        <w:spacing w:line="240" w:lineRule="auto"/>
      </w:pPr>
      <w:r>
        <w:t>_____________________</w:t>
      </w:r>
    </w:p>
    <w:p w:rsidR="00000000" w:rsidRDefault="00000000">
      <w:pPr>
        <w:spacing w:line="240" w:lineRule="auto"/>
      </w:pPr>
    </w:p>
    <w:p w:rsidR="00000000" w:rsidRDefault="00000000">
      <w:pPr>
        <w:spacing w:line="240" w:lineRule="auto"/>
      </w:pPr>
      <w:r>
        <w:tab/>
        <w:t xml:space="preserve">В настоящий отчет могут вноситься поправки. </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 </w:t>
      </w:r>
    </w:p>
    <w:p w:rsidR="00000000" w:rsidRDefault="00000000">
      <w:pPr>
        <w:spacing w:line="240" w:lineRule="auto"/>
      </w:pPr>
    </w:p>
    <w:p w:rsidR="00000000" w:rsidRDefault="00000000">
      <w:pPr>
        <w:spacing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Pr>
        <w:spacing w:line="240" w:lineRule="auto"/>
      </w:pPr>
    </w:p>
    <w:p w:rsidR="00000000" w:rsidRDefault="00000000">
      <w:pPr>
        <w:spacing w:line="240" w:lineRule="auto"/>
        <w:jc w:val="center"/>
        <w:rPr>
          <w:i/>
          <w:iCs/>
        </w:rPr>
      </w:pPr>
      <w:r>
        <w:rPr>
          <w:i/>
          <w:iCs/>
        </w:rPr>
        <w:t>Заседание открывается в 15</w:t>
      </w:r>
      <w:r>
        <w:t> </w:t>
      </w:r>
      <w:r>
        <w:rPr>
          <w:i/>
          <w:iCs/>
        </w:rPr>
        <w:t>час. 10 мин.</w:t>
      </w:r>
    </w:p>
    <w:p w:rsidR="00000000" w:rsidRDefault="00000000">
      <w:pPr>
        <w:spacing w:line="240" w:lineRule="auto"/>
        <w:jc w:val="center"/>
      </w:pPr>
    </w:p>
    <w:p w:rsidR="00000000" w:rsidRDefault="00000000">
      <w:pPr>
        <w:spacing w:line="240" w:lineRule="auto"/>
      </w:pPr>
      <w:r>
        <w:t xml:space="preserve">РАССМОТРЕНИЕ ДОКЛАДОВ, ПРЕДСТАВЛЕННЫХ ГОСУДАРСТВАМИ- УЧАСТНИКАМИ В СООТВЕТСТВИИ СО СТАТЬЕЙ 19 КОНВЕНЦИИ </w:t>
      </w:r>
    </w:p>
    <w:p w:rsidR="00000000" w:rsidRDefault="00000000">
      <w:pPr>
        <w:spacing w:line="240" w:lineRule="auto"/>
      </w:pPr>
      <w:r>
        <w:t>(пункт 7 повестки дня) (</w:t>
      </w:r>
      <w:r>
        <w:rPr>
          <w:i/>
          <w:iCs/>
        </w:rPr>
        <w:t>продолжение</w:t>
      </w:r>
      <w:r>
        <w:t>)</w:t>
      </w:r>
    </w:p>
    <w:p w:rsidR="00000000" w:rsidRDefault="00000000">
      <w:pPr>
        <w:spacing w:line="240" w:lineRule="auto"/>
        <w:rPr>
          <w:i/>
          <w:iCs/>
          <w:u w:val="single"/>
        </w:rPr>
      </w:pPr>
    </w:p>
    <w:p w:rsidR="00000000" w:rsidRDefault="00000000">
      <w:r>
        <w:rPr>
          <w:u w:val="single"/>
        </w:rPr>
        <w:t>Четвертый периодический доклад Перу</w:t>
      </w:r>
      <w:r>
        <w:t xml:space="preserve"> (</w:t>
      </w:r>
      <w:r>
        <w:rPr>
          <w:lang w:val="en-US"/>
        </w:rPr>
        <w:t>CAT</w:t>
      </w:r>
      <w:r>
        <w:t>/</w:t>
      </w:r>
      <w:r>
        <w:rPr>
          <w:lang w:val="en-US"/>
        </w:rPr>
        <w:t>C</w:t>
      </w:r>
      <w:r>
        <w:t>/61/</w:t>
      </w:r>
      <w:r>
        <w:rPr>
          <w:lang w:val="fr-CH"/>
        </w:rPr>
        <w:t>Add</w:t>
      </w:r>
      <w:r>
        <w:t xml:space="preserve">.2;  </w:t>
      </w:r>
      <w:r>
        <w:rPr>
          <w:lang w:val="en-US"/>
        </w:rPr>
        <w:t>CAT</w:t>
      </w:r>
      <w:r>
        <w:t>/</w:t>
      </w:r>
      <w:r>
        <w:rPr>
          <w:lang w:val="en-US"/>
        </w:rPr>
        <w:t>C</w:t>
      </w:r>
      <w:r>
        <w:t>/</w:t>
      </w:r>
      <w:r>
        <w:rPr>
          <w:lang w:val="fr-CH"/>
        </w:rPr>
        <w:t>PER</w:t>
      </w:r>
      <w:r>
        <w:t>/</w:t>
      </w:r>
      <w:r>
        <w:rPr>
          <w:lang w:val="fr-CH"/>
        </w:rPr>
        <w:t>Q</w:t>
      </w:r>
      <w:r>
        <w:t>/4;  письменные ответы распространяются на заседании только на испанском языке) (</w:t>
      </w:r>
      <w:r>
        <w:rPr>
          <w:i/>
          <w:iCs/>
        </w:rPr>
        <w:t>продолжение</w:t>
      </w:r>
      <w:r>
        <w:t>)</w:t>
      </w:r>
    </w:p>
    <w:p w:rsidR="00000000" w:rsidRDefault="00000000"/>
    <w:p w:rsidR="00000000" w:rsidRDefault="00000000">
      <w:r>
        <w:t>1.</w:t>
      </w:r>
      <w:r>
        <w:tab/>
      </w:r>
      <w:r>
        <w:rPr>
          <w:i/>
          <w:iCs/>
        </w:rPr>
        <w:t>По приглашению Председателя члены перуанской делегации занимают места за столом Комитета.</w:t>
      </w:r>
    </w:p>
    <w:p w:rsidR="00000000" w:rsidRDefault="00000000"/>
    <w:p w:rsidR="00000000" w:rsidRDefault="00000000">
      <w:r>
        <w:t>2.</w:t>
      </w:r>
      <w:r>
        <w:tab/>
      </w:r>
      <w:r>
        <w:rPr>
          <w:u w:val="single"/>
        </w:rPr>
        <w:t>ПРЕДСЕДАТЕЛЬ</w:t>
      </w:r>
      <w:r>
        <w:t xml:space="preserve"> предлагает перуанской делегации ответить на вопросы членов Комитета.</w:t>
      </w:r>
    </w:p>
    <w:p w:rsidR="00000000" w:rsidRDefault="00000000"/>
    <w:p w:rsidR="00000000" w:rsidRDefault="00000000">
      <w:r>
        <w:t>3.</w:t>
      </w:r>
      <w:r>
        <w:tab/>
      </w:r>
      <w:r>
        <w:rPr>
          <w:u w:val="single"/>
        </w:rPr>
        <w:t>Г-н ТУДЕЛА</w:t>
      </w:r>
      <w:r>
        <w:t xml:space="preserve"> (Перу) сообщает, что перуанская делегация предполагает отвечать на вопросы членов Комитета, сгруппировав их по темам.  Что касается отправления правосудия и, в частности, судебной власти, то он подчеркивает, что независимость судей и прокуроров была повышена за счет того, что 90% из них получили гарантии пребывания в должности.  Проблема, которая возникает в связи с процессом аттестации судебных чиновников, которая проводится каждые семь лет и может повлечь за собой их отзыв, снижая тем самым  их независимость, рассматривалась законодателями в рамках конституционных дебатов, проходивших в 2002-2004 годах, но никакого решения на этот счет принято не было.  Следует, кроме того, отметить, что в судебной системе Перу не предусмотрен институт присяжных. </w:t>
      </w:r>
    </w:p>
    <w:p w:rsidR="00000000" w:rsidRDefault="00000000">
      <w:pPr>
        <w:rPr>
          <w:sz w:val="16"/>
        </w:rPr>
      </w:pPr>
    </w:p>
    <w:p w:rsidR="00000000" w:rsidRDefault="00000000">
      <w:r>
        <w:t>4.</w:t>
      </w:r>
      <w:r>
        <w:tab/>
        <w:t>Что касается реформы и укрепления судебной системы, то г</w:t>
      </w:r>
      <w:r>
        <w:noBreakHyphen/>
        <w:t>н Тудела напоминает, что после решения, вынесенного 3 января 2003 года Конституционным судом, гражданские лица не могут быть судимы военными трибуналами и что предусмотрено создание в Верховном суде специальной коллегии, занимающейся делами, касающимися военнослужащих и полицейских.  Процесс реформы судебного аппарата был начат при поддержке международных финансовых институтов и Европейского союза на основе предложений, сформулированных специальной комиссией, которой было поручено изучить план всеобъемлющей общенациональной  реформы системы отправления правосудия (</w:t>
      </w:r>
      <w:r>
        <w:rPr>
          <w:lang w:val="en-US"/>
        </w:rPr>
        <w:t>Comisi</w:t>
      </w:r>
      <w:r>
        <w:t>ó</w:t>
      </w:r>
      <w:r>
        <w:rPr>
          <w:lang w:val="en-US"/>
        </w:rPr>
        <w:t>n</w:t>
      </w:r>
      <w:r>
        <w:t xml:space="preserve"> </w:t>
      </w:r>
      <w:r>
        <w:rPr>
          <w:lang w:val="en-US"/>
        </w:rPr>
        <w:t>especial</w:t>
      </w:r>
      <w:r>
        <w:t xml:space="preserve"> </w:t>
      </w:r>
      <w:r>
        <w:rPr>
          <w:lang w:val="en-US"/>
        </w:rPr>
        <w:t>de</w:t>
      </w:r>
      <w:r>
        <w:t xml:space="preserve"> </w:t>
      </w:r>
      <w:r>
        <w:rPr>
          <w:lang w:val="en-US"/>
        </w:rPr>
        <w:t>estudio</w:t>
      </w:r>
      <w:r>
        <w:t xml:space="preserve"> </w:t>
      </w:r>
      <w:r>
        <w:rPr>
          <w:lang w:val="en-US"/>
        </w:rPr>
        <w:t>del</w:t>
      </w:r>
      <w:r>
        <w:t xml:space="preserve"> </w:t>
      </w:r>
      <w:r>
        <w:rPr>
          <w:lang w:val="en-US"/>
        </w:rPr>
        <w:t>plan</w:t>
      </w:r>
      <w:r>
        <w:t xml:space="preserve"> </w:t>
      </w:r>
      <w:r>
        <w:rPr>
          <w:lang w:val="en-US"/>
        </w:rPr>
        <w:t>na</w:t>
      </w:r>
      <w:r>
        <w:t>с</w:t>
      </w:r>
      <w:r>
        <w:rPr>
          <w:lang w:val="en-US"/>
        </w:rPr>
        <w:t>ional</w:t>
      </w:r>
      <w:r>
        <w:t xml:space="preserve"> </w:t>
      </w:r>
      <w:r>
        <w:rPr>
          <w:lang w:val="en-US"/>
        </w:rPr>
        <w:t>de</w:t>
      </w:r>
      <w:r>
        <w:t xml:space="preserve"> </w:t>
      </w:r>
      <w:r>
        <w:rPr>
          <w:lang w:val="en-US"/>
        </w:rPr>
        <w:t>reforma</w:t>
      </w:r>
      <w:r>
        <w:t xml:space="preserve"> </w:t>
      </w:r>
      <w:r>
        <w:rPr>
          <w:lang w:val="en-US"/>
        </w:rPr>
        <w:t>integral</w:t>
      </w:r>
      <w:r>
        <w:t xml:space="preserve"> </w:t>
      </w:r>
      <w:r>
        <w:rPr>
          <w:lang w:val="en-US"/>
        </w:rPr>
        <w:t>de</w:t>
      </w:r>
      <w:r>
        <w:t xml:space="preserve"> </w:t>
      </w:r>
      <w:r>
        <w:rPr>
          <w:lang w:val="en-US"/>
        </w:rPr>
        <w:t>la</w:t>
      </w:r>
      <w:r>
        <w:t xml:space="preserve"> </w:t>
      </w:r>
      <w:r>
        <w:rPr>
          <w:lang w:val="en-US"/>
        </w:rPr>
        <w:t>administra</w:t>
      </w:r>
      <w:r>
        <w:t>с</w:t>
      </w:r>
      <w:r>
        <w:rPr>
          <w:lang w:val="en-US"/>
        </w:rPr>
        <w:t>i</w:t>
      </w:r>
      <w:r>
        <w:t>ó</w:t>
      </w:r>
      <w:r>
        <w:rPr>
          <w:lang w:val="en-US"/>
        </w:rPr>
        <w:t>n</w:t>
      </w:r>
      <w:r>
        <w:t xml:space="preserve"> </w:t>
      </w:r>
      <w:r>
        <w:rPr>
          <w:lang w:val="en-US"/>
        </w:rPr>
        <w:t>de</w:t>
      </w:r>
      <w:r>
        <w:t xml:space="preserve"> </w:t>
      </w:r>
      <w:r>
        <w:rPr>
          <w:lang w:val="en-US"/>
        </w:rPr>
        <w:t>justicia</w:t>
      </w:r>
      <w:r>
        <w:t xml:space="preserve"> - </w:t>
      </w:r>
      <w:r>
        <w:rPr>
          <w:lang w:val="en-US"/>
        </w:rPr>
        <w:t>CERIAJUS</w:t>
      </w:r>
      <w:r>
        <w:t>).  Одним из главных результатов этой реформы стал новый уголовно-процессуальный кодекс, который будет сначала применяться с июля 2006 года  в округе Уаура, а затем, постепенно, во всей стране.  Он предусматривает отказ от инквизиционной модели письменного производства в пользу обвинительной системы устного судопроизводства, что должно привести в самом недалеком будущем к более эффективному и рациональному отправлению правосудия в стране.</w:t>
      </w:r>
    </w:p>
    <w:p w:rsidR="00000000" w:rsidRDefault="00000000"/>
    <w:p w:rsidR="00000000" w:rsidRDefault="00000000">
      <w:r>
        <w:t>5.</w:t>
      </w:r>
      <w:r>
        <w:tab/>
      </w:r>
      <w:r>
        <w:rPr>
          <w:u w:val="single"/>
        </w:rPr>
        <w:t>Г-н БУРНЕО-ЛАБРИН</w:t>
      </w:r>
      <w:r>
        <w:t xml:space="preserve"> (Перу) сообщает, что внутренний регламент Национального совета судей был изменен таким образом, что этот орган  обязан теперь мотивировать свои решения.  В соответствии с положениями нового конституционно-процессуального кодекса эти решения могут быть обжалованы по процедуре ампаро, и на этот счет имеется соответствующая судебная практика.  Кроме того, несколько ходатайств, предусматривающих реабилитацию судей, неправомерно смененных Национальным советом судей, были поданы в Межамериканский суд по правам человека и привели к урегулированию по обоюдному согласию. </w:t>
      </w:r>
    </w:p>
    <w:p w:rsidR="00000000" w:rsidRDefault="00000000"/>
    <w:p w:rsidR="00000000" w:rsidRDefault="00000000">
      <w:r>
        <w:t>6.</w:t>
      </w:r>
      <w:r>
        <w:tab/>
        <w:t>Что касается роли прокуратуры, то нарушения прав человека, в том числе применение пыток, относятся исключительно к компетенции прокуратуры, и при столкновении юрисдикции военных трибуналов и общегражданских судов Верховный суд всегда принимал решения в пользу последних.  Работники прокуратуры имеют свободный доступ на объекты армии и полиции для проведения расследований, что ни в коей мере не мешает проведению параллельного внутреннего административного расследования в дисциплинарных целях, без ущерба для возбуждения уголовного дела.  Постановления прокуроров могут быть обжалованы в вышестоящей прокуратуре.  Решения прокуратуры не имеют окончательной силы, и появление новых доказательств может быть основанием для требования о пересмотре дела.  Что касается дел, связанных с нарушением процессуальных гарантий, то потерпевший может использовать возможность подачи жалобы по процедуре ампаро.</w:t>
      </w:r>
    </w:p>
    <w:p w:rsidR="00000000" w:rsidRDefault="00000000"/>
    <w:p w:rsidR="00000000" w:rsidRDefault="00000000">
      <w:r>
        <w:t>7.</w:t>
      </w:r>
      <w:r>
        <w:tab/>
        <w:t>Кроме того, для поддержки своей деятельности прокуратура создала информационную систему, в которой  регистрируются все заявления о привлечении к уголовной ответственности, включая связанные с применением пыток.  На настоящий момент система покрывает только город Лиму, т.е. треть населения страны.  В стране также создана единая система учета лиц, находящихся в заключении, свободный доступ к которой имеют все граждане.</w:t>
      </w:r>
    </w:p>
    <w:p w:rsidR="00000000" w:rsidRDefault="00000000"/>
    <w:p w:rsidR="00000000" w:rsidRDefault="00000000">
      <w:r>
        <w:t>8.</w:t>
      </w:r>
      <w:r>
        <w:tab/>
        <w:t>Что касается судебных решений о наказании виновных в пытках, то перуанское правительство осознает, что чисто осужденных за такие деяния недостаточно ввиду принятых в стране в определенный период законов об амнистии, полностью освобождающих от ответственности за пытки.  Однако решение Межамериканского суда по правам человека, признавшего эти законы не имеющими юридической силы, которое имело большой резонанс в Латинской Америке, постепенно начинает применяться перуанскими судами.  В частности, в недавнем постановлении Конституционный суд прямо постановил, что на нарушения прав человека срок давности не распространяется.</w:t>
      </w:r>
    </w:p>
    <w:p w:rsidR="00000000" w:rsidRDefault="00000000"/>
    <w:p w:rsidR="00000000" w:rsidRDefault="00000000">
      <w:r>
        <w:t>9.</w:t>
      </w:r>
      <w:r>
        <w:tab/>
        <w:t>Бюро Народного защитника является автономным институтом, в задачу которого входит проведение расследований внесудебного характера в связи с нарушениями прав человека, включая применение пыток, и направление материалов таких расследований в прокуратуру на предмет возбуждения, при наличии оснований, уголовного дела.  Бюро провело два важных расследования, одно из которых касалось неуставных отношений в армии в период 1998-2002 годов, а второе - действий полиции.  В этих двух расследованиях ему удалось установить подозреваемых и определить даты событий. Помимо этого Бюро разработало протокол действий, конкретно относящийся к случаям применения пыток, который в основном используется в уголовно-исполнительных учреждениях.  Текст этого протокола имеется на сайте Народного защитника и был широко распространен в таких учреждениях по всей стране.</w:t>
      </w:r>
    </w:p>
    <w:p w:rsidR="00000000" w:rsidRDefault="00000000">
      <w:pPr>
        <w:tabs>
          <w:tab w:val="left" w:pos="0"/>
        </w:tabs>
      </w:pPr>
    </w:p>
    <w:p w:rsidR="00000000" w:rsidRDefault="00000000">
      <w:r>
        <w:t>10.</w:t>
      </w:r>
      <w:r>
        <w:tab/>
      </w:r>
      <w:r>
        <w:rPr>
          <w:u w:val="single"/>
        </w:rPr>
        <w:t>Г-н ТУДЕЛА</w:t>
      </w:r>
      <w:r>
        <w:t xml:space="preserve"> (Перу) сообщает, что в силу решения Конституционного суда, имеющего обязательную силу для всех органов судебной системы, законы об амнистии были объявлены несовместимыми с Американской конвенцией о правах человека и исключены из законодательства.  Помимо этого, он подтверждает, что по перуанскому законодательству превышение власти является административным правонарушением.  В правовой системе Перу на все уголовные правонарушения распространяется срок давности, за исключением нарушений прав человека;  последнее вытекает из постановления Конституционного суда от 18 марта 2004 года по делу Хенаро Вильгаса Намуче, в котором Суд установил, что на нарушения прав человека военными и, в общем виде, все преступления против человечества не распространяется срок давности и что подозреваемые в таких деяниях военные не могут быть судимы военными судами.  Наконец, г-н Тудела сообщает, что департамент, специально занимающийся правами человека, который был создан в прокуратуре, рассматривает нарушения, совершенные в период 1980-2000 годов.</w:t>
      </w:r>
    </w:p>
    <w:p w:rsidR="00000000" w:rsidRDefault="00000000"/>
    <w:p w:rsidR="00000000" w:rsidRDefault="00000000">
      <w:r>
        <w:t>11.</w:t>
      </w:r>
      <w:r>
        <w:tab/>
      </w:r>
      <w:r>
        <w:rPr>
          <w:u w:val="single"/>
        </w:rPr>
        <w:t>Г-н БУРНЕО-ЛАБРИН</w:t>
      </w:r>
      <w:r>
        <w:t xml:space="preserve"> (Перу) сообщает, что в законодательстве Перу определение пытки имеет своим главным элементом цели, преследуемые этим актом, а именно: получение признаний или сведений, наказание, запугивание или принуждение. Дискриминация не входит в это определение, но правительство Перу учло озабоченность, выраженную Комитетом по этому поводу, и проследит, чтобы проект пересмотренного Уголовного кодекса, который сейчас находится на рассмотрении юридической комиссии Конгресса, был изменен так, чтобы в определение пытки включался элемент дискриминации.</w:t>
      </w:r>
    </w:p>
    <w:p w:rsidR="00000000" w:rsidRDefault="00000000"/>
    <w:p w:rsidR="00000000" w:rsidRDefault="00000000">
      <w:r>
        <w:t>12.</w:t>
      </w:r>
      <w:r>
        <w:tab/>
        <w:t>Что касается сексуального насилия, то в проекте нового Уголовного кодекса предусмотрено выделить акт изнасилования как отдельное нарушение, отличное от пытки, в соответствии со статьей 7 Римского статута.  Что касается компенсации жертвам пыток, то государство выплатило 50 млн. солей, или около 15 млн. долл., в качестве компенсации в порядке выполнения решений Межамериканского суда  по правам человека по делам Лоайсы и Кантораля Бенавидеса.  Право на компенсацию не подлежит сроку давности в силу общего закона о компенсации от 29 июля 2005 года, который предусматривает, что любой потерпевший от нарушений прав человека, в том числе пыток, совершенных в период 1980-2000 годов, вправе требовать возмещения.</w:t>
      </w:r>
    </w:p>
    <w:p w:rsidR="00000000" w:rsidRDefault="00000000"/>
    <w:p w:rsidR="00000000" w:rsidRDefault="00000000">
      <w:r>
        <w:t>13.</w:t>
      </w:r>
      <w:r>
        <w:tab/>
      </w:r>
      <w:r>
        <w:rPr>
          <w:u w:val="single"/>
        </w:rPr>
        <w:t>Г-н РУБИО</w:t>
      </w:r>
      <w:r>
        <w:t xml:space="preserve"> (Перу) подчеркивает, что приход к власти демократического правительства повлек за собой существенные изменения в области образования.  Закон № 27741 2002 года ввел обязательное преподавание Конституции, прав человека и международного гуманитарного права во всех гражданских и военных учебных заведениях и поручил государству разработать национальный план обучения в сфере прав человека.  Этот план, утвержденный в декабре 2005 года, включает широкую программу популяризации прав человека и международного гуманитарного права.  С этой целью разрабатываются образовательные программы для всех уровней обучения.  В марте 2006 года министерство юстиции, ответственное за этот план, заключило соглашение о сотрудничестве в области образования с Межамериканской комиссией по правам человека.  Помимо этого, Школа судей в сотрудничестве  с Институтом международных исследований Понтификского католического университета Перу, Центром международного гуманитарного права министерства обороны, Институтом судебной защиты, Институтом прав человека и демократии Понтификского католического университета Перу и Комиссией по изучению и разработке международного гуманитарного права организует различные образовательные мероприятия в области прав человека для разных профессиональных групп и широкой общественности.  Армия, полиция, судебные власти и прокуратура со своей стороны также организуют такие мероприятия, которые они проводят в сотрудничестве с гражданским обществом. Г</w:t>
      </w:r>
      <w:r>
        <w:noBreakHyphen/>
        <w:t>н Рубио подчеркивает роль Международного комитета Красного Креста, который активно и регулярно участвует в образовательных мероприятиях для личного состава армии и полиции.  Наконец, на университетском уровне было создано четыре курса обучения по правам человека и международному гуманитарному праву в Понтификском католическом университете Перу.</w:t>
      </w:r>
    </w:p>
    <w:p w:rsidR="00000000" w:rsidRDefault="00000000"/>
    <w:p w:rsidR="00000000" w:rsidRDefault="00000000">
      <w:r>
        <w:t>14.</w:t>
      </w:r>
      <w:r>
        <w:tab/>
      </w:r>
      <w:r>
        <w:rPr>
          <w:u w:val="single"/>
        </w:rPr>
        <w:t>Г-н ТУДЕЛА</w:t>
      </w:r>
      <w:r>
        <w:t xml:space="preserve"> (Перу), касаясь чрезвычайного положения, подчеркивает, что в своем постановлении от 16 марта 2004 года Конституционный суд признал неконституционными распоряжения военных властей, неправомерно использовавшихся прежним режимом.  При нынешнем режиме всю полноту ответственности за поддержание обществевнного порядка несут гражданские власти, что способствует устранению пыток. Сейчас в Перу имеются две зоны, расположенные в относительно малонаселенных районах, где действует чрезвычайное положение в связи с беспорядками, провоцируемыми "наркотеррористами".  Что касается возможностей требовать отмены чрезвычайного положения, то пункт 5 статьи 200 Конституции, порядок осуществления положений которого устанавливается в Конституционно-процессуальном кодексе, закрепляет за гражданами такое право, реализуемое в судебном порядке.  Однако конкретно такого случая пока не было.  Подавались жалобы по частным поводам - в связи с необоснованным задержанием, но никогда по поводу чрезвычайного положения.</w:t>
      </w:r>
    </w:p>
    <w:p w:rsidR="00000000" w:rsidRDefault="00000000"/>
    <w:p w:rsidR="00000000" w:rsidRDefault="00000000">
      <w:r>
        <w:t>15.</w:t>
      </w:r>
      <w:r>
        <w:tab/>
        <w:t>Что касается постановлений Межамериканского суда по правам человека, то г</w:t>
      </w:r>
      <w:r>
        <w:noBreakHyphen/>
        <w:t xml:space="preserve">н Тудела напоминает, что при авторитарном режиме президента Фухимори Перу не признавала судебной компетенции этого суда, но что новый режим снова признал обязательный характер решений этой судебной инстанции, причем возврат к нормальному положению вещей стал возможен благодаря мобилизации гражданского общества. </w:t>
      </w:r>
    </w:p>
    <w:p w:rsidR="00000000" w:rsidRDefault="00000000">
      <w:pPr>
        <w:tabs>
          <w:tab w:val="left" w:pos="0"/>
        </w:tabs>
      </w:pPr>
    </w:p>
    <w:p w:rsidR="00000000" w:rsidRDefault="00000000">
      <w:r>
        <w:t>16.</w:t>
      </w:r>
      <w:r>
        <w:tab/>
        <w:t>Затем г-н Тудела напоминает о деле Лори Беренсон, американской гражданки, которая сначала была осуждена военным трибуналом по чрезвычайному закону о борьбе с терроризмом.  Этот приговор был затем отменен, и дело обвиняемой было рассмотрено обычным судом, приговорившим ее к лишению свободы за соучастие в совершении терактов.  Межамериканская комиссия по правам человека оспорила юридическую действительность обоих процессов.  Межамериканский суд по правам человека объявил первый процесс незаконным, но подтвердил действительность второго.  Он указал  перуанскому государству на необходимость выплатить компенсацию г-же Беренсон за нарушение ее основных прав в ходе первого процесса.  В связи с компенсацией, назначенной Межамериканским судом по правам человека, г-н Тудела подчеркивает, что наследие режима Фухимори тяжким бременем лежит на бюджете нынешнего правительства.  Так, министерство юстиции вынуждено было изыскать значительные средства для продолжения выплаты компенсации, установленной Межамериканским судом по правам человека.</w:t>
      </w:r>
    </w:p>
    <w:p w:rsidR="00000000" w:rsidRDefault="00000000"/>
    <w:p w:rsidR="00000000" w:rsidRDefault="00000000">
      <w:r>
        <w:t>17.</w:t>
      </w:r>
      <w:r>
        <w:tab/>
      </w:r>
      <w:r>
        <w:rPr>
          <w:u w:val="single"/>
        </w:rPr>
        <w:t>Г-н РОДРИГЕС-КУАДРОС</w:t>
      </w:r>
      <w:r>
        <w:t>, обращаясь к национальному плану в области прав человека, указывает, что после возврата к демократии в 2001 году перуанское правительство проводит политику защиты прав человека для решения трудной задачи:  во</w:t>
      </w:r>
      <w:r>
        <w:noBreakHyphen/>
        <w:t>первых, гарантировать каждому свободное осуществление его прав, во</w:t>
      </w:r>
      <w:r>
        <w:noBreakHyphen/>
        <w:t>вторых, защитить жертвы нарушений, что включает компенсацию и восстановление в правах, и, в</w:t>
      </w:r>
      <w:r>
        <w:noBreakHyphen/>
        <w:t>третьих, способствовать пользованию всеми своими экономическими и социальными правами и основными свободами.  Эта защита осуществляется на трех уровнях.  На судебном уровне Конституция предоставляет в распоряжение граждан несколько возможностей обращения к уголовному, административному или конституционному правосудию.  На квазисудебном уровне институт Народного защитника имеет полномочия выступать с различными инициативами, в частности вызывать должностных лиц для дачи объяснений по поводу нарушений прав человека.  Наконец, внесудебная защита заключается в проведении политики содействия деятельности неправительственных организаций и гражданского общества, чтобы те могли контролировать действия администрации и защищать граждан.  В международном плане Перу также осуществляет защиту на этих трех уровнях.  На судебном уровне Перу признает компетенцию Межамериканского суда по правам человека и присоединилась к Римскому статуту Международного уголовного суда.  На квазисудебном уровне она заключила многочисленные международные соглашения с договорными органами Организации Объединенных Наций и Межамериканской комиссией по правам человека.  Наконец, на внесудебном уровне она проводит политику сотрудничества и прозрачности по отношению к правозащитной деятельности международных неправительственных организаций.  Для полномасштабного сотрудничества с системой Организации Объединенных Наций перуанское правительство ввело в действие национальный план защиты прав человека в соответствии с руководящими принципами Комиссии по правам человека и Управления Верховного комиссара по правам человека.  Политика правительства в сфере прав человека была разработана вместе с представителями гражданского общества, в первую очередь правозащитными организациями.  В основе Национального плана лежит принцип неделимости гражданских и политических прав и социальных и экономических прав.  В отношении пыток Конституция Перу устанавливает, что нормы внутреннего права должны толковаться в соответствии с нормами международно-правовых актов о правах человека и что если внутренний закон устанавливает бо</w:t>
      </w:r>
      <w:r>
        <w:rPr>
          <w:rFonts w:ascii="Tahoma" w:hAnsi="Tahoma" w:cs="Tahoma"/>
        </w:rPr>
        <w:t></w:t>
      </w:r>
      <w:r>
        <w:t>льшие ограничения, чем такой международно-правовой акт, то применяется последний.  При этом государство и гражданское общество в свою очередь намерены привести перуанское уголовное законодательство в соответствие с международными нормами.  Так, государство обязалось включить в уголовный кодекс страны новое определение пыток и преступлений против человечности, которые бы полностью соответствовали Римскому статуту Международного уголовного суда.  Перуанские власти считают, что работа по составлению нормативных документов и по защите прав человека требует долгого времени и что здесь всегда есть возможность сделать больше.  Они придают большое значение профилактической работе, но готовы взять на себя ответственность за любое нарушение, выплачивать компенсации жертвам нарушений и восстанавливать их права.  Наконец, в сфере международного права, относящегося к правам человека, основная проблема - не само нарушение, а его безнаказанность.  Перуанское государство намерено в этой связи преследовать по закону всех, кто покушается на права личности и применять к ним санкции, предусмотренные законом.  Его цель, определенная вместе с гражданским обществом, - укрепление правового государства.</w:t>
      </w:r>
    </w:p>
    <w:p w:rsidR="00000000" w:rsidRDefault="00000000"/>
    <w:p w:rsidR="00000000" w:rsidRDefault="00000000">
      <w:r>
        <w:t>18.</w:t>
      </w:r>
      <w:r>
        <w:tab/>
      </w:r>
      <w:r>
        <w:rPr>
          <w:u w:val="single"/>
        </w:rPr>
        <w:t>Г-н РУБИО</w:t>
      </w:r>
      <w:r>
        <w:t xml:space="preserve"> (Перу) говорит, что, по его сведениям, Перу - единственная страна в Латинской Америке, которая приняла закон об убежище, по которому она обязуется не высылать, выдворять или выдавать другому государству лиц, в отношении которых есть серьезные поводы опасаться, что те могут быть подвергнуты пытке.  </w:t>
      </w:r>
    </w:p>
    <w:p w:rsidR="00000000" w:rsidRDefault="00000000"/>
    <w:p w:rsidR="00000000" w:rsidRDefault="00000000">
      <w:r>
        <w:t>19.</w:t>
      </w:r>
      <w:r>
        <w:tab/>
      </w:r>
      <w:r>
        <w:rPr>
          <w:u w:val="single"/>
        </w:rPr>
        <w:t>Г-н БУРНЕО-ЛАБРИН</w:t>
      </w:r>
      <w:r>
        <w:t xml:space="preserve"> (Перу) сообщает, что в постановлении от 29 марта 2006 года, по делу о проверке конституционности, возбужденном в связи с запросом Генерального прокурора, Конституционный суд признал, что некоторые положения закона № 28665 об организации и юрисдикции военно-судебных органов противоречат Конституции, и утвердил следующие принципы:  военные трибуналы входят в сферу судебной, а не исполнительной власти;  члены военных трибуналов назначаются Национальным советом судей и не могут быть военнослужащими на действительной службе;  в компетенцию военных трибуналов входит только расследование преступлений, совершенных при прохождении военной службы военнослужащими и сотрудниками полиции;  гражданские лица не подсудны военной юстиции, а решения военных трибуналов могут быть обжалованы в Верховном суде Республики.</w:t>
      </w:r>
    </w:p>
    <w:p w:rsidR="00000000" w:rsidRDefault="00000000"/>
    <w:p w:rsidR="00000000" w:rsidRDefault="00000000">
      <w:r>
        <w:t>20.</w:t>
      </w:r>
      <w:r>
        <w:tab/>
      </w:r>
      <w:r>
        <w:rPr>
          <w:u w:val="single"/>
        </w:rPr>
        <w:t xml:space="preserve">Г-н РОДРИГЕС-КУАДРОС </w:t>
      </w:r>
      <w:r>
        <w:t xml:space="preserve">(Перу) вновь подчеркивает, что Перу приступила к проведению глубокой реформы военной юстиции в целях укрепления правового государства в стране.  Военным трибуналам ни в коей мере не подсудны нарушения прав человека и нарушения, совершенные гражданскими лицами.  </w:t>
      </w:r>
    </w:p>
    <w:p w:rsidR="00000000" w:rsidRDefault="00000000"/>
    <w:p w:rsidR="00000000" w:rsidRDefault="00000000">
      <w:r>
        <w:t>21.</w:t>
      </w:r>
      <w:r>
        <w:tab/>
      </w:r>
      <w:r>
        <w:rPr>
          <w:u w:val="single"/>
        </w:rPr>
        <w:t xml:space="preserve">Г-н МАРИНЬО МЕНЕНДЕС </w:t>
      </w:r>
      <w:r>
        <w:t>(Докладчик по Перу) задает вопрос, находятся ли гражданские пенитенциарные учреждения по</w:t>
      </w:r>
      <w:r>
        <w:noBreakHyphen/>
        <w:t>прежнему под контролем армии или же ситуация изменилась вследствие реформы военной юстиции.  Он хотел бы получить уточнения по поводу средств, которыми располагают заключенные для получения юридической помощи и осуществления своего права на защиту.  Он также спрашивает, проводят ли власти медицинские освидетельствования с целью убедиться, что заключенные не подвергались жестокому обращению.  Помимо этого, он хотел бы подробнее узнать о результатах расследований, проводимых Комиссией по установлению истины и примирению по делам о насильственном исчезновении людей.</w:t>
      </w:r>
    </w:p>
    <w:p w:rsidR="00000000" w:rsidRDefault="00000000">
      <w:pPr>
        <w:tabs>
          <w:tab w:val="left" w:pos="0"/>
        </w:tabs>
      </w:pPr>
    </w:p>
    <w:p w:rsidR="00000000" w:rsidRDefault="00000000">
      <w:r>
        <w:t>22.</w:t>
      </w:r>
      <w:r>
        <w:tab/>
        <w:t>Докладчик сообщает информацию, согласно которой Международный комитет Красного Креста (МККК) не будет больше иметь возможности доступа к местам заключения, и выражает пожелание получить от делегации уточнения по этому вопросу.  Наконец, он спрашивает, какие конкретные меры приняты государством-участником для прекращения практики насильственной стерилизации, жертвами которой в основном являются женщины - представительницы коренного населения.</w:t>
      </w:r>
    </w:p>
    <w:p w:rsidR="00000000" w:rsidRDefault="00000000"/>
    <w:p w:rsidR="00000000" w:rsidRDefault="00000000">
      <w:r>
        <w:t>23.</w:t>
      </w:r>
      <w:r>
        <w:tab/>
      </w:r>
      <w:r>
        <w:rPr>
          <w:u w:val="single"/>
        </w:rPr>
        <w:t>Г-н ГРОССМАН</w:t>
      </w:r>
      <w:r>
        <w:t xml:space="preserve"> (Содокладчик по Перу) задает вопрос, есть ли точные критерии для  определения того, что дело должно быть передано в систему, специализирующуюся на рассмотрении дел, связанных с преступлениями и нарушениями в области прав человека.  Кроме того, он хотел бы знать, каково общее число заключенных под стражу и защитников по назначению.  Отмечая с удовлетворением решение Комиссии по установлению истины и примирению о том, что содержание без связи с внешним миром представляет собой бесчеловечное обращение, Содокладчик хотел бы знать, есть ли все еще случаи такого содержания.  Хотя ситуация в том, что касается правового государства в Перу, заметно улучшилась, эксперт спрашивает, продолжают ли применяться меры защиты судей и свидетелей, дающих, в частности, показания в Комиссии по установлению истины и примирению.  Наконец, Содокладчик просит делегацию дать уточнения по вопросу терапевтического прерывания беременности, рассмотренного Комитетом по правам человека в 2005 году (</w:t>
      </w:r>
      <w:r>
        <w:rPr>
          <w:lang w:val="en-US"/>
        </w:rPr>
        <w:t>CCPR</w:t>
      </w:r>
      <w:r>
        <w:t>/</w:t>
      </w:r>
      <w:r>
        <w:rPr>
          <w:lang w:val="en-US"/>
        </w:rPr>
        <w:t>C</w:t>
      </w:r>
      <w:r>
        <w:t>/85/</w:t>
      </w:r>
      <w:r>
        <w:rPr>
          <w:lang w:val="en-US"/>
        </w:rPr>
        <w:t>D</w:t>
      </w:r>
      <w:r>
        <w:t>/1153/2003).</w:t>
      </w:r>
    </w:p>
    <w:p w:rsidR="00000000" w:rsidRDefault="00000000"/>
    <w:p w:rsidR="00000000" w:rsidRDefault="00000000">
      <w:r>
        <w:t>24.</w:t>
      </w:r>
      <w:r>
        <w:tab/>
      </w:r>
      <w:r>
        <w:rPr>
          <w:u w:val="single"/>
        </w:rPr>
        <w:t>Г-жа БЕЛЬМИР</w:t>
      </w:r>
      <w:r>
        <w:t xml:space="preserve"> хотела бы получить дополнительную информацию о функциях и статусе Национального совета судей, так как сведения, которыми располагает Комитет, похоже, противоречивы.  Так, трудно понять, допускается ли обжалование решений Совета и осуществляется ли какой-либо контроль над этим органом со стороны государства.</w:t>
      </w:r>
    </w:p>
    <w:p w:rsidR="00000000" w:rsidRDefault="00000000"/>
    <w:p w:rsidR="00000000" w:rsidRDefault="00000000">
      <w:r>
        <w:t>25.</w:t>
      </w:r>
      <w:r>
        <w:tab/>
      </w:r>
      <w:r>
        <w:rPr>
          <w:u w:val="single"/>
        </w:rPr>
        <w:t>Г-н ТУДЕЛА</w:t>
      </w:r>
      <w:r>
        <w:t xml:space="preserve"> (Перу) подтверждает, что, действительно, в Перу есть одно пенитенциарное учреждение, находящееся в ведении военных властей.  Речь идет о </w:t>
      </w:r>
      <w:r>
        <w:rPr>
          <w:lang w:val="en-US"/>
        </w:rPr>
        <w:t>CE</w:t>
      </w:r>
      <w:r>
        <w:t>Р</w:t>
      </w:r>
      <w:r>
        <w:rPr>
          <w:lang w:val="en-US"/>
        </w:rPr>
        <w:t>EC</w:t>
      </w:r>
      <w:r>
        <w:t xml:space="preserve"> (Центре содержания усиленного режима на морской базе в Кальяо), куда помещаются особо опасные преступники, в том числе лидеры организации "Сендеро луминосо" и Революционного движения Тупак Амару.  Существование такого учреждения, которое - нужно уточнить - является исключением для страны, оправдывается необходимостью защиты общественного порядка, а также тем, что особая природа преступлений, вменяемых содержащимся там лицам, требует специальных мер безопасности, которые обычные пенитенциарные учреждения не могут обеспечить.  Тем не менее Национальный пенитенциарный институт готов к постепенному переводу заключенных из </w:t>
      </w:r>
      <w:r>
        <w:rPr>
          <w:lang w:val="en-US"/>
        </w:rPr>
        <w:t>CE</w:t>
      </w:r>
      <w:r>
        <w:t>Р</w:t>
      </w:r>
      <w:r>
        <w:rPr>
          <w:lang w:val="en-US"/>
        </w:rPr>
        <w:t>EC</w:t>
      </w:r>
      <w:r>
        <w:t xml:space="preserve"> в учреждения, находящиеся в его ведении, по мере вынесения окончательных приговоров по их делам.</w:t>
      </w:r>
    </w:p>
    <w:p w:rsidR="00000000" w:rsidRDefault="00000000"/>
    <w:p w:rsidR="00000000" w:rsidRDefault="00000000">
      <w:r>
        <w:t>26.</w:t>
      </w:r>
      <w:r>
        <w:tab/>
        <w:t>Что касается возможностей подачи жалобы заключенными в случае отсутствия доступа к юридической помощи, то жалобы могут направляться администрации пенитенциарного учреждения, а также в органы прокуратуры, которые регулярно инспектируют пенитенциарные учреждения для получения возможных жалоб и проведения проверки в случае нарушения права на защиту.  Другие инстанции, такие, как Государственно-правовое управление или Народный защитник, могут содействовать защите права на доступ к правосудию.  Однако необходимо признать, что число жалоб, поступивших в судебные инстанции по этому поводу, по-прежнему очень невелико по сравнению с тем, каким оно должно было бы быть.  Отчасти это объясняется тем, что многие из этих жалоб сначала рассматривались военно-судебными инстанциями без соблюдения необходимых для обычной процедуры судебных гарантий.  Поскольку принятые при этом решения были признаны недействительными Межамериканским судом по правам человека и Конституционным судом, жалобы были переданы в общегражданские суды, где их рассмотрение тормозится, к сожалению, в силу нынешнего состояния уголовного процесса.  Можно, однако, надеяться, что вступление в силу 1 июля этого года нового уголовно-процессуального кодекса послужит определенному прогрессу в этом плане.</w:t>
      </w:r>
    </w:p>
    <w:p w:rsidR="00000000" w:rsidRDefault="00000000"/>
    <w:p w:rsidR="00000000" w:rsidRDefault="00000000">
      <w:r>
        <w:t>27.</w:t>
      </w:r>
      <w:r>
        <w:tab/>
        <w:t>Число заключенных оценивается в 35 000, считая вместе осужденных и помещенных под стражу;  имеется около 85 пенитенциарных учреждений.  Что касается содержания без права переписи и свиданий, то г-н Тудела категорически утверждает, что в настоящее время в данных условиях не содержится ни один заключенный.  Защитников по назначению насчитывается 1 537 по всей стране, что дает соотношение один защитник на 65 заключенных.</w:t>
      </w:r>
    </w:p>
    <w:p w:rsidR="00000000" w:rsidRDefault="00000000"/>
    <w:p w:rsidR="00000000" w:rsidRDefault="00000000">
      <w:r>
        <w:t>28.</w:t>
      </w:r>
      <w:r>
        <w:tab/>
        <w:t>Законом предусмотрено наличие механизмов защиты судей и прокуроров, а также лиц, содействующих судебной процедуре (colaboradores eficaces).  Хотя на сегодняшний день не сообщалось ни об одном случае серьезного покушения на жизнь этих лиц, уровень защиты пока недостаточен.  Межамериканская комиссия по правам человека выразила свою озабоченность на этот счет.  Правительство признает существование проблемы и старается ее разрешить.</w:t>
      </w:r>
    </w:p>
    <w:p w:rsidR="00000000" w:rsidRDefault="00000000"/>
    <w:p w:rsidR="00000000" w:rsidRDefault="00000000">
      <w:r>
        <w:t>29.</w:t>
      </w:r>
      <w:r>
        <w:tab/>
        <w:t>В ответ на озабоченность, высказанную г-жой Бельмир, было бы полезно пояснить, что из себя представляет Национальный совет судей.  Речь не идет о каком-то судебном органе.  Совет состоит из одного представителя Верховного суда, одного представителя прокуратуры, представителей коллегии адвокатов Лимы, а также представителей юридических факультетов ряда частных университетов и Национального университета Сан-Маркос.  Конституцией предусмотрена также возможность, даже если она еще практически не использовалась, включения в Совет членов других профессиональных ассоциаций, помимо коллегии адвокатов, а также представителей гражданского общества.  В функции Совета входит проведение конкурсов на должности судей и прокуроров на всех уровнях судебной власти и проведение каждые семь лет служебной и профессиональной аттестации судебных работников, проводимой с участием заинтересованных сторон, в результате которой Совет продлевает или не продлевает мандат судьи на основании должным образом мотивированного решения, которое принимается с соблюдением установленных гарантий.  Решения, принятые Национальным советом судей, могут быть пересмотрены, но лишь в случае серьезных нарушений прав на защиту.  При правительстве Фухимори порядка 150 судей были отстранены от должности по итогам аттестации, потому что они не подчинились указаниям тогдашних властей.  Правительство президента Толедо старается поправить нанесенный в результате этого ущерб, в частности в финансовом плане.  Пятидесяти двум судьям была выплачена компенсация.</w:t>
      </w:r>
    </w:p>
    <w:p w:rsidR="00000000" w:rsidRDefault="00000000"/>
    <w:p w:rsidR="00000000" w:rsidRDefault="00000000">
      <w:r>
        <w:t>30.</w:t>
      </w:r>
      <w:r>
        <w:tab/>
      </w:r>
      <w:r>
        <w:rPr>
          <w:u w:val="single"/>
        </w:rPr>
        <w:t>Г-н РОДРИГЕС-КУАДРОС</w:t>
      </w:r>
      <w:r>
        <w:t xml:space="preserve"> (Перу), возвращаясь к приостановлению посещений Международного комитета Красного Креста в Перу, поясняет, что МККК приостановил свои посещения по своей собственной инициативе, считая, что Перу нарушило соглашение о размещении у себя представительства Комитета, который был подписан между ними, опубликовав доклад последнего.  Учитывая, что в упомянутом соглашении не было никаких положений, специально разрешающих или запрещающих такую публикацию, и что в основе недоразумения между перуанским государством и МККК лежит это юридическое упущение, стороны провели переговоры и заключили новое соглашение о сотрудничестве, которое четко определяет их соответствующие права и обязанности и регламентирует всю деятельность МККК в Перу.</w:t>
      </w:r>
    </w:p>
    <w:p w:rsidR="00000000" w:rsidRDefault="00000000"/>
    <w:p w:rsidR="00000000" w:rsidRDefault="00000000">
      <w:r>
        <w:t>31.</w:t>
      </w:r>
      <w:r>
        <w:tab/>
      </w:r>
      <w:r>
        <w:rPr>
          <w:u w:val="single"/>
        </w:rPr>
        <w:t>Г-н РУБИО</w:t>
      </w:r>
      <w:r>
        <w:t xml:space="preserve"> (Перу), отвечая на замечания по поводу насильственной стерилизации, сообщает, что перуанское государство выполнило взятое на себя обязательство осуществлять рекомендации Народного защитника по этому вопросу, в частности в связи с делом </w:t>
      </w:r>
      <w:r>
        <w:rPr>
          <w:i/>
          <w:iCs/>
        </w:rPr>
        <w:t>Мария Мамерита Местанса Чавес против Перу</w:t>
      </w:r>
      <w:r>
        <w:t xml:space="preserve">, которым занималась Межамериканская комиссия по правам человека. </w:t>
      </w:r>
    </w:p>
    <w:p w:rsidR="00000000" w:rsidRDefault="00000000"/>
    <w:p w:rsidR="00000000" w:rsidRDefault="00000000">
      <w:r>
        <w:t>32.</w:t>
      </w:r>
      <w:r>
        <w:tab/>
      </w:r>
      <w:r>
        <w:rPr>
          <w:u w:val="single"/>
        </w:rPr>
        <w:t>Г-н БУРНЕО-ЛАБРИН</w:t>
      </w:r>
      <w:r>
        <w:t xml:space="preserve"> (Перу) заверяет Комитет, что обязательность медицинского освидетельствования заключенных, как и всех лиц, подвергшихся допросу, с целью убедиться в отсутствии применения пыток или плохого обращения соблюдается под прямым наблюдением прокуратуры.  Что касается наказаний, применяемых в случае насильственного исчезновения, то нужно напомнить, что в уголовном законодательстве Перу, как и многих стран Латинской Америки, было предусмотрено лишь преступление похищения людей, и только в 90-х годах насильственное исчезновение также было введено в категорию уголовных правонарушений.  Однако Конституционный суд принял решение, что в той мере, в какой насильственное исчезновение лиц имеет свою продолжительность во времени, необходимо судить за это преступление, исходя не из классификации уголовных правонарушений на момент его совершения, а из классификации, действующей в настоящее время.  Что касается механизмов защиты свидетелей, то в настоящее время правительство Перу, совместно с организациями по защите прав человека, работает над проектом закона, имеющего целью распространить существующие защитные механизмы на правозащитников, а также на лиц, которые не участвуют напрямую в судебном процессе.  Что касается прав, связанных с деторождением, то Уголовный кодекс Перу предусматривает наказание за искусственное прерывание беременности, за исключением медицинских показаний.  Возможность распространить это исключение на добровольное прерывание беременности в случаях анэнцефального развития плода в настоящее время является темой активных дискуссий, пищу для которых дало, в частности, дело </w:t>
      </w:r>
      <w:r>
        <w:rPr>
          <w:i/>
          <w:iCs/>
        </w:rPr>
        <w:t>Карен Ноэлия Льянтой Уаман против Перу</w:t>
      </w:r>
      <w:r>
        <w:t xml:space="preserve"> и решение, вынесенное по нему Комитетом по правам человека (</w:t>
      </w:r>
      <w:r>
        <w:rPr>
          <w:lang w:val="en-US"/>
        </w:rPr>
        <w:t>CCPR</w:t>
      </w:r>
      <w:r>
        <w:t>/</w:t>
      </w:r>
      <w:r>
        <w:rPr>
          <w:lang w:val="en-US"/>
        </w:rPr>
        <w:t>C</w:t>
      </w:r>
      <w:r>
        <w:t>/85/</w:t>
      </w:r>
      <w:r>
        <w:rPr>
          <w:lang w:val="en-US"/>
        </w:rPr>
        <w:t>D</w:t>
      </w:r>
      <w:r>
        <w:t>/1153/2003).</w:t>
      </w:r>
    </w:p>
    <w:p w:rsidR="00000000" w:rsidRDefault="00000000"/>
    <w:p w:rsidR="00000000" w:rsidRDefault="00000000">
      <w:r>
        <w:t>33.</w:t>
      </w:r>
      <w:r>
        <w:tab/>
      </w:r>
      <w:r>
        <w:rPr>
          <w:u w:val="single"/>
        </w:rPr>
        <w:t>ПРЕДСЕДАТЕЛЬ</w:t>
      </w:r>
      <w:r>
        <w:t xml:space="preserve"> тепло благодарит делегацию Перу за ее ответы и объявляет рассмотрение четвертого периодического отчета Перу закрытым.</w:t>
      </w:r>
    </w:p>
    <w:p w:rsidR="00000000" w:rsidRDefault="00000000"/>
    <w:p w:rsidR="00000000" w:rsidRDefault="00000000">
      <w:pPr>
        <w:jc w:val="center"/>
        <w:rPr>
          <w:i/>
          <w:iCs/>
        </w:rPr>
      </w:pPr>
      <w:r>
        <w:rPr>
          <w:i/>
          <w:iCs/>
        </w:rPr>
        <w:t>Заседание закрывается в 17 час. 05 мин.</w:t>
      </w:r>
    </w:p>
    <w:p w:rsidR="00000000" w:rsidRDefault="00000000"/>
    <w:p w:rsidR="00000000" w:rsidRDefault="00000000">
      <w:pPr>
        <w:tabs>
          <w:tab w:val="left" w:pos="0"/>
        </w:tabs>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t>С</w:t>
    </w:r>
    <w:r>
      <w:rPr>
        <w:lang w:val="en-US"/>
      </w:rPr>
      <w:t>AT/C/SR.700</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 w:val="left" w:pos="6804"/>
      </w:tabs>
      <w:rPr>
        <w:lang w:val="en-US"/>
      </w:rPr>
    </w:pPr>
    <w:r>
      <w:rPr>
        <w:lang w:val="en-US"/>
      </w:rPr>
      <w:tab/>
    </w:r>
    <w:r>
      <w:rPr>
        <w:lang w:val="en-US"/>
      </w:rPr>
      <w:tab/>
    </w:r>
    <w:r>
      <w:rPr>
        <w:lang w:val="en-US"/>
      </w:rPr>
      <w:tab/>
    </w:r>
    <w:r>
      <w:t>С</w:t>
    </w:r>
    <w:r>
      <w:rPr>
        <w:lang w:val="en-US"/>
      </w:rPr>
      <w:t>AT/C/SR.700</w:t>
    </w:r>
  </w:p>
  <w:p w:rsidR="00000000" w:rsidRDefault="00000000">
    <w:pPr>
      <w:pStyle w:val="Header"/>
      <w:tabs>
        <w:tab w:val="left" w:pos="6521"/>
        <w:tab w:val="left" w:pos="6804"/>
      </w:tabs>
      <w:rPr>
        <w:rStyle w:val="PageNumber"/>
        <w:lang w:val="en-US"/>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4218</Words>
  <Characters>24046</Characters>
  <Application>Microsoft Office Word</Application>
  <DocSecurity>4</DocSecurity>
  <Lines>200</Lines>
  <Paragraphs>48</Paragraphs>
  <ScaleCrop>false</ScaleCrop>
  <HeadingPairs>
    <vt:vector size="2" baseType="variant">
      <vt:variant>
        <vt:lpstr>Название</vt:lpstr>
      </vt:variant>
      <vt:variant>
        <vt:i4>1</vt:i4>
      </vt:variant>
    </vt:vector>
  </HeadingPairs>
  <TitlesOfParts>
    <vt:vector size="1" baseType="lpstr">
      <vt:lpstr>0641828.doc</vt:lpstr>
    </vt:vector>
  </TitlesOfParts>
  <Company> </Company>
  <LinksUpToDate>false</LinksUpToDate>
  <CharactersWithSpaces>29530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0641828.doc</dc:title>
  <dc:subject/>
  <dc:creator> Galina Ossipova</dc:creator>
  <cp:keywords/>
  <dc:description/>
  <cp:lastModifiedBy>АМир</cp:lastModifiedBy>
  <cp:revision>3</cp:revision>
  <cp:lastPrinted>2006-10-30T12:55:00Z</cp:lastPrinted>
  <dcterms:created xsi:type="dcterms:W3CDTF">2006-10-30T12:55:00Z</dcterms:created>
  <dcterms:modified xsi:type="dcterms:W3CDTF">2006-10-30T12:56:00Z</dcterms:modified>
</cp:coreProperties>
</file>