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0CC18903" w14:textId="77777777" w:rsidTr="00912700">
        <w:trPr>
          <w:trHeight w:hRule="exact" w:val="851"/>
        </w:trPr>
        <w:tc>
          <w:tcPr>
            <w:tcW w:w="1274" w:type="dxa"/>
            <w:tcBorders>
              <w:bottom w:val="single" w:sz="4" w:space="0" w:color="auto"/>
            </w:tcBorders>
          </w:tcPr>
          <w:p w14:paraId="4D68D890" w14:textId="77777777" w:rsidR="006B3E27" w:rsidRPr="005445EF" w:rsidRDefault="006B3E27" w:rsidP="00460784">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4A48E46E"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69701AD0" w14:textId="3F9BEBF0" w:rsidR="006B3E27" w:rsidRPr="0085264F" w:rsidRDefault="0085264F" w:rsidP="0085264F">
            <w:pPr>
              <w:bidi w:val="0"/>
              <w:jc w:val="left"/>
            </w:pPr>
            <w:r w:rsidRPr="00652008">
              <w:rPr>
                <w:sz w:val="40"/>
              </w:rPr>
              <w:t>CERD</w:t>
            </w:r>
            <w:r w:rsidRPr="00652008">
              <w:t>/C/BHR/CO/</w:t>
            </w:r>
            <w:r w:rsidRPr="008D1BEF">
              <w:t>8</w:t>
            </w:r>
            <w:r w:rsidRPr="00652008">
              <w:t>-</w:t>
            </w:r>
            <w:r w:rsidRPr="008D1BEF">
              <w:t>14</w:t>
            </w:r>
          </w:p>
        </w:tc>
      </w:tr>
      <w:tr w:rsidR="006B3E27" w:rsidRPr="005445EF" w14:paraId="3F56EE81" w14:textId="77777777" w:rsidTr="00912700">
        <w:trPr>
          <w:trHeight w:hRule="exact" w:val="2835"/>
        </w:trPr>
        <w:tc>
          <w:tcPr>
            <w:tcW w:w="1274" w:type="dxa"/>
            <w:tcBorders>
              <w:top w:val="single" w:sz="4" w:space="0" w:color="auto"/>
              <w:bottom w:val="single" w:sz="12" w:space="0" w:color="auto"/>
            </w:tcBorders>
          </w:tcPr>
          <w:p w14:paraId="77B1FDB2" w14:textId="77777777" w:rsidR="006B3E27" w:rsidRPr="005445EF" w:rsidRDefault="0059622A" w:rsidP="00912700">
            <w:pPr>
              <w:jc w:val="center"/>
              <w:rPr>
                <w:rtl/>
              </w:rPr>
            </w:pPr>
            <w:r w:rsidRPr="005445EF">
              <w:rPr>
                <w:noProof/>
              </w:rPr>
              <w:drawing>
                <wp:inline distT="0" distB="0" distL="0" distR="0" wp14:anchorId="37BD0747" wp14:editId="69CCF97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25E8C0E" w14:textId="77777777" w:rsidR="006B3E27" w:rsidRPr="008D1BEF" w:rsidRDefault="001E1CAD" w:rsidP="00F83E84">
            <w:pPr>
              <w:spacing w:before="120" w:after="40" w:line="640" w:lineRule="exact"/>
              <w:ind w:left="57"/>
              <w:jc w:val="left"/>
              <w:rPr>
                <w:b/>
                <w:bCs/>
                <w:sz w:val="46"/>
                <w:szCs w:val="46"/>
                <w:rtl/>
              </w:rPr>
            </w:pPr>
            <w:r w:rsidRPr="008D1BEF">
              <w:rPr>
                <w:rFonts w:hint="cs"/>
                <w:b/>
                <w:bCs/>
                <w:sz w:val="46"/>
                <w:szCs w:val="46"/>
                <w:rtl/>
              </w:rPr>
              <w:t>ا</w:t>
            </w:r>
            <w:r w:rsidR="00523BAE" w:rsidRPr="008D1BEF">
              <w:rPr>
                <w:rFonts w:hint="cs"/>
                <w:b/>
                <w:bCs/>
                <w:sz w:val="46"/>
                <w:szCs w:val="46"/>
                <w:rtl/>
              </w:rPr>
              <w:t>لا</w:t>
            </w:r>
            <w:r w:rsidR="004A14A6" w:rsidRPr="008D1BEF">
              <w:rPr>
                <w:rFonts w:hint="cs"/>
                <w:b/>
                <w:bCs/>
                <w:sz w:val="46"/>
                <w:szCs w:val="46"/>
                <w:rtl/>
              </w:rPr>
              <w:t>تفاقي</w:t>
            </w:r>
            <w:r w:rsidR="00523BAE" w:rsidRPr="008D1BEF">
              <w:rPr>
                <w:rFonts w:hint="cs"/>
                <w:b/>
                <w:bCs/>
                <w:sz w:val="46"/>
                <w:szCs w:val="46"/>
                <w:rtl/>
              </w:rPr>
              <w:t>ـ</w:t>
            </w:r>
            <w:r w:rsidR="004A14A6" w:rsidRPr="008D1BEF">
              <w:rPr>
                <w:rFonts w:hint="cs"/>
                <w:b/>
                <w:bCs/>
                <w:sz w:val="46"/>
                <w:szCs w:val="46"/>
                <w:rtl/>
              </w:rPr>
              <w:t xml:space="preserve">ة </w:t>
            </w:r>
            <w:r w:rsidR="00523BAE" w:rsidRPr="008D1BEF">
              <w:rPr>
                <w:rFonts w:hint="cs"/>
                <w:b/>
                <w:bCs/>
                <w:sz w:val="46"/>
                <w:szCs w:val="46"/>
                <w:rtl/>
              </w:rPr>
              <w:t>الدوليـة ل</w:t>
            </w:r>
            <w:r w:rsidR="004A14A6" w:rsidRPr="008D1BEF">
              <w:rPr>
                <w:rFonts w:hint="cs"/>
                <w:b/>
                <w:bCs/>
                <w:sz w:val="46"/>
                <w:szCs w:val="46"/>
                <w:rtl/>
              </w:rPr>
              <w:t>لقض</w:t>
            </w:r>
            <w:r w:rsidR="00523BAE" w:rsidRPr="008D1BEF">
              <w:rPr>
                <w:rFonts w:hint="cs"/>
                <w:b/>
                <w:bCs/>
                <w:sz w:val="46"/>
                <w:szCs w:val="46"/>
                <w:rtl/>
              </w:rPr>
              <w:t>ــ</w:t>
            </w:r>
            <w:r w:rsidR="004A14A6" w:rsidRPr="008D1BEF">
              <w:rPr>
                <w:rFonts w:hint="cs"/>
                <w:b/>
                <w:bCs/>
                <w:sz w:val="46"/>
                <w:szCs w:val="46"/>
                <w:rtl/>
              </w:rPr>
              <w:t>اء عل</w:t>
            </w:r>
            <w:r w:rsidR="00523BAE" w:rsidRPr="008D1BEF">
              <w:rPr>
                <w:rFonts w:hint="cs"/>
                <w:b/>
                <w:bCs/>
                <w:sz w:val="46"/>
                <w:szCs w:val="46"/>
                <w:rtl/>
              </w:rPr>
              <w:t>ـ</w:t>
            </w:r>
            <w:r w:rsidR="004A14A6" w:rsidRPr="008D1BEF">
              <w:rPr>
                <w:rFonts w:hint="cs"/>
                <w:b/>
                <w:bCs/>
                <w:sz w:val="46"/>
                <w:szCs w:val="46"/>
                <w:rtl/>
              </w:rPr>
              <w:t xml:space="preserve">ى جميع أشكال التمييز </w:t>
            </w:r>
            <w:r w:rsidR="00523BAE" w:rsidRPr="008D1BEF">
              <w:rPr>
                <w:rFonts w:hint="cs"/>
                <w:b/>
                <w:bCs/>
                <w:sz w:val="46"/>
                <w:szCs w:val="46"/>
                <w:rtl/>
              </w:rPr>
              <w:t>العنصري</w:t>
            </w:r>
          </w:p>
        </w:tc>
        <w:tc>
          <w:tcPr>
            <w:tcW w:w="3686" w:type="dxa"/>
            <w:tcBorders>
              <w:top w:val="single" w:sz="4" w:space="0" w:color="auto"/>
              <w:bottom w:val="single" w:sz="12" w:space="0" w:color="auto"/>
            </w:tcBorders>
          </w:tcPr>
          <w:p w14:paraId="05578C86" w14:textId="1AB6AA99" w:rsidR="006B3E27" w:rsidRDefault="0085264F" w:rsidP="002E002F">
            <w:pPr>
              <w:bidi w:val="0"/>
              <w:spacing w:before="240"/>
              <w:jc w:val="left"/>
            </w:pPr>
            <w:r>
              <w:t>Dist</w:t>
            </w:r>
            <w:r w:rsidR="00652008" w:rsidRPr="00652008">
              <w:t>r.:</w:t>
            </w:r>
            <w:r>
              <w:t xml:space="preserve"> General</w:t>
            </w:r>
          </w:p>
          <w:p w14:paraId="7F66CF84" w14:textId="75D2CA94" w:rsidR="0085264F" w:rsidRDefault="001B68FB" w:rsidP="0085264F">
            <w:pPr>
              <w:bidi w:val="0"/>
              <w:spacing w:line="240" w:lineRule="exact"/>
              <w:jc w:val="left"/>
            </w:pPr>
            <w:r w:rsidRPr="008D1BEF">
              <w:t xml:space="preserve">29 December </w:t>
            </w:r>
            <w:r w:rsidR="0085264F" w:rsidRPr="008D1BEF">
              <w:t>2022</w:t>
            </w:r>
          </w:p>
          <w:p w14:paraId="521F7646" w14:textId="77777777" w:rsidR="0085264F" w:rsidRDefault="0085264F" w:rsidP="0085264F">
            <w:pPr>
              <w:bidi w:val="0"/>
              <w:spacing w:line="240" w:lineRule="exact"/>
              <w:jc w:val="left"/>
            </w:pPr>
            <w:r>
              <w:t>Arabic</w:t>
            </w:r>
          </w:p>
          <w:p w14:paraId="002FA844" w14:textId="194097FC" w:rsidR="0085264F" w:rsidRPr="0085264F" w:rsidRDefault="0085264F" w:rsidP="0085264F">
            <w:pPr>
              <w:bidi w:val="0"/>
              <w:spacing w:line="240" w:lineRule="exact"/>
              <w:jc w:val="left"/>
            </w:pPr>
            <w:r>
              <w:t>Origina</w:t>
            </w:r>
            <w:r w:rsidR="00652008" w:rsidRPr="00652008">
              <w:t xml:space="preserve">l: </w:t>
            </w:r>
            <w:r>
              <w:t>English</w:t>
            </w:r>
          </w:p>
        </w:tc>
      </w:tr>
    </w:tbl>
    <w:p w14:paraId="23D80685" w14:textId="74CF0DB4" w:rsidR="00F16289" w:rsidRPr="008D1BEF" w:rsidRDefault="00F16289" w:rsidP="00F16289">
      <w:pPr>
        <w:spacing w:before="120" w:line="360" w:lineRule="exact"/>
        <w:textDirection w:val="tbRlV"/>
        <w:rPr>
          <w:rFonts w:ascii="Simplified Arabic" w:hAnsi="Simplified Arabic"/>
          <w:b/>
          <w:sz w:val="26"/>
          <w:szCs w:val="26"/>
          <w:lang w:val="ar-SA" w:eastAsia="zh-TW" w:bidi="en-GB"/>
        </w:rPr>
      </w:pPr>
      <w:r w:rsidRPr="008D1BEF">
        <w:rPr>
          <w:rFonts w:ascii="Simplified Arabic" w:hAnsi="Simplified Arabic"/>
          <w:b/>
          <w:bCs/>
          <w:sz w:val="26"/>
          <w:szCs w:val="26"/>
          <w:rtl/>
        </w:rPr>
        <w:t>لجنة القضاء على التمييز العنصري</w:t>
      </w:r>
    </w:p>
    <w:p w14:paraId="317EDDF4" w14:textId="17E7131E" w:rsidR="00F16289" w:rsidRPr="008D1BEF" w:rsidRDefault="00F16289" w:rsidP="00F16289">
      <w:pPr>
        <w:pStyle w:val="HChGA"/>
        <w:rPr>
          <w:sz w:val="34"/>
          <w:szCs w:val="34"/>
          <w:lang w:val="en-US" w:eastAsia="zh-TW" w:bidi="en-GB"/>
        </w:rPr>
      </w:pPr>
      <w:r w:rsidRPr="008D1BEF">
        <w:rPr>
          <w:rtl/>
        </w:rPr>
        <w:tab/>
      </w:r>
      <w:r w:rsidRPr="008D1BEF">
        <w:rPr>
          <w:rtl/>
        </w:rPr>
        <w:tab/>
        <w:t>الملاحظات الختامية بشأن التقرير الجامع للتقارير الدورية من الثامن إلى الرابع عشر للبحرين</w:t>
      </w:r>
      <w:r w:rsidRPr="008D1BEF">
        <w:rPr>
          <w:rStyle w:val="FootnoteReference"/>
          <w:sz w:val="26"/>
          <w:szCs w:val="26"/>
          <w:vertAlign w:val="baseline"/>
          <w:rtl/>
          <w:lang w:val="en-US" w:eastAsia="zh-TW"/>
        </w:rPr>
        <w:footnoteReference w:customMarkFollows="1" w:id="1"/>
        <w:t>*</w:t>
      </w:r>
    </w:p>
    <w:p w14:paraId="350ED5CD" w14:textId="3D15F4C5" w:rsidR="00652008" w:rsidRPr="00652008" w:rsidRDefault="00F16289" w:rsidP="00F16289">
      <w:pPr>
        <w:pStyle w:val="SingleTxtGA"/>
        <w:rPr>
          <w:rFonts w:eastAsiaTheme="minorEastAsia"/>
          <w:lang w:val="ar-SA" w:eastAsia="zh-TW" w:bidi="en-GB"/>
        </w:rPr>
      </w:pPr>
      <w:bookmarkStart w:id="0" w:name="_Hlk119942831"/>
      <w:r w:rsidRPr="008D1BEF">
        <w:rPr>
          <w:rtl/>
        </w:rPr>
        <w:t>1</w:t>
      </w:r>
      <w:r w:rsidRPr="00F16289">
        <w:rPr>
          <w:rFonts w:eastAsiaTheme="minorEastAsia"/>
          <w:rtl/>
        </w:rPr>
        <w:t>-</w:t>
      </w:r>
      <w:r w:rsidRPr="00F16289">
        <w:rPr>
          <w:rFonts w:eastAsiaTheme="minorEastAsia"/>
          <w:rtl/>
        </w:rPr>
        <w:tab/>
        <w:t>نظرت اللجنة في التقرير الجامع للتقارير الدورية من الثامن إلى الرابع عشر للبحرين</w:t>
      </w:r>
      <w:r w:rsidR="00652008" w:rsidRPr="008D1BEF">
        <w:rPr>
          <w:rStyle w:val="FootnoteReference"/>
          <w:rFonts w:eastAsiaTheme="minorEastAsia"/>
          <w:sz w:val="22"/>
          <w:rtl/>
        </w:rPr>
        <w:t>(</w:t>
      </w:r>
      <w:r w:rsidR="00652008" w:rsidRPr="008D1BEF">
        <w:rPr>
          <w:rStyle w:val="FootnoteReference"/>
          <w:rFonts w:eastAsiaTheme="minorEastAsia"/>
          <w:sz w:val="22"/>
          <w:lang w:val="en-US"/>
        </w:rPr>
        <w:footnoteReference w:id="2"/>
      </w:r>
      <w:r w:rsidR="00652008" w:rsidRPr="008D1BEF">
        <w:rPr>
          <w:rStyle w:val="FootnoteReference"/>
          <w:rFonts w:eastAsiaTheme="minorEastAsia"/>
          <w:sz w:val="22"/>
          <w:rtl/>
        </w:rPr>
        <w:t>)</w:t>
      </w:r>
      <w:r w:rsidR="00652008">
        <w:rPr>
          <w:rFonts w:eastAsiaTheme="minorEastAsia" w:hint="cs"/>
          <w:rtl/>
        </w:rPr>
        <w:t>،</w:t>
      </w:r>
      <w:r w:rsidRPr="00F16289">
        <w:rPr>
          <w:rFonts w:eastAsiaTheme="minorEastAsia"/>
          <w:rtl/>
        </w:rPr>
        <w:t xml:space="preserve"> المقدم في وثيقة واحدة، في جلستيها </w:t>
      </w:r>
      <w:r w:rsidRPr="008D1BEF">
        <w:rPr>
          <w:rFonts w:eastAsiaTheme="minorEastAsia"/>
          <w:rtl/>
        </w:rPr>
        <w:t>2933</w:t>
      </w:r>
      <w:r w:rsidRPr="00F16289">
        <w:rPr>
          <w:rFonts w:eastAsiaTheme="minorEastAsia"/>
          <w:rtl/>
        </w:rPr>
        <w:t xml:space="preserve"> و</w:t>
      </w:r>
      <w:r w:rsidRPr="008D1BEF">
        <w:rPr>
          <w:rFonts w:eastAsiaTheme="minorEastAsia"/>
          <w:rtl/>
        </w:rPr>
        <w:t>2934</w:t>
      </w:r>
      <w:r w:rsidR="00652008" w:rsidRPr="008D1BEF">
        <w:rPr>
          <w:rStyle w:val="FootnoteReference"/>
          <w:rFonts w:eastAsiaTheme="minorEastAsia"/>
          <w:sz w:val="22"/>
          <w:rtl/>
        </w:rPr>
        <w:t>(</w:t>
      </w:r>
      <w:r w:rsidR="00652008" w:rsidRPr="008D1BEF">
        <w:rPr>
          <w:rStyle w:val="FootnoteReference"/>
          <w:rFonts w:eastAsiaTheme="minorEastAsia"/>
          <w:sz w:val="22"/>
          <w:lang w:val="en-US"/>
        </w:rPr>
        <w:footnoteReference w:id="3"/>
      </w:r>
      <w:r w:rsidR="00652008" w:rsidRPr="008D1BEF">
        <w:rPr>
          <w:rStyle w:val="FootnoteReference"/>
          <w:rFonts w:eastAsiaTheme="minorEastAsia"/>
          <w:sz w:val="22"/>
          <w:rtl/>
        </w:rPr>
        <w:t>)</w:t>
      </w:r>
      <w:r w:rsidR="00652008" w:rsidRPr="00652008">
        <w:rPr>
          <w:rStyle w:val="FootnoteReference"/>
          <w:rFonts w:eastAsiaTheme="minorEastAsia" w:hint="cs"/>
          <w:sz w:val="22"/>
          <w:vertAlign w:val="baseline"/>
          <w:rtl/>
        </w:rPr>
        <w:t xml:space="preserve"> </w:t>
      </w:r>
      <w:r w:rsidRPr="00F16289">
        <w:rPr>
          <w:rFonts w:eastAsiaTheme="minorEastAsia"/>
          <w:rtl/>
        </w:rPr>
        <w:t xml:space="preserve">المعقودتين يومي </w:t>
      </w:r>
      <w:r w:rsidRPr="008D1BEF">
        <w:rPr>
          <w:rFonts w:eastAsiaTheme="minorEastAsia"/>
          <w:rtl/>
        </w:rPr>
        <w:t>17</w:t>
      </w:r>
      <w:r w:rsidRPr="00F16289">
        <w:rPr>
          <w:rFonts w:eastAsiaTheme="minorEastAsia"/>
          <w:rtl/>
        </w:rPr>
        <w:t xml:space="preserve"> و</w:t>
      </w:r>
      <w:r w:rsidRPr="008D1BEF">
        <w:rPr>
          <w:rFonts w:eastAsiaTheme="minorEastAsia"/>
          <w:rtl/>
        </w:rPr>
        <w:t>18</w:t>
      </w:r>
      <w:r w:rsidRPr="00F16289">
        <w:rPr>
          <w:rFonts w:eastAsiaTheme="minorEastAsia"/>
          <w:rtl/>
        </w:rPr>
        <w:t xml:space="preserve"> تشرين الثاني/نوفمبر </w:t>
      </w:r>
      <w:r w:rsidRPr="008D1BEF">
        <w:rPr>
          <w:rFonts w:eastAsiaTheme="minorEastAsia"/>
          <w:rtl/>
        </w:rPr>
        <w:t>202</w:t>
      </w:r>
      <w:r w:rsidR="00652008" w:rsidRPr="008D1BEF">
        <w:rPr>
          <w:rFonts w:eastAsiaTheme="minorEastAsia"/>
          <w:rtl/>
        </w:rPr>
        <w:t>2</w:t>
      </w:r>
      <w:r w:rsidR="00652008" w:rsidRPr="00652008">
        <w:rPr>
          <w:rFonts w:eastAsiaTheme="minorEastAsia"/>
          <w:rtl/>
        </w:rPr>
        <w:t xml:space="preserve">. </w:t>
      </w:r>
      <w:r w:rsidRPr="00F16289">
        <w:rPr>
          <w:rFonts w:eastAsiaTheme="minorEastAsia"/>
          <w:rtl/>
        </w:rPr>
        <w:t xml:space="preserve">واعتمدت هذه الملاحظات الختامية في جلستيها </w:t>
      </w:r>
      <w:r w:rsidRPr="008D1BEF">
        <w:rPr>
          <w:rFonts w:eastAsiaTheme="minorEastAsia"/>
          <w:rtl/>
        </w:rPr>
        <w:t>2949</w:t>
      </w:r>
      <w:r w:rsidRPr="00F16289">
        <w:rPr>
          <w:rFonts w:eastAsiaTheme="minorEastAsia"/>
          <w:rtl/>
        </w:rPr>
        <w:t xml:space="preserve"> و</w:t>
      </w:r>
      <w:r w:rsidRPr="008D1BEF">
        <w:rPr>
          <w:rFonts w:eastAsiaTheme="minorEastAsia"/>
          <w:rtl/>
        </w:rPr>
        <w:t>2950</w:t>
      </w:r>
      <w:r w:rsidRPr="00F16289">
        <w:rPr>
          <w:rFonts w:eastAsiaTheme="minorEastAsia"/>
          <w:rtl/>
        </w:rPr>
        <w:t xml:space="preserve"> المعقودتين في </w:t>
      </w:r>
      <w:r w:rsidRPr="008D1BEF">
        <w:rPr>
          <w:rFonts w:eastAsiaTheme="minorEastAsia"/>
          <w:rtl/>
        </w:rPr>
        <w:t>29</w:t>
      </w:r>
      <w:r w:rsidRPr="00F16289">
        <w:rPr>
          <w:rFonts w:eastAsiaTheme="minorEastAsia"/>
          <w:rtl/>
        </w:rPr>
        <w:t xml:space="preserve"> و</w:t>
      </w:r>
      <w:r w:rsidRPr="008D1BEF">
        <w:rPr>
          <w:rFonts w:eastAsiaTheme="minorEastAsia"/>
          <w:rtl/>
        </w:rPr>
        <w:t>30</w:t>
      </w:r>
      <w:r w:rsidRPr="00F16289">
        <w:rPr>
          <w:rFonts w:eastAsiaTheme="minorEastAsia"/>
          <w:rtl/>
        </w:rPr>
        <w:t xml:space="preserve"> تشرين الثاني/</w:t>
      </w:r>
      <w:r w:rsidR="00652008">
        <w:rPr>
          <w:rFonts w:eastAsiaTheme="minorEastAsia" w:hint="cs"/>
          <w:rtl/>
        </w:rPr>
        <w:t xml:space="preserve"> </w:t>
      </w:r>
      <w:r w:rsidRPr="00F16289">
        <w:rPr>
          <w:rFonts w:eastAsiaTheme="minorEastAsia"/>
          <w:rtl/>
        </w:rPr>
        <w:t xml:space="preserve">نوفمبر </w:t>
      </w:r>
      <w:r w:rsidRPr="008D1BEF">
        <w:rPr>
          <w:rFonts w:eastAsiaTheme="minorEastAsia"/>
          <w:rtl/>
        </w:rPr>
        <w:t>202</w:t>
      </w:r>
      <w:r w:rsidR="00652008" w:rsidRPr="008D1BEF">
        <w:rPr>
          <w:rFonts w:eastAsiaTheme="minorEastAsia"/>
          <w:rtl/>
        </w:rPr>
        <w:t>2</w:t>
      </w:r>
      <w:r w:rsidR="00652008" w:rsidRPr="00652008">
        <w:rPr>
          <w:rFonts w:eastAsiaTheme="minorEastAsia"/>
          <w:rtl/>
        </w:rPr>
        <w:t>.</w:t>
      </w:r>
    </w:p>
    <w:p w14:paraId="3B3FBF99" w14:textId="152CDEA2" w:rsidR="00F16289" w:rsidRPr="008D1BEF" w:rsidRDefault="00F16289" w:rsidP="00F16289">
      <w:pPr>
        <w:pStyle w:val="H1GA"/>
        <w:rPr>
          <w:lang w:val="en-US" w:eastAsia="zh-TW" w:bidi="en-GB"/>
        </w:rPr>
      </w:pPr>
      <w:r w:rsidRPr="008D1BEF">
        <w:rPr>
          <w:rtl/>
        </w:rPr>
        <w:tab/>
        <w:t>ألف-</w:t>
      </w:r>
      <w:r w:rsidRPr="008D1BEF">
        <w:rPr>
          <w:rtl/>
        </w:rPr>
        <w:tab/>
        <w:t>مقدمة</w:t>
      </w:r>
    </w:p>
    <w:p w14:paraId="17A6190A" w14:textId="1709AC7B" w:rsidR="00F16289" w:rsidRPr="00F16289" w:rsidRDefault="00F16289" w:rsidP="00F16289">
      <w:pPr>
        <w:pStyle w:val="SingleTxtGA"/>
        <w:rPr>
          <w:rFonts w:eastAsiaTheme="minorEastAsia"/>
          <w:lang w:val="en-US" w:eastAsia="zh-TW" w:bidi="en-GB"/>
        </w:rPr>
      </w:pPr>
      <w:r w:rsidRPr="008D1BEF">
        <w:rPr>
          <w:rFonts w:eastAsiaTheme="minorEastAsia"/>
          <w:rtl/>
        </w:rPr>
        <w:t>2</w:t>
      </w:r>
      <w:r w:rsidRPr="00F16289">
        <w:rPr>
          <w:rFonts w:eastAsiaTheme="minorEastAsia"/>
          <w:rtl/>
        </w:rPr>
        <w:t>-</w:t>
      </w:r>
      <w:r w:rsidRPr="00F16289">
        <w:rPr>
          <w:rFonts w:eastAsiaTheme="minorEastAsia"/>
          <w:rtl/>
        </w:rPr>
        <w:tab/>
        <w:t>ترحب اللجنة بتقديم الدولة الطرف تقريرها الجامع للتقارير الدورية من الثامن إلى الرابع عشر، ولكنها تعرب عن الأسف لأن تقديم الوثيقة تأخر اثنتي عشرة سنة. وترحب اللجنة أيض</w:t>
      </w:r>
      <w:r w:rsidR="00652008">
        <w:rPr>
          <w:rFonts w:eastAsiaTheme="minorEastAsia"/>
          <w:rtl/>
        </w:rPr>
        <w:t xml:space="preserve">اً </w:t>
      </w:r>
      <w:r w:rsidRPr="00F16289">
        <w:rPr>
          <w:rFonts w:eastAsiaTheme="minorEastAsia"/>
          <w:rtl/>
        </w:rPr>
        <w:t>بالحوار المفتوح والبناء الذي أجرته مع الوفد الرفيع المستوى وتود أن تشكر الوفد على المعلومات التي قدمها أثناء نظر اللجنة في التقارير وبعد الحوار.</w:t>
      </w:r>
      <w:bookmarkEnd w:id="0"/>
    </w:p>
    <w:p w14:paraId="5A1B60E9" w14:textId="1A4EE304" w:rsidR="00F16289" w:rsidRPr="008D1BEF" w:rsidRDefault="00F16289" w:rsidP="00F16289">
      <w:pPr>
        <w:pStyle w:val="H1GA"/>
        <w:rPr>
          <w:lang w:val="ar-SA" w:eastAsia="zh-TW" w:bidi="en-GB"/>
        </w:rPr>
      </w:pPr>
      <w:r w:rsidRPr="008D1BEF">
        <w:rPr>
          <w:rtl/>
        </w:rPr>
        <w:tab/>
        <w:t>باء-</w:t>
      </w:r>
      <w:r w:rsidRPr="008D1BEF">
        <w:rPr>
          <w:rtl/>
        </w:rPr>
        <w:tab/>
        <w:t>الجوانب الإيجابية</w:t>
      </w:r>
    </w:p>
    <w:p w14:paraId="6761A109" w14:textId="77777777" w:rsidR="00F16289" w:rsidRPr="00F16289" w:rsidRDefault="00F16289" w:rsidP="00F16289">
      <w:pPr>
        <w:pStyle w:val="SingleTxtGA"/>
        <w:rPr>
          <w:rFonts w:eastAsiaTheme="minorEastAsia"/>
          <w:lang w:val="ar-SA" w:eastAsia="zh-TW" w:bidi="en-GB"/>
        </w:rPr>
      </w:pPr>
      <w:r w:rsidRPr="008D1BEF">
        <w:rPr>
          <w:rFonts w:eastAsiaTheme="minorEastAsia"/>
          <w:rtl/>
        </w:rPr>
        <w:t>3</w:t>
      </w:r>
      <w:r w:rsidRPr="00F16289">
        <w:rPr>
          <w:rFonts w:eastAsiaTheme="minorEastAsia"/>
          <w:rtl/>
        </w:rPr>
        <w:t>-</w:t>
      </w:r>
      <w:r w:rsidRPr="00F16289">
        <w:rPr>
          <w:rFonts w:eastAsiaTheme="minorEastAsia"/>
          <w:rtl/>
        </w:rPr>
        <w:tab/>
        <w:t>ترحب اللجنة بانضمام الدولة الطرف إلى الصكوك الدولية التالية أو تصديقها عليها:</w:t>
      </w:r>
    </w:p>
    <w:p w14:paraId="276BC0AB" w14:textId="5F67DFBA" w:rsidR="00F16289" w:rsidRPr="00F16289" w:rsidRDefault="00F16289" w:rsidP="00F16289">
      <w:pPr>
        <w:pStyle w:val="SingleTxtGA"/>
        <w:rPr>
          <w:rFonts w:eastAsiaTheme="minorEastAsia"/>
          <w:lang w:val="ar-SA" w:eastAsia="zh-TW" w:bidi="en-GB"/>
        </w:rPr>
      </w:pPr>
      <w:r>
        <w:rPr>
          <w:rFonts w:eastAsiaTheme="minorEastAsia"/>
          <w:rtl/>
        </w:rPr>
        <w:tab/>
      </w:r>
      <w:r w:rsidRPr="00F16289">
        <w:rPr>
          <w:rFonts w:eastAsiaTheme="minorEastAsia"/>
          <w:rtl/>
        </w:rPr>
        <w:t>(أ)</w:t>
      </w:r>
      <w:r w:rsidRPr="00F16289">
        <w:rPr>
          <w:rFonts w:eastAsiaTheme="minorEastAsia"/>
          <w:rtl/>
        </w:rPr>
        <w:tab/>
        <w:t xml:space="preserve">العهد الدولي الخاص بالحقوق المدنية والسياسية، في عام </w:t>
      </w:r>
      <w:r w:rsidRPr="008D1BEF">
        <w:rPr>
          <w:rFonts w:eastAsiaTheme="minorEastAsia"/>
          <w:rtl/>
        </w:rPr>
        <w:t>2006</w:t>
      </w:r>
      <w:r w:rsidRPr="00F16289">
        <w:rPr>
          <w:rFonts w:eastAsiaTheme="minorEastAsia"/>
          <w:rtl/>
        </w:rPr>
        <w:t>؛</w:t>
      </w:r>
    </w:p>
    <w:p w14:paraId="6BCB3743" w14:textId="2EFEC327" w:rsidR="00F16289" w:rsidRPr="00F16289" w:rsidRDefault="00F16289" w:rsidP="00F16289">
      <w:pPr>
        <w:pStyle w:val="SingleTxtGA"/>
        <w:rPr>
          <w:rFonts w:eastAsiaTheme="minorEastAsia"/>
          <w:lang w:val="ar-SA" w:eastAsia="zh-TW" w:bidi="en-GB"/>
        </w:rPr>
      </w:pPr>
      <w:r>
        <w:rPr>
          <w:rFonts w:eastAsiaTheme="minorEastAsia"/>
          <w:rtl/>
        </w:rPr>
        <w:tab/>
      </w:r>
      <w:r w:rsidRPr="00F16289">
        <w:rPr>
          <w:rFonts w:eastAsiaTheme="minorEastAsia"/>
          <w:rtl/>
        </w:rPr>
        <w:t>(ب)</w:t>
      </w:r>
      <w:r w:rsidRPr="00F16289">
        <w:rPr>
          <w:rFonts w:eastAsiaTheme="minorEastAsia"/>
          <w:rtl/>
        </w:rPr>
        <w:tab/>
        <w:t xml:space="preserve">العهد الدولي الخاص بالحقوق الاقتصادية والاجتماعية والثقافية، في عام </w:t>
      </w:r>
      <w:r w:rsidRPr="008D1BEF">
        <w:rPr>
          <w:rFonts w:eastAsiaTheme="minorEastAsia"/>
          <w:rtl/>
        </w:rPr>
        <w:t>2007</w:t>
      </w:r>
      <w:r w:rsidRPr="00F16289">
        <w:rPr>
          <w:rFonts w:eastAsiaTheme="minorEastAsia"/>
          <w:rtl/>
        </w:rPr>
        <w:t>؛</w:t>
      </w:r>
    </w:p>
    <w:p w14:paraId="750928C6" w14:textId="12FF2B21" w:rsidR="00652008" w:rsidRPr="00652008" w:rsidRDefault="00F16289" w:rsidP="00F16289">
      <w:pPr>
        <w:pStyle w:val="SingleTxtGA"/>
        <w:rPr>
          <w:rFonts w:eastAsiaTheme="minorEastAsia"/>
          <w:lang w:val="ar-SA" w:eastAsia="zh-TW" w:bidi="en-GB"/>
        </w:rPr>
      </w:pPr>
      <w:r>
        <w:rPr>
          <w:rFonts w:eastAsiaTheme="minorEastAsia"/>
          <w:rtl/>
        </w:rPr>
        <w:tab/>
      </w:r>
      <w:r w:rsidRPr="00F16289">
        <w:rPr>
          <w:rFonts w:eastAsiaTheme="minorEastAsia"/>
          <w:rtl/>
        </w:rPr>
        <w:t>(ج)</w:t>
      </w:r>
      <w:r w:rsidRPr="00F16289">
        <w:rPr>
          <w:rFonts w:eastAsiaTheme="minorEastAsia"/>
          <w:rtl/>
        </w:rPr>
        <w:tab/>
        <w:t xml:space="preserve">اتفاقية حقوق الأشخاص ذوي الإعاقة، في عام </w:t>
      </w:r>
      <w:r w:rsidRPr="008D1BEF">
        <w:rPr>
          <w:rFonts w:eastAsiaTheme="minorEastAsia"/>
          <w:rtl/>
        </w:rPr>
        <w:t>201</w:t>
      </w:r>
      <w:r w:rsidR="00652008" w:rsidRPr="008D1BEF">
        <w:rPr>
          <w:rFonts w:eastAsiaTheme="minorEastAsia"/>
          <w:rtl/>
        </w:rPr>
        <w:t>1</w:t>
      </w:r>
      <w:r w:rsidR="00652008" w:rsidRPr="00652008">
        <w:rPr>
          <w:rFonts w:eastAsiaTheme="minorEastAsia"/>
          <w:rtl/>
        </w:rPr>
        <w:t>.</w:t>
      </w:r>
    </w:p>
    <w:p w14:paraId="0CD2C91D" w14:textId="24F68611" w:rsidR="00F16289" w:rsidRPr="00F16289" w:rsidRDefault="00F16289" w:rsidP="00F16289">
      <w:pPr>
        <w:pStyle w:val="SingleTxtGA"/>
        <w:rPr>
          <w:rFonts w:eastAsiaTheme="minorEastAsia"/>
          <w:lang w:val="ar-SA" w:eastAsia="zh-TW" w:bidi="en-GB"/>
        </w:rPr>
      </w:pPr>
      <w:r w:rsidRPr="008D1BEF">
        <w:rPr>
          <w:rFonts w:eastAsiaTheme="minorEastAsia"/>
          <w:rtl/>
        </w:rPr>
        <w:t>4</w:t>
      </w:r>
      <w:r w:rsidRPr="00F16289">
        <w:rPr>
          <w:rFonts w:eastAsiaTheme="minorEastAsia"/>
          <w:rtl/>
        </w:rPr>
        <w:t>-</w:t>
      </w:r>
      <w:r w:rsidRPr="00F16289">
        <w:rPr>
          <w:rFonts w:eastAsiaTheme="minorEastAsia"/>
          <w:rtl/>
        </w:rPr>
        <w:tab/>
        <w:t>وترحب اللجنة أيض</w:t>
      </w:r>
      <w:r w:rsidR="00652008">
        <w:rPr>
          <w:rFonts w:eastAsiaTheme="minorEastAsia"/>
          <w:rtl/>
        </w:rPr>
        <w:t xml:space="preserve">اً </w:t>
      </w:r>
      <w:r w:rsidRPr="00F16289">
        <w:rPr>
          <w:rFonts w:eastAsiaTheme="minorEastAsia"/>
          <w:rtl/>
        </w:rPr>
        <w:t xml:space="preserve">بالتدابير التشريعية </w:t>
      </w:r>
      <w:proofErr w:type="spellStart"/>
      <w:r w:rsidRPr="00F16289">
        <w:rPr>
          <w:rFonts w:eastAsiaTheme="minorEastAsia"/>
          <w:rtl/>
        </w:rPr>
        <w:t>والسياساتية</w:t>
      </w:r>
      <w:proofErr w:type="spellEnd"/>
      <w:r w:rsidRPr="00F16289">
        <w:rPr>
          <w:rFonts w:eastAsiaTheme="minorEastAsia"/>
          <w:rtl/>
        </w:rPr>
        <w:t xml:space="preserve"> التالية التي اتخذتها الدولة الطرف:</w:t>
      </w:r>
    </w:p>
    <w:p w14:paraId="0D7A05ED" w14:textId="5BACAC1A" w:rsidR="00F16289" w:rsidRPr="00F16289" w:rsidRDefault="00F16289" w:rsidP="00F16289">
      <w:pPr>
        <w:pStyle w:val="SingleTxtGA"/>
        <w:rPr>
          <w:rFonts w:eastAsiaTheme="minorEastAsia"/>
          <w:lang w:val="ar-SA" w:eastAsia="zh-TW" w:bidi="en-GB"/>
        </w:rPr>
      </w:pPr>
      <w:r>
        <w:rPr>
          <w:rFonts w:eastAsiaTheme="minorEastAsia"/>
          <w:rtl/>
        </w:rPr>
        <w:tab/>
      </w:r>
      <w:r w:rsidRPr="00F16289">
        <w:rPr>
          <w:rFonts w:eastAsiaTheme="minorEastAsia"/>
          <w:rtl/>
        </w:rPr>
        <w:t>(أ)</w:t>
      </w:r>
      <w:r w:rsidRPr="00F16289">
        <w:rPr>
          <w:rFonts w:eastAsiaTheme="minorEastAsia"/>
          <w:rtl/>
        </w:rPr>
        <w:tab/>
        <w:t>اعتماد القانون رقم (</w:t>
      </w:r>
      <w:r w:rsidRPr="008D1BEF">
        <w:rPr>
          <w:rFonts w:eastAsiaTheme="minorEastAsia"/>
          <w:rtl/>
        </w:rPr>
        <w:t>2</w:t>
      </w:r>
      <w:r w:rsidR="00652008" w:rsidRPr="008D1BEF">
        <w:rPr>
          <w:rFonts w:eastAsiaTheme="minorEastAsia"/>
          <w:rtl/>
        </w:rPr>
        <w:t>6</w:t>
      </w:r>
      <w:r w:rsidR="00652008" w:rsidRPr="00652008">
        <w:rPr>
          <w:rFonts w:eastAsiaTheme="minorEastAsia"/>
          <w:rtl/>
        </w:rPr>
        <w:t xml:space="preserve">) </w:t>
      </w:r>
      <w:r w:rsidRPr="00F16289">
        <w:rPr>
          <w:rFonts w:eastAsiaTheme="minorEastAsia"/>
          <w:rtl/>
        </w:rPr>
        <w:t xml:space="preserve">لسنة </w:t>
      </w:r>
      <w:r w:rsidRPr="008D1BEF">
        <w:rPr>
          <w:rFonts w:eastAsiaTheme="minorEastAsia"/>
          <w:rtl/>
        </w:rPr>
        <w:t>2014</w:t>
      </w:r>
      <w:r w:rsidRPr="00F16289">
        <w:rPr>
          <w:rFonts w:eastAsiaTheme="minorEastAsia"/>
          <w:rtl/>
        </w:rPr>
        <w:t xml:space="preserve"> بإنشاء المؤسسة الوطنية لحقوق الإنسان وتعديلاته في عام </w:t>
      </w:r>
      <w:r w:rsidRPr="008D1BEF">
        <w:rPr>
          <w:rFonts w:eastAsiaTheme="minorEastAsia"/>
          <w:rtl/>
        </w:rPr>
        <w:t>2016</w:t>
      </w:r>
      <w:r w:rsidRPr="00F16289">
        <w:rPr>
          <w:rFonts w:eastAsiaTheme="minorEastAsia"/>
          <w:rtl/>
        </w:rPr>
        <w:t>؛</w:t>
      </w:r>
    </w:p>
    <w:p w14:paraId="1D4204E8" w14:textId="7511FA7A" w:rsidR="00F16289" w:rsidRPr="00F16289" w:rsidRDefault="00F16289" w:rsidP="00F16289">
      <w:pPr>
        <w:pStyle w:val="SingleTxtGA"/>
        <w:rPr>
          <w:rFonts w:eastAsiaTheme="minorEastAsia"/>
          <w:lang w:val="ar-SA" w:eastAsia="zh-TW" w:bidi="en-GB"/>
        </w:rPr>
      </w:pPr>
      <w:r>
        <w:rPr>
          <w:rFonts w:eastAsiaTheme="minorEastAsia"/>
          <w:rtl/>
        </w:rPr>
        <w:lastRenderedPageBreak/>
        <w:tab/>
      </w:r>
      <w:r w:rsidRPr="00F16289">
        <w:rPr>
          <w:rFonts w:eastAsiaTheme="minorEastAsia"/>
          <w:rtl/>
        </w:rPr>
        <w:t>(ب)</w:t>
      </w:r>
      <w:r w:rsidRPr="00F16289">
        <w:rPr>
          <w:rFonts w:eastAsiaTheme="minorEastAsia"/>
          <w:rtl/>
        </w:rPr>
        <w:tab/>
        <w:t>إنشاء اللجنة التنسيقية العليا لحقوق الإنسان بموجب قرار رئيس مجلس الوزراء رقم</w:t>
      </w:r>
      <w:r>
        <w:rPr>
          <w:rFonts w:eastAsiaTheme="minorEastAsia" w:hint="cs"/>
          <w:rtl/>
        </w:rPr>
        <w:t> </w:t>
      </w:r>
      <w:r w:rsidRPr="008D1BEF">
        <w:rPr>
          <w:rFonts w:eastAsiaTheme="minorEastAsia"/>
          <w:rtl/>
        </w:rPr>
        <w:t>50</w:t>
      </w:r>
      <w:r w:rsidRPr="00F16289">
        <w:rPr>
          <w:rFonts w:eastAsiaTheme="minorEastAsia"/>
          <w:rtl/>
        </w:rPr>
        <w:t xml:space="preserve"> لسنة </w:t>
      </w:r>
      <w:r w:rsidRPr="008D1BEF">
        <w:rPr>
          <w:rFonts w:eastAsiaTheme="minorEastAsia"/>
          <w:rtl/>
        </w:rPr>
        <w:t>2012</w:t>
      </w:r>
      <w:r w:rsidRPr="00F16289">
        <w:rPr>
          <w:rFonts w:eastAsiaTheme="minorEastAsia"/>
          <w:rtl/>
        </w:rPr>
        <w:t>؛</w:t>
      </w:r>
    </w:p>
    <w:p w14:paraId="08C2E76A" w14:textId="2097E0AC" w:rsidR="00F16289" w:rsidRPr="00652008" w:rsidRDefault="00F16289" w:rsidP="00F16289">
      <w:pPr>
        <w:pStyle w:val="SingleTxtGA"/>
        <w:rPr>
          <w:rFonts w:eastAsiaTheme="minorEastAsia"/>
          <w:lang w:val="en-US" w:eastAsia="zh-TW" w:bidi="en-GB"/>
        </w:rPr>
      </w:pPr>
      <w:r>
        <w:rPr>
          <w:rFonts w:eastAsiaTheme="minorEastAsia"/>
          <w:rtl/>
        </w:rPr>
        <w:tab/>
      </w:r>
      <w:r w:rsidRPr="00F16289">
        <w:rPr>
          <w:rFonts w:eastAsiaTheme="minorEastAsia"/>
          <w:rtl/>
        </w:rPr>
        <w:t>(ج)</w:t>
      </w:r>
      <w:r w:rsidRPr="00F16289">
        <w:rPr>
          <w:rFonts w:eastAsiaTheme="minorEastAsia"/>
          <w:rtl/>
        </w:rPr>
        <w:tab/>
        <w:t>اعتماد قانون العمل في القطاع الأهلي الصادر بموجب القانون رقم (</w:t>
      </w:r>
      <w:r w:rsidRPr="008D1BEF">
        <w:rPr>
          <w:rFonts w:eastAsiaTheme="minorEastAsia"/>
          <w:rtl/>
        </w:rPr>
        <w:t>3</w:t>
      </w:r>
      <w:r w:rsidR="00652008" w:rsidRPr="008D1BEF">
        <w:rPr>
          <w:rFonts w:eastAsiaTheme="minorEastAsia"/>
          <w:rtl/>
        </w:rPr>
        <w:t>6</w:t>
      </w:r>
      <w:r w:rsidR="00652008" w:rsidRPr="00652008">
        <w:rPr>
          <w:rFonts w:eastAsiaTheme="minorEastAsia"/>
          <w:rtl/>
        </w:rPr>
        <w:t xml:space="preserve">) </w:t>
      </w:r>
      <w:r w:rsidRPr="00F16289">
        <w:rPr>
          <w:rFonts w:eastAsiaTheme="minorEastAsia"/>
          <w:rtl/>
        </w:rPr>
        <w:t>لسنة</w:t>
      </w:r>
      <w:r>
        <w:rPr>
          <w:rFonts w:eastAsiaTheme="minorEastAsia" w:hint="cs"/>
          <w:rtl/>
        </w:rPr>
        <w:t> </w:t>
      </w:r>
      <w:r w:rsidRPr="008D1BEF">
        <w:rPr>
          <w:rFonts w:eastAsiaTheme="minorEastAsia"/>
          <w:rtl/>
        </w:rPr>
        <w:t>2012</w:t>
      </w:r>
      <w:r w:rsidRPr="00F16289">
        <w:rPr>
          <w:rFonts w:eastAsiaTheme="minorEastAsia"/>
          <w:rtl/>
        </w:rPr>
        <w:t>؛</w:t>
      </w:r>
    </w:p>
    <w:p w14:paraId="38348AA6" w14:textId="4C277D71" w:rsidR="00F16289" w:rsidRPr="00F16289" w:rsidRDefault="00F16289" w:rsidP="00F16289">
      <w:pPr>
        <w:pStyle w:val="SingleTxtGA"/>
        <w:rPr>
          <w:rFonts w:eastAsiaTheme="minorEastAsia"/>
          <w:lang w:val="ar-SA" w:eastAsia="zh-TW" w:bidi="en-GB"/>
        </w:rPr>
      </w:pPr>
      <w:r>
        <w:rPr>
          <w:rFonts w:eastAsiaTheme="minorEastAsia"/>
          <w:rtl/>
        </w:rPr>
        <w:tab/>
      </w:r>
      <w:r w:rsidRPr="00F16289">
        <w:rPr>
          <w:rFonts w:eastAsiaTheme="minorEastAsia"/>
          <w:rtl/>
        </w:rPr>
        <w:t>(د)</w:t>
      </w:r>
      <w:r w:rsidRPr="00F16289">
        <w:rPr>
          <w:rFonts w:eastAsiaTheme="minorEastAsia"/>
          <w:rtl/>
        </w:rPr>
        <w:tab/>
        <w:t>اعتماد القانون رقم (</w:t>
      </w:r>
      <w:r w:rsidR="00652008" w:rsidRPr="008D1BEF">
        <w:rPr>
          <w:rFonts w:eastAsiaTheme="minorEastAsia"/>
          <w:rtl/>
        </w:rPr>
        <w:t>1</w:t>
      </w:r>
      <w:r w:rsidR="00652008" w:rsidRPr="00652008">
        <w:rPr>
          <w:rFonts w:eastAsiaTheme="minorEastAsia"/>
          <w:rtl/>
        </w:rPr>
        <w:t xml:space="preserve">) </w:t>
      </w:r>
      <w:r w:rsidRPr="00F16289">
        <w:rPr>
          <w:rFonts w:eastAsiaTheme="minorEastAsia"/>
          <w:rtl/>
        </w:rPr>
        <w:t xml:space="preserve">لسنة </w:t>
      </w:r>
      <w:r w:rsidRPr="008D1BEF">
        <w:rPr>
          <w:rFonts w:eastAsiaTheme="minorEastAsia"/>
          <w:rtl/>
        </w:rPr>
        <w:t>2008</w:t>
      </w:r>
      <w:r w:rsidRPr="00F16289">
        <w:rPr>
          <w:rFonts w:eastAsiaTheme="minorEastAsia"/>
          <w:rtl/>
        </w:rPr>
        <w:t xml:space="preserve"> بشأن مكافحة الاتجار بالأشخاص؛</w:t>
      </w:r>
    </w:p>
    <w:p w14:paraId="23AE916F" w14:textId="7E12F35D" w:rsidR="00652008" w:rsidRPr="00652008" w:rsidRDefault="00F16289" w:rsidP="00F16289">
      <w:pPr>
        <w:pStyle w:val="SingleTxtGA"/>
        <w:rPr>
          <w:rFonts w:eastAsiaTheme="minorEastAsia"/>
          <w:lang w:val="ar-SA" w:eastAsia="zh-TW" w:bidi="en-GB"/>
        </w:rPr>
      </w:pPr>
      <w:r>
        <w:rPr>
          <w:rFonts w:eastAsiaTheme="minorEastAsia"/>
          <w:rtl/>
        </w:rPr>
        <w:tab/>
      </w:r>
      <w:r w:rsidRPr="00F16289">
        <w:rPr>
          <w:rFonts w:eastAsiaTheme="minorEastAsia"/>
          <w:rtl/>
        </w:rPr>
        <w:t>(هـ)</w:t>
      </w:r>
      <w:r w:rsidRPr="00F16289">
        <w:rPr>
          <w:rFonts w:eastAsiaTheme="minorEastAsia"/>
          <w:rtl/>
        </w:rPr>
        <w:tab/>
        <w:t>اعتماد الخطة الوطنية لحقوق الإنسان (</w:t>
      </w:r>
      <w:r w:rsidRPr="008D1BEF">
        <w:rPr>
          <w:rFonts w:eastAsiaTheme="minorEastAsia"/>
          <w:rtl/>
        </w:rPr>
        <w:t>2026</w:t>
      </w:r>
      <w:r w:rsidRPr="00F16289">
        <w:rPr>
          <w:rFonts w:eastAsiaTheme="minorEastAsia"/>
          <w:rtl/>
        </w:rPr>
        <w:t>-</w:t>
      </w:r>
      <w:r w:rsidRPr="008D1BEF">
        <w:rPr>
          <w:rFonts w:eastAsiaTheme="minorEastAsia"/>
          <w:rtl/>
        </w:rPr>
        <w:t>202</w:t>
      </w:r>
      <w:r w:rsidR="00652008" w:rsidRPr="008D1BEF">
        <w:rPr>
          <w:rFonts w:eastAsiaTheme="minorEastAsia"/>
          <w:rtl/>
        </w:rPr>
        <w:t>2</w:t>
      </w:r>
      <w:r w:rsidR="00652008" w:rsidRPr="00652008">
        <w:rPr>
          <w:rFonts w:eastAsiaTheme="minorEastAsia"/>
          <w:rtl/>
        </w:rPr>
        <w:t>).</w:t>
      </w:r>
    </w:p>
    <w:p w14:paraId="73C73AA0" w14:textId="7B0E11EF" w:rsidR="00F16289" w:rsidRPr="008D1BEF" w:rsidRDefault="00F16289" w:rsidP="00F16289">
      <w:pPr>
        <w:pStyle w:val="H1GA"/>
        <w:rPr>
          <w:lang w:val="ar-SA" w:eastAsia="zh-TW" w:bidi="en-GB"/>
        </w:rPr>
      </w:pPr>
      <w:r w:rsidRPr="008D1BEF">
        <w:rPr>
          <w:rtl/>
        </w:rPr>
        <w:tab/>
        <w:t>جي</w:t>
      </w:r>
      <w:r w:rsidRPr="008D1BEF">
        <w:rPr>
          <w:rFonts w:hint="cs"/>
          <w:rtl/>
        </w:rPr>
        <w:t>م-</w:t>
      </w:r>
      <w:r w:rsidRPr="008D1BEF">
        <w:rPr>
          <w:rtl/>
        </w:rPr>
        <w:tab/>
        <w:t>دواعي القلق والتوصيات</w:t>
      </w:r>
    </w:p>
    <w:p w14:paraId="3D210AAE" w14:textId="77777777" w:rsidR="00F16289" w:rsidRPr="008D1BEF" w:rsidRDefault="00F16289" w:rsidP="00F16289">
      <w:pPr>
        <w:pStyle w:val="H23GA"/>
        <w:rPr>
          <w:lang w:val="ar-SA" w:eastAsia="zh-TW" w:bidi="en-GB"/>
        </w:rPr>
      </w:pPr>
      <w:r w:rsidRPr="008D1BEF">
        <w:rPr>
          <w:rtl/>
        </w:rPr>
        <w:tab/>
      </w:r>
      <w:r w:rsidRPr="008D1BEF">
        <w:rPr>
          <w:rtl/>
        </w:rPr>
        <w:tab/>
        <w:t>جمع البيانات</w:t>
      </w:r>
    </w:p>
    <w:p w14:paraId="01587D78" w14:textId="42BC15E3" w:rsidR="00652008" w:rsidRPr="00652008" w:rsidRDefault="00F16289" w:rsidP="00F16289">
      <w:pPr>
        <w:pStyle w:val="SingleTxtGA"/>
        <w:rPr>
          <w:rFonts w:eastAsiaTheme="minorEastAsia"/>
          <w:rtl/>
        </w:rPr>
      </w:pPr>
      <w:r w:rsidRPr="008D1BEF">
        <w:rPr>
          <w:rFonts w:eastAsiaTheme="minorEastAsia"/>
          <w:rtl/>
        </w:rPr>
        <w:t>5</w:t>
      </w:r>
      <w:r w:rsidRPr="00F16289">
        <w:rPr>
          <w:rFonts w:eastAsiaTheme="minorEastAsia"/>
          <w:rtl/>
        </w:rPr>
        <w:t>-</w:t>
      </w:r>
      <w:r>
        <w:rPr>
          <w:rFonts w:eastAsiaTheme="minorEastAsia"/>
          <w:rtl/>
        </w:rPr>
        <w:tab/>
      </w:r>
      <w:r w:rsidRPr="00F16289">
        <w:rPr>
          <w:rFonts w:eastAsiaTheme="minorEastAsia"/>
          <w:rtl/>
        </w:rPr>
        <w:t xml:space="preserve">تعرب اللجنة عن أسفها لاستمرار غياب إحصاءات شاملة عن التركيبة الإثنية للسكان، سواء منهم المواطنون </w:t>
      </w:r>
      <w:proofErr w:type="spellStart"/>
      <w:r w:rsidRPr="00F16289">
        <w:rPr>
          <w:rFonts w:eastAsiaTheme="minorEastAsia"/>
          <w:rtl/>
        </w:rPr>
        <w:t>البحرينيون</w:t>
      </w:r>
      <w:proofErr w:type="spellEnd"/>
      <w:r w:rsidRPr="00F16289">
        <w:rPr>
          <w:rFonts w:eastAsiaTheme="minorEastAsia"/>
          <w:rtl/>
        </w:rPr>
        <w:t xml:space="preserve"> أو غير المواطنين، من قبيل طالبي اللجوء، واللاجئين وعديمي الجنسية والمهاجرين، بما في ذلك المؤشرات الاقتصادية والاجتماعية المصنفة (المادتان </w:t>
      </w:r>
      <w:r w:rsidRPr="008D1BEF">
        <w:rPr>
          <w:rFonts w:eastAsiaTheme="minorEastAsia"/>
          <w:rtl/>
        </w:rPr>
        <w:t>1</w:t>
      </w:r>
      <w:r w:rsidRPr="00F16289">
        <w:rPr>
          <w:rFonts w:eastAsiaTheme="minorEastAsia"/>
          <w:rtl/>
        </w:rPr>
        <w:t xml:space="preserve"> و</w:t>
      </w:r>
      <w:r w:rsidR="00652008" w:rsidRPr="008D1BEF">
        <w:rPr>
          <w:rFonts w:eastAsiaTheme="minorEastAsia"/>
          <w:rtl/>
        </w:rPr>
        <w:t>5</w:t>
      </w:r>
      <w:r w:rsidR="00652008" w:rsidRPr="00652008">
        <w:rPr>
          <w:rFonts w:eastAsiaTheme="minorEastAsia"/>
          <w:rtl/>
        </w:rPr>
        <w:t>).</w:t>
      </w:r>
    </w:p>
    <w:p w14:paraId="1783051B" w14:textId="14B75F63" w:rsidR="00F16289" w:rsidRPr="008D1BEF" w:rsidRDefault="00F16289" w:rsidP="00F16289">
      <w:pPr>
        <w:pStyle w:val="SingleTxtGA"/>
        <w:rPr>
          <w:rFonts w:eastAsiaTheme="minorEastAsia"/>
          <w:b/>
          <w:bCs/>
          <w:lang w:val="ar-SA" w:eastAsia="zh-TW" w:bidi="en-GB"/>
        </w:rPr>
      </w:pPr>
      <w:r w:rsidRPr="008D1BEF">
        <w:rPr>
          <w:rFonts w:eastAsiaTheme="minorEastAsia"/>
          <w:rtl/>
        </w:rPr>
        <w:t>6</w:t>
      </w:r>
      <w:r w:rsidRPr="00F16289">
        <w:rPr>
          <w:rFonts w:eastAsiaTheme="minorEastAsia"/>
          <w:rtl/>
        </w:rPr>
        <w:t>-</w:t>
      </w:r>
      <w:r w:rsidRPr="00F16289">
        <w:rPr>
          <w:rFonts w:eastAsiaTheme="minorEastAsia"/>
          <w:rtl/>
        </w:rPr>
        <w:tab/>
      </w:r>
      <w:r w:rsidRPr="008D1BEF">
        <w:rPr>
          <w:rFonts w:eastAsiaTheme="minorEastAsia"/>
          <w:b/>
          <w:bCs/>
          <w:rtl/>
        </w:rPr>
        <w:t>وإذ تشير اللجنة إلى مبادئها التوجيهية للإبلاغ بموجب الاتفاقية</w:t>
      </w:r>
      <w:r w:rsidR="00652008" w:rsidRPr="008D1BEF">
        <w:rPr>
          <w:rStyle w:val="FootnoteReference"/>
          <w:rFonts w:eastAsiaTheme="minorEastAsia"/>
          <w:sz w:val="22"/>
          <w:rtl/>
        </w:rPr>
        <w:t>(</w:t>
      </w:r>
      <w:r w:rsidR="00652008" w:rsidRPr="008D1BEF">
        <w:rPr>
          <w:rStyle w:val="FootnoteReference"/>
          <w:rFonts w:eastAsiaTheme="minorEastAsia"/>
          <w:sz w:val="22"/>
          <w:lang w:val="en-US"/>
        </w:rPr>
        <w:footnoteReference w:id="4"/>
      </w:r>
      <w:r w:rsidR="00652008" w:rsidRPr="008D1BEF">
        <w:rPr>
          <w:rStyle w:val="FootnoteReference"/>
          <w:rFonts w:eastAsiaTheme="minorEastAsia"/>
          <w:sz w:val="22"/>
          <w:rtl/>
        </w:rPr>
        <w:t>)</w:t>
      </w:r>
      <w:r w:rsidR="00652008" w:rsidRPr="008D1BEF">
        <w:rPr>
          <w:rFonts w:eastAsiaTheme="minorEastAsia" w:hint="cs"/>
          <w:b/>
          <w:bCs/>
          <w:rtl/>
        </w:rPr>
        <w:t>،</w:t>
      </w:r>
      <w:r w:rsidRPr="008D1BEF">
        <w:rPr>
          <w:rFonts w:eastAsiaTheme="minorEastAsia"/>
          <w:b/>
          <w:bCs/>
          <w:rtl/>
        </w:rPr>
        <w:t xml:space="preserve"> توصي الدولة الطرف بأن تورد، في تقريرها الدوري المقبل، بيانات مصنفة عن تركيبة السكان الإثنية، بمن فيهم طالبو اللجوء، واللاجئون وعديمو الجنسية، والعمال المهاجرون، وأن تورد إحصاءات عن التمتع بالحقوق الاقتصادية والاجتماعية والثقافية تكون مصنفة حسب الفئة الإثنية والأصل القومي، من أجل إمداد اللجنة بأساس عملي لتقييم مدى المساواة في التمتع بالحقوق بموجب الاتفاقية.</w:t>
      </w:r>
    </w:p>
    <w:p w14:paraId="18679EAC" w14:textId="77777777" w:rsidR="00F16289" w:rsidRPr="008D1BEF" w:rsidRDefault="00F16289" w:rsidP="00F16289">
      <w:pPr>
        <w:pStyle w:val="H23GA"/>
        <w:rPr>
          <w:lang w:val="ar-SA" w:eastAsia="zh-TW" w:bidi="en-GB"/>
        </w:rPr>
      </w:pPr>
      <w:r w:rsidRPr="008D1BEF">
        <w:rPr>
          <w:rtl/>
        </w:rPr>
        <w:tab/>
      </w:r>
      <w:r w:rsidRPr="008D1BEF">
        <w:rPr>
          <w:rtl/>
        </w:rPr>
        <w:tab/>
        <w:t>التطبيق المحلي للاتفاقية</w:t>
      </w:r>
    </w:p>
    <w:p w14:paraId="7C75050A" w14:textId="353BDDAF" w:rsidR="00652008" w:rsidRPr="00652008" w:rsidRDefault="00F16289" w:rsidP="00F16289">
      <w:pPr>
        <w:pStyle w:val="SingleTxtGA"/>
        <w:rPr>
          <w:rFonts w:eastAsiaTheme="minorEastAsia"/>
          <w:lang w:val="ar-SA" w:eastAsia="zh-TW" w:bidi="en-GB"/>
        </w:rPr>
      </w:pPr>
      <w:r w:rsidRPr="008D1BEF">
        <w:rPr>
          <w:rFonts w:eastAsiaTheme="minorEastAsia"/>
          <w:rtl/>
        </w:rPr>
        <w:t>7</w:t>
      </w:r>
      <w:r w:rsidRPr="00F16289">
        <w:rPr>
          <w:rFonts w:eastAsiaTheme="minorEastAsia"/>
          <w:rtl/>
        </w:rPr>
        <w:t>-</w:t>
      </w:r>
      <w:r w:rsidRPr="00F16289">
        <w:rPr>
          <w:rFonts w:eastAsiaTheme="minorEastAsia"/>
          <w:rtl/>
        </w:rPr>
        <w:tab/>
        <w:t>في حين تحيط اللجنة علماً بالتوضيح الذي قدمته الدولة الطرف بأن الاتفاقية لها قوة القانون المحلي، فإنها تأسف لأن المحاكم المحلية لا تحتج بالاتفاقية ولا توجد معلومات عن التدابير المتخذة لزيادة تعريف</w:t>
      </w:r>
      <w:r w:rsidR="00652008">
        <w:rPr>
          <w:rFonts w:eastAsiaTheme="minorEastAsia"/>
          <w:rtl/>
        </w:rPr>
        <w:t xml:space="preserve"> </w:t>
      </w:r>
      <w:r w:rsidRPr="00F16289">
        <w:rPr>
          <w:rFonts w:eastAsiaTheme="minorEastAsia"/>
          <w:rtl/>
        </w:rPr>
        <w:t>السكان بالاتفاقية، ولا عن أثرها. وتأسف اللجنة أيض</w:t>
      </w:r>
      <w:r w:rsidR="00652008">
        <w:rPr>
          <w:rFonts w:eastAsiaTheme="minorEastAsia"/>
          <w:rtl/>
        </w:rPr>
        <w:t xml:space="preserve">اً </w:t>
      </w:r>
      <w:r w:rsidRPr="00F16289">
        <w:rPr>
          <w:rFonts w:eastAsiaTheme="minorEastAsia"/>
          <w:rtl/>
        </w:rPr>
        <w:t xml:space="preserve">لعدم وجود معلومات عن كيفية تسوية أوجه التنازع المحتملة بين القوانين المحلية والاتفاقية (المادة </w:t>
      </w:r>
      <w:r w:rsidR="00652008" w:rsidRPr="008D1BEF">
        <w:rPr>
          <w:rFonts w:eastAsiaTheme="minorEastAsia"/>
          <w:rtl/>
        </w:rPr>
        <w:t>2</w:t>
      </w:r>
      <w:r w:rsidR="00652008" w:rsidRPr="00652008">
        <w:rPr>
          <w:rFonts w:eastAsiaTheme="minorEastAsia"/>
          <w:rtl/>
        </w:rPr>
        <w:t>).</w:t>
      </w:r>
    </w:p>
    <w:p w14:paraId="3CF12633" w14:textId="304F5ACD" w:rsidR="00F16289" w:rsidRPr="008D1BEF" w:rsidRDefault="00F16289" w:rsidP="00F16289">
      <w:pPr>
        <w:pStyle w:val="SingleTxtGA"/>
        <w:rPr>
          <w:rFonts w:eastAsiaTheme="minorEastAsia"/>
          <w:b/>
          <w:bCs/>
          <w:lang w:val="ar-SA" w:eastAsia="zh-TW" w:bidi="en-GB"/>
        </w:rPr>
      </w:pPr>
      <w:r w:rsidRPr="008D1BEF">
        <w:rPr>
          <w:rFonts w:eastAsiaTheme="minorEastAsia"/>
          <w:rtl/>
        </w:rPr>
        <w:t>8</w:t>
      </w:r>
      <w:r w:rsidRPr="00F16289">
        <w:rPr>
          <w:rFonts w:eastAsiaTheme="minorEastAsia"/>
          <w:rtl/>
        </w:rPr>
        <w:t>-</w:t>
      </w:r>
      <w:r w:rsidRPr="00F16289">
        <w:rPr>
          <w:rFonts w:eastAsiaTheme="minorEastAsia"/>
          <w:rtl/>
        </w:rPr>
        <w:tab/>
      </w:r>
      <w:r w:rsidRPr="008D1BEF">
        <w:rPr>
          <w:rFonts w:eastAsiaTheme="minorEastAsia"/>
          <w:b/>
          <w:bCs/>
          <w:rtl/>
        </w:rPr>
        <w:t>توصي اللجنة الدولة الطرف باتخاذ التدابير المناسبة، بما في ذلك من خلال التدريب، من أجل ضمان إلمام القضاة والمدّعين العامين والمحامين والموظفين المكلفين بإنفاذ القوانين بأحكام الاتفاقية بغية تمكينهم من الاحتجاج بها أو تطبيقها، حسب الاقتضاء. وتطلب اللجنة إلى الدولة الطرف أن تدرج في تقريرها الدوري المقبل معلومات محددة عن تطبيق المحاكم المحلية للاتفاقية.</w:t>
      </w:r>
    </w:p>
    <w:p w14:paraId="0A533BF6" w14:textId="77777777" w:rsidR="00F16289" w:rsidRPr="008D1BEF" w:rsidRDefault="00F16289" w:rsidP="00F16289">
      <w:pPr>
        <w:pStyle w:val="H23GA"/>
        <w:rPr>
          <w:lang w:val="ar-SA" w:eastAsia="zh-TW" w:bidi="en-GB"/>
        </w:rPr>
      </w:pPr>
      <w:r w:rsidRPr="008D1BEF">
        <w:rPr>
          <w:rtl/>
        </w:rPr>
        <w:tab/>
      </w:r>
      <w:r w:rsidRPr="008D1BEF">
        <w:rPr>
          <w:rtl/>
        </w:rPr>
        <w:tab/>
        <w:t>الإطار القانوني لمكافحة التمييز العنصري</w:t>
      </w:r>
    </w:p>
    <w:p w14:paraId="54CE4218" w14:textId="2455F6AF" w:rsidR="00652008" w:rsidRPr="00652008" w:rsidRDefault="00F16289" w:rsidP="00F16289">
      <w:pPr>
        <w:pStyle w:val="SingleTxtGA"/>
        <w:rPr>
          <w:rFonts w:eastAsiaTheme="minorEastAsia"/>
          <w:lang w:val="ar-SA" w:eastAsia="zh-TW" w:bidi="en-GB"/>
        </w:rPr>
      </w:pPr>
      <w:r w:rsidRPr="008D1BEF">
        <w:rPr>
          <w:rFonts w:eastAsiaTheme="minorEastAsia"/>
          <w:rtl/>
        </w:rPr>
        <w:t>9</w:t>
      </w:r>
      <w:r w:rsidRPr="00F16289">
        <w:rPr>
          <w:rFonts w:eastAsiaTheme="minorEastAsia"/>
          <w:rtl/>
        </w:rPr>
        <w:t>-</w:t>
      </w:r>
      <w:r w:rsidRPr="00F16289">
        <w:rPr>
          <w:rFonts w:eastAsiaTheme="minorEastAsia"/>
          <w:rtl/>
        </w:rPr>
        <w:tab/>
        <w:t>تحيط اللجنة علم</w:t>
      </w:r>
      <w:r w:rsidR="00652008">
        <w:rPr>
          <w:rFonts w:eastAsiaTheme="minorEastAsia"/>
          <w:rtl/>
        </w:rPr>
        <w:t xml:space="preserve">اً </w:t>
      </w:r>
      <w:r w:rsidRPr="00F16289">
        <w:rPr>
          <w:rFonts w:eastAsiaTheme="minorEastAsia"/>
          <w:rtl/>
        </w:rPr>
        <w:t xml:space="preserve">بالإطار التشريعي العام للدولة الطرف بشأن عدم التمييز. غير أن اللجنة يساورها القلق إزاء عدم وجود تعريف منسق وشامل للتمييز العنصري وعدم وجود حكم محدد يحظر التمييز العنصري المباشر وغير المباشر على جميع الأسس المنصوص عليها في المادة </w:t>
      </w:r>
      <w:r w:rsidRPr="008D1BEF">
        <w:rPr>
          <w:rFonts w:eastAsiaTheme="minorEastAsia"/>
          <w:rtl/>
        </w:rPr>
        <w:t>1</w:t>
      </w:r>
      <w:r w:rsidRPr="00F16289">
        <w:rPr>
          <w:rFonts w:eastAsiaTheme="minorEastAsia"/>
          <w:rtl/>
        </w:rPr>
        <w:t xml:space="preserve"> من الاتفاقية. ويساور اللجنة القلق لأن مشروع التعريف المبلغ عنه الوارد في مشروع القانون المتعلق بمكافحة التمييز </w:t>
      </w:r>
      <w:r w:rsidRPr="00F16289">
        <w:rPr>
          <w:rFonts w:eastAsiaTheme="minorEastAsia"/>
          <w:rtl/>
        </w:rPr>
        <w:lastRenderedPageBreak/>
        <w:t xml:space="preserve">والكراهية والطائفية لا يشمل صراحة التمييز العنصري المباشر وغير المباشر القائم على جميع الأسس، على النحو المنصوص عليه في الاتفاقية، مثل "اللون" و" الأصل" (المواد </w:t>
      </w:r>
      <w:r w:rsidRPr="008D1BEF">
        <w:rPr>
          <w:rFonts w:eastAsiaTheme="minorEastAsia"/>
          <w:rtl/>
        </w:rPr>
        <w:t>1</w:t>
      </w:r>
      <w:r w:rsidRPr="00F16289">
        <w:rPr>
          <w:rFonts w:eastAsiaTheme="minorEastAsia"/>
          <w:rtl/>
        </w:rPr>
        <w:t>-</w:t>
      </w:r>
      <w:r w:rsidRPr="008D1BEF">
        <w:rPr>
          <w:rFonts w:eastAsiaTheme="minorEastAsia"/>
          <w:rtl/>
        </w:rPr>
        <w:t>2</w:t>
      </w:r>
      <w:r w:rsidRPr="00F16289">
        <w:rPr>
          <w:rFonts w:eastAsiaTheme="minorEastAsia"/>
          <w:rtl/>
        </w:rPr>
        <w:t xml:space="preserve"> و</w:t>
      </w:r>
      <w:r w:rsidR="00652008" w:rsidRPr="008D1BEF">
        <w:rPr>
          <w:rFonts w:eastAsiaTheme="minorEastAsia"/>
          <w:rtl/>
        </w:rPr>
        <w:t>5</w:t>
      </w:r>
      <w:r w:rsidR="00652008" w:rsidRPr="00652008">
        <w:rPr>
          <w:rFonts w:eastAsiaTheme="minorEastAsia"/>
          <w:rtl/>
        </w:rPr>
        <w:t>).</w:t>
      </w:r>
    </w:p>
    <w:p w14:paraId="6A82529F" w14:textId="40BDE16B" w:rsidR="00F16289" w:rsidRPr="00F16289" w:rsidRDefault="00F16289" w:rsidP="00F16289">
      <w:pPr>
        <w:pStyle w:val="SingleTxtGA"/>
        <w:rPr>
          <w:rFonts w:eastAsiaTheme="minorEastAsia"/>
          <w:lang w:val="ar-SA" w:eastAsia="zh-TW" w:bidi="en-GB"/>
        </w:rPr>
      </w:pPr>
      <w:r w:rsidRPr="008D1BEF">
        <w:rPr>
          <w:rFonts w:eastAsiaTheme="minorEastAsia"/>
          <w:rtl/>
        </w:rPr>
        <w:t>10</w:t>
      </w:r>
      <w:r w:rsidRPr="00F16289">
        <w:rPr>
          <w:rFonts w:eastAsiaTheme="minorEastAsia"/>
          <w:rtl/>
        </w:rPr>
        <w:t>-</w:t>
      </w:r>
      <w:r w:rsidRPr="00F16289">
        <w:rPr>
          <w:rFonts w:eastAsiaTheme="minorEastAsia"/>
          <w:rtl/>
        </w:rPr>
        <w:tab/>
      </w:r>
      <w:r w:rsidRPr="008D1BEF">
        <w:rPr>
          <w:rFonts w:eastAsiaTheme="minorEastAsia"/>
          <w:b/>
          <w:bCs/>
          <w:rtl/>
        </w:rPr>
        <w:t>وتذكر اللجنة، وهي تكرر ملاحظاتها الختامية السابقة</w:t>
      </w:r>
      <w:r w:rsidR="00652008" w:rsidRPr="008D1BEF">
        <w:rPr>
          <w:rStyle w:val="FootnoteReference"/>
          <w:rFonts w:eastAsiaTheme="minorEastAsia"/>
          <w:sz w:val="22"/>
          <w:rtl/>
        </w:rPr>
        <w:t>(</w:t>
      </w:r>
      <w:r w:rsidR="00652008" w:rsidRPr="008D1BEF">
        <w:rPr>
          <w:rStyle w:val="FootnoteReference"/>
          <w:rFonts w:eastAsiaTheme="minorEastAsia"/>
          <w:sz w:val="22"/>
          <w:lang w:val="en-US"/>
        </w:rPr>
        <w:footnoteReference w:id="5"/>
      </w:r>
      <w:r w:rsidR="00652008" w:rsidRPr="008D1BEF">
        <w:rPr>
          <w:rStyle w:val="FootnoteReference"/>
          <w:rFonts w:eastAsiaTheme="minorEastAsia"/>
          <w:sz w:val="22"/>
          <w:rtl/>
        </w:rPr>
        <w:t>)</w:t>
      </w:r>
      <w:r w:rsidR="00652008" w:rsidRPr="008D1BEF">
        <w:rPr>
          <w:rFonts w:eastAsiaTheme="minorEastAsia"/>
          <w:b/>
          <w:bCs/>
          <w:rtl/>
        </w:rPr>
        <w:t xml:space="preserve">، </w:t>
      </w:r>
      <w:r w:rsidRPr="008D1BEF">
        <w:rPr>
          <w:rFonts w:eastAsiaTheme="minorEastAsia"/>
          <w:b/>
          <w:bCs/>
          <w:rtl/>
        </w:rPr>
        <w:t>بتوصيتها العامة رقم 14(199</w:t>
      </w:r>
      <w:r w:rsidR="00652008" w:rsidRPr="008D1BEF">
        <w:rPr>
          <w:rFonts w:eastAsiaTheme="minorEastAsia"/>
          <w:b/>
          <w:bCs/>
          <w:rtl/>
        </w:rPr>
        <w:t xml:space="preserve">3) </w:t>
      </w:r>
      <w:r w:rsidRPr="008D1BEF">
        <w:rPr>
          <w:rFonts w:eastAsiaTheme="minorEastAsia"/>
          <w:b/>
          <w:bCs/>
          <w:rtl/>
        </w:rPr>
        <w:t>بشأن المادة 1(</w:t>
      </w:r>
      <w:r w:rsidR="00652008" w:rsidRPr="008D1BEF">
        <w:rPr>
          <w:rFonts w:eastAsiaTheme="minorEastAsia"/>
          <w:b/>
          <w:bCs/>
          <w:rtl/>
        </w:rPr>
        <w:t xml:space="preserve">1) </w:t>
      </w:r>
      <w:r w:rsidRPr="008D1BEF">
        <w:rPr>
          <w:rFonts w:eastAsiaTheme="minorEastAsia"/>
          <w:b/>
          <w:bCs/>
          <w:rtl/>
        </w:rPr>
        <w:t>من الاتفاقية، وتوصي الدولة الطرف بأن تدرج في قانونها الوطني تعريف</w:t>
      </w:r>
      <w:r w:rsidR="00652008" w:rsidRPr="008D1BEF">
        <w:rPr>
          <w:rFonts w:eastAsiaTheme="minorEastAsia"/>
          <w:b/>
          <w:bCs/>
          <w:rtl/>
        </w:rPr>
        <w:t xml:space="preserve">اً </w:t>
      </w:r>
      <w:r w:rsidRPr="008D1BEF">
        <w:rPr>
          <w:rFonts w:eastAsiaTheme="minorEastAsia"/>
          <w:b/>
          <w:bCs/>
          <w:rtl/>
        </w:rPr>
        <w:t>للتمييز العنصري يتفق تمام</w:t>
      </w:r>
      <w:r w:rsidR="00652008" w:rsidRPr="008D1BEF">
        <w:rPr>
          <w:rFonts w:eastAsiaTheme="minorEastAsia"/>
          <w:b/>
          <w:bCs/>
          <w:rtl/>
        </w:rPr>
        <w:t xml:space="preserve">اً </w:t>
      </w:r>
      <w:r w:rsidRPr="008D1BEF">
        <w:rPr>
          <w:rFonts w:eastAsiaTheme="minorEastAsia"/>
          <w:b/>
          <w:bCs/>
          <w:rtl/>
        </w:rPr>
        <w:t>مع تلك المادة وأن تكفل حظر تشريعاتها للتمييز العنصري المباشر وغير المباشر</w:t>
      </w:r>
      <w:r w:rsidRPr="00F16289">
        <w:rPr>
          <w:rFonts w:eastAsiaTheme="minorEastAsia"/>
          <w:rtl/>
        </w:rPr>
        <w:t>.</w:t>
      </w:r>
    </w:p>
    <w:p w14:paraId="24A88D08" w14:textId="77777777" w:rsidR="00F16289" w:rsidRPr="008D1BEF" w:rsidRDefault="00F16289" w:rsidP="00F16289">
      <w:pPr>
        <w:pStyle w:val="H23GA"/>
        <w:rPr>
          <w:lang w:val="ar-SA" w:eastAsia="zh-TW" w:bidi="en-GB"/>
        </w:rPr>
      </w:pPr>
      <w:r w:rsidRPr="008D1BEF">
        <w:rPr>
          <w:rtl/>
        </w:rPr>
        <w:tab/>
      </w:r>
      <w:r w:rsidRPr="008D1BEF">
        <w:rPr>
          <w:rtl/>
        </w:rPr>
        <w:tab/>
        <w:t>تدابير خاصة</w:t>
      </w:r>
    </w:p>
    <w:p w14:paraId="378A0B58" w14:textId="6882AECD" w:rsidR="00652008" w:rsidRPr="00652008" w:rsidRDefault="00F16289" w:rsidP="00F16289">
      <w:pPr>
        <w:pStyle w:val="SingleTxtGA"/>
        <w:rPr>
          <w:rFonts w:eastAsiaTheme="minorEastAsia"/>
          <w:lang w:val="ar-SA" w:eastAsia="zh-TW" w:bidi="en-GB"/>
        </w:rPr>
      </w:pPr>
      <w:r w:rsidRPr="008D1BEF">
        <w:rPr>
          <w:rFonts w:eastAsiaTheme="minorEastAsia"/>
          <w:rtl/>
        </w:rPr>
        <w:t>11</w:t>
      </w:r>
      <w:r w:rsidRPr="00F16289">
        <w:rPr>
          <w:rFonts w:eastAsiaTheme="minorEastAsia"/>
          <w:rtl/>
        </w:rPr>
        <w:t>-</w:t>
      </w:r>
      <w:r w:rsidRPr="00F16289">
        <w:rPr>
          <w:rFonts w:eastAsiaTheme="minorEastAsia"/>
          <w:rtl/>
        </w:rPr>
        <w:tab/>
        <w:t xml:space="preserve">لا تزال اللجنة تشعر بالقلق إزاء التقارير المتعلقة بحالة أفراد بعض الجماعات، ولا سيما بعض الطوائف الشيعية، أي طائفتا العجم </w:t>
      </w:r>
      <w:proofErr w:type="spellStart"/>
      <w:r w:rsidRPr="00F16289">
        <w:rPr>
          <w:rFonts w:eastAsiaTheme="minorEastAsia"/>
          <w:rtl/>
        </w:rPr>
        <w:t>والبحارنة</w:t>
      </w:r>
      <w:proofErr w:type="spellEnd"/>
      <w:r w:rsidRPr="00F16289">
        <w:rPr>
          <w:rFonts w:eastAsiaTheme="minorEastAsia"/>
          <w:rtl/>
        </w:rPr>
        <w:t>، التي يمكن تمييزها بحكم أصلها القبلي أو القومي أو نسبها أو ثقافتها أو لغتها، والعمال المهاجرون، الذين تفيد التقارير بأنهم يواجهون تمييز</w:t>
      </w:r>
      <w:r w:rsidR="00652008">
        <w:rPr>
          <w:rFonts w:eastAsiaTheme="minorEastAsia"/>
          <w:rtl/>
        </w:rPr>
        <w:t xml:space="preserve">اً </w:t>
      </w:r>
      <w:r w:rsidRPr="00F16289">
        <w:rPr>
          <w:rFonts w:eastAsiaTheme="minorEastAsia"/>
          <w:rtl/>
        </w:rPr>
        <w:t>مستمر</w:t>
      </w:r>
      <w:r w:rsidR="00652008">
        <w:rPr>
          <w:rFonts w:eastAsiaTheme="minorEastAsia"/>
          <w:rtl/>
        </w:rPr>
        <w:t xml:space="preserve">اً </w:t>
      </w:r>
      <w:r w:rsidRPr="00F16289">
        <w:rPr>
          <w:rFonts w:eastAsiaTheme="minorEastAsia"/>
          <w:rtl/>
        </w:rPr>
        <w:t>في التمتع بحقوق الإنسان الخاصة بهم، ولا سيما في الحصول على التعليم والعمل وممارسة حقوقهم الثقافية. ويساور اللجنة القلق أيض</w:t>
      </w:r>
      <w:r w:rsidR="00652008">
        <w:rPr>
          <w:rFonts w:eastAsiaTheme="minorEastAsia"/>
          <w:rtl/>
        </w:rPr>
        <w:t xml:space="preserve">اً </w:t>
      </w:r>
      <w:r w:rsidRPr="00F16289">
        <w:rPr>
          <w:rFonts w:eastAsiaTheme="minorEastAsia"/>
          <w:rtl/>
        </w:rPr>
        <w:t xml:space="preserve">إزاء عدم وجود معلومات عن التدابير الخاصة التي اتخذتها الدولة الطرف للتصدي للتمييز الهيكلي الذي تواجهه هذه الفئات (المادتان </w:t>
      </w:r>
      <w:r w:rsidRPr="008D1BEF">
        <w:rPr>
          <w:rFonts w:eastAsiaTheme="minorEastAsia"/>
          <w:rtl/>
        </w:rPr>
        <w:t>2</w:t>
      </w:r>
      <w:r w:rsidRPr="00F16289">
        <w:rPr>
          <w:rFonts w:eastAsiaTheme="minorEastAsia"/>
          <w:rtl/>
        </w:rPr>
        <w:t xml:space="preserve"> و</w:t>
      </w:r>
      <w:r w:rsidR="00652008" w:rsidRPr="008D1BEF">
        <w:rPr>
          <w:rFonts w:eastAsiaTheme="minorEastAsia"/>
          <w:rtl/>
        </w:rPr>
        <w:t>5</w:t>
      </w:r>
      <w:r w:rsidR="00652008" w:rsidRPr="00652008">
        <w:rPr>
          <w:rFonts w:eastAsiaTheme="minorEastAsia"/>
          <w:rtl/>
        </w:rPr>
        <w:t>).</w:t>
      </w:r>
    </w:p>
    <w:p w14:paraId="6EF77384" w14:textId="3ABB5DA4" w:rsidR="00F16289" w:rsidRPr="008D1BEF" w:rsidRDefault="00F16289" w:rsidP="00F16289">
      <w:pPr>
        <w:pStyle w:val="SingleTxtGA"/>
        <w:rPr>
          <w:rFonts w:eastAsiaTheme="minorEastAsia"/>
          <w:b/>
          <w:bCs/>
          <w:lang w:val="ar-SA" w:eastAsia="zh-TW" w:bidi="en-GB"/>
        </w:rPr>
      </w:pPr>
      <w:r w:rsidRPr="008D1BEF">
        <w:rPr>
          <w:rFonts w:eastAsiaTheme="minorEastAsia"/>
          <w:rtl/>
        </w:rPr>
        <w:t>12</w:t>
      </w:r>
      <w:r w:rsidRPr="00F16289">
        <w:rPr>
          <w:rFonts w:eastAsiaTheme="minorEastAsia"/>
          <w:rtl/>
        </w:rPr>
        <w:t>-</w:t>
      </w:r>
      <w:r w:rsidRPr="00F16289">
        <w:rPr>
          <w:rFonts w:eastAsiaTheme="minorEastAsia"/>
          <w:rtl/>
        </w:rPr>
        <w:tab/>
      </w:r>
      <w:r w:rsidRPr="008D1BEF">
        <w:rPr>
          <w:rFonts w:eastAsiaTheme="minorEastAsia"/>
          <w:b/>
          <w:bCs/>
          <w:rtl/>
        </w:rPr>
        <w:t>وإذ تشير اللجنة إلى ملاحظاتها الختامية السابقة</w:t>
      </w:r>
      <w:r w:rsidR="00652008" w:rsidRPr="008D1BEF">
        <w:rPr>
          <w:vertAlign w:val="superscript"/>
          <w:rtl/>
        </w:rPr>
        <w:t>(</w:t>
      </w:r>
      <w:r w:rsidR="00652008" w:rsidRPr="008D1BEF">
        <w:rPr>
          <w:vertAlign w:val="superscript"/>
          <w:lang w:val="en-US"/>
        </w:rPr>
        <w:footnoteReference w:id="6"/>
      </w:r>
      <w:r w:rsidR="00652008" w:rsidRPr="008D1BEF">
        <w:rPr>
          <w:vertAlign w:val="superscript"/>
          <w:rtl/>
        </w:rPr>
        <w:t>)</w:t>
      </w:r>
      <w:r w:rsidRPr="008D1BEF">
        <w:rPr>
          <w:rFonts w:eastAsiaTheme="minorEastAsia"/>
          <w:b/>
          <w:bCs/>
          <w:rtl/>
        </w:rPr>
        <w:t> وتوصيتها العامة رقم 32(200</w:t>
      </w:r>
      <w:r w:rsidR="00652008" w:rsidRPr="008D1BEF">
        <w:rPr>
          <w:rFonts w:eastAsiaTheme="minorEastAsia"/>
          <w:b/>
          <w:bCs/>
          <w:rtl/>
        </w:rPr>
        <w:t xml:space="preserve">9) </w:t>
      </w:r>
      <w:r w:rsidRPr="008D1BEF">
        <w:rPr>
          <w:rFonts w:eastAsiaTheme="minorEastAsia"/>
          <w:b/>
          <w:bCs/>
          <w:rtl/>
        </w:rPr>
        <w:t>بشأن معنى ونطاق التدابير الخاصة الواردة في الاتفاقية، فإنها توصي بأن تتخذ الدولة الطرف جميع التدابير الخاصة اللازمة للتصدي للتمييز الهيكلي القائم الذي تواجهه تلك الفئات في التمتع بحقوقها، وفق</w:t>
      </w:r>
      <w:r w:rsidR="00652008" w:rsidRPr="008D1BEF">
        <w:rPr>
          <w:rFonts w:eastAsiaTheme="minorEastAsia"/>
          <w:b/>
          <w:bCs/>
          <w:rtl/>
        </w:rPr>
        <w:t xml:space="preserve">اً </w:t>
      </w:r>
      <w:r w:rsidRPr="008D1BEF">
        <w:rPr>
          <w:rFonts w:eastAsiaTheme="minorEastAsia"/>
          <w:b/>
          <w:bCs/>
          <w:rtl/>
        </w:rPr>
        <w:t>للمادتين 1(4</w:t>
      </w:r>
      <w:r w:rsidR="00652008" w:rsidRPr="008D1BEF">
        <w:rPr>
          <w:rFonts w:eastAsiaTheme="minorEastAsia"/>
          <w:b/>
          <w:bCs/>
          <w:rtl/>
        </w:rPr>
        <w:t xml:space="preserve">)، </w:t>
      </w:r>
      <w:r w:rsidRPr="008D1BEF">
        <w:rPr>
          <w:rFonts w:eastAsiaTheme="minorEastAsia"/>
          <w:b/>
          <w:bCs/>
          <w:rtl/>
        </w:rPr>
        <w:t>و2(</w:t>
      </w:r>
      <w:r w:rsidR="00652008" w:rsidRPr="008D1BEF">
        <w:rPr>
          <w:rFonts w:eastAsiaTheme="minorEastAsia"/>
          <w:b/>
          <w:bCs/>
          <w:rtl/>
        </w:rPr>
        <w:t xml:space="preserve">2) </w:t>
      </w:r>
      <w:r w:rsidRPr="008D1BEF">
        <w:rPr>
          <w:rFonts w:eastAsiaTheme="minorEastAsia"/>
          <w:b/>
          <w:bCs/>
          <w:rtl/>
        </w:rPr>
        <w:t>والمادة 5 من الاتفاقية.</w:t>
      </w:r>
    </w:p>
    <w:p w14:paraId="26177BAD" w14:textId="77777777" w:rsidR="00F16289" w:rsidRPr="008D1BEF" w:rsidRDefault="00F16289" w:rsidP="00F16289">
      <w:pPr>
        <w:pStyle w:val="H23GA"/>
        <w:rPr>
          <w:lang w:val="ar-SA" w:eastAsia="zh-TW" w:bidi="en-GB"/>
        </w:rPr>
      </w:pPr>
      <w:r w:rsidRPr="008D1BEF">
        <w:rPr>
          <w:rtl/>
        </w:rPr>
        <w:tab/>
      </w:r>
      <w:r w:rsidRPr="008D1BEF">
        <w:rPr>
          <w:rtl/>
        </w:rPr>
        <w:tab/>
        <w:t>المؤسسة الوطنية لحقوق الإنسان</w:t>
      </w:r>
    </w:p>
    <w:p w14:paraId="76077B0E" w14:textId="5B7F6858" w:rsidR="00652008" w:rsidRPr="00652008" w:rsidRDefault="00F16289" w:rsidP="00F16289">
      <w:pPr>
        <w:pStyle w:val="SingleTxtGA"/>
        <w:rPr>
          <w:rFonts w:eastAsiaTheme="minorEastAsia"/>
          <w:lang w:val="ar-SA" w:eastAsia="zh-TW" w:bidi="en-GB"/>
        </w:rPr>
      </w:pPr>
      <w:r w:rsidRPr="008D1BEF">
        <w:rPr>
          <w:rFonts w:eastAsiaTheme="minorEastAsia"/>
          <w:rtl/>
        </w:rPr>
        <w:t>13</w:t>
      </w:r>
      <w:r w:rsidRPr="00F16289">
        <w:rPr>
          <w:rFonts w:eastAsiaTheme="minorEastAsia"/>
          <w:rtl/>
        </w:rPr>
        <w:t>-</w:t>
      </w:r>
      <w:r w:rsidRPr="00F16289">
        <w:rPr>
          <w:rFonts w:eastAsiaTheme="minorEastAsia"/>
          <w:rtl/>
        </w:rPr>
        <w:tab/>
        <w:t xml:space="preserve">تلاحظ اللجنة إنشاء المؤسسة الوطنية لحقوق الإنسان والتدابير المتخذة لتعزيزها، لكنها تشعر بالقلق لأنها لا تزال معتمَدة منذ أيار/مايو </w:t>
      </w:r>
      <w:r w:rsidRPr="008D1BEF">
        <w:rPr>
          <w:rFonts w:eastAsiaTheme="minorEastAsia"/>
          <w:rtl/>
        </w:rPr>
        <w:t>2016</w:t>
      </w:r>
      <w:r w:rsidRPr="00F16289">
        <w:rPr>
          <w:rFonts w:eastAsiaTheme="minorEastAsia"/>
          <w:rtl/>
        </w:rPr>
        <w:t xml:space="preserve"> على أساس المركز باء من قبل اللجنة الفرعية المعنية بالاعتماد التابعة للتحالف العالمي للمؤسسات الوطنية لحقوق الإنسان، بسبب عدم استقلالها عن الحكومة في هيكلها وتكوينها وصنع القرار فيها وطريقة عملها، وغياب عملية اختيار وتعيين شفافة وعدم إحرازها بعدُ للاستقلال المطلوب لأداء وظائفها (المادة </w:t>
      </w:r>
      <w:r w:rsidR="00652008" w:rsidRPr="008D1BEF">
        <w:rPr>
          <w:rFonts w:eastAsiaTheme="minorEastAsia"/>
          <w:rtl/>
        </w:rPr>
        <w:t>2</w:t>
      </w:r>
      <w:r w:rsidR="00652008" w:rsidRPr="00652008">
        <w:rPr>
          <w:rFonts w:eastAsiaTheme="minorEastAsia"/>
          <w:rtl/>
        </w:rPr>
        <w:t>).</w:t>
      </w:r>
    </w:p>
    <w:p w14:paraId="3A5BCF94" w14:textId="1808C96A" w:rsidR="00F16289" w:rsidRPr="00F16289" w:rsidRDefault="00F16289" w:rsidP="00F16289">
      <w:pPr>
        <w:pStyle w:val="SingleTxtGA"/>
        <w:rPr>
          <w:rFonts w:eastAsiaTheme="minorEastAsia"/>
          <w:lang w:val="ar-SA" w:eastAsia="zh-TW" w:bidi="en-GB"/>
        </w:rPr>
      </w:pPr>
      <w:r w:rsidRPr="008D1BEF">
        <w:rPr>
          <w:rFonts w:eastAsiaTheme="minorEastAsia"/>
          <w:rtl/>
        </w:rPr>
        <w:t>14</w:t>
      </w:r>
      <w:r w:rsidRPr="00F16289">
        <w:rPr>
          <w:rFonts w:eastAsiaTheme="minorEastAsia"/>
          <w:rtl/>
        </w:rPr>
        <w:t>-</w:t>
      </w:r>
      <w:r w:rsidRPr="00F16289">
        <w:rPr>
          <w:rFonts w:eastAsiaTheme="minorEastAsia"/>
          <w:rtl/>
        </w:rPr>
        <w:tab/>
      </w:r>
      <w:r w:rsidRPr="008D1BEF">
        <w:rPr>
          <w:rFonts w:eastAsiaTheme="minorEastAsia"/>
          <w:b/>
          <w:bCs/>
          <w:rtl/>
        </w:rPr>
        <w:t>توصي اللجنة الدولة الطرف بمواصلة تعزيز استقلالية المؤسسة الوطنية لحقوق الإنسان لضمان امتثالها التام للمبادئ المتعلقة بمركز المؤسسات الوطنية لتعزيز وحماية حقوق الإنسان (مبادئ باريس) وتمكينها من الاضطلاع بولايتها بشكل كامل وفعال ومستقل.</w:t>
      </w:r>
    </w:p>
    <w:p w14:paraId="6F373CB3" w14:textId="77777777" w:rsidR="00F16289" w:rsidRPr="008D1BEF" w:rsidRDefault="00F16289" w:rsidP="00F16289">
      <w:pPr>
        <w:pStyle w:val="H23GA"/>
        <w:rPr>
          <w:lang w:val="ar-SA" w:eastAsia="zh-TW" w:bidi="en-GB"/>
        </w:rPr>
      </w:pPr>
      <w:r w:rsidRPr="008D1BEF">
        <w:rPr>
          <w:rtl/>
        </w:rPr>
        <w:tab/>
      </w:r>
      <w:r w:rsidRPr="008D1BEF">
        <w:rPr>
          <w:rtl/>
        </w:rPr>
        <w:tab/>
        <w:t>الشكاوى المتعلقة بالتمييز العنصري والوصول إلى العدالة</w:t>
      </w:r>
    </w:p>
    <w:p w14:paraId="74E07F99" w14:textId="573B947A" w:rsidR="00652008" w:rsidRPr="00652008" w:rsidRDefault="00F16289" w:rsidP="00F16289">
      <w:pPr>
        <w:pStyle w:val="SingleTxtGA"/>
        <w:rPr>
          <w:rFonts w:eastAsiaTheme="minorEastAsia"/>
          <w:lang w:val="ar-SA" w:eastAsia="zh-TW" w:bidi="en-GB"/>
        </w:rPr>
      </w:pPr>
      <w:r w:rsidRPr="008D1BEF">
        <w:rPr>
          <w:rFonts w:eastAsiaTheme="minorEastAsia"/>
          <w:rtl/>
        </w:rPr>
        <w:t>15</w:t>
      </w:r>
      <w:r w:rsidRPr="00F16289">
        <w:rPr>
          <w:rFonts w:eastAsiaTheme="minorEastAsia"/>
          <w:rtl/>
        </w:rPr>
        <w:t>-</w:t>
      </w:r>
      <w:r w:rsidRPr="00F16289">
        <w:rPr>
          <w:rFonts w:eastAsiaTheme="minorEastAsia"/>
          <w:rtl/>
        </w:rPr>
        <w:tab/>
        <w:t>تأسف اللجنة لعدم وجود قضايا تمييز عنصري احتج فيها بالاتفاقية في المحاكم الوطنية. وتأسف اللجنة أيض</w:t>
      </w:r>
      <w:r w:rsidR="00652008">
        <w:rPr>
          <w:rFonts w:eastAsiaTheme="minorEastAsia"/>
          <w:rtl/>
        </w:rPr>
        <w:t xml:space="preserve">اً </w:t>
      </w:r>
      <w:r w:rsidRPr="00F16289">
        <w:rPr>
          <w:rFonts w:eastAsiaTheme="minorEastAsia"/>
          <w:rtl/>
        </w:rPr>
        <w:t xml:space="preserve">لعدم وجود معلومات مفصلة عن شكاوى من التمييز العنصري مقدَّمة إلى جميع السلطات المختصة في الدولة الطرف، مثل أعداد الشكاوى المقدمة وأنواعها ونتائجها (المواد </w:t>
      </w:r>
      <w:r w:rsidRPr="008D1BEF">
        <w:rPr>
          <w:rFonts w:eastAsiaTheme="minorEastAsia"/>
          <w:rtl/>
        </w:rPr>
        <w:t>6</w:t>
      </w:r>
      <w:r w:rsidRPr="00F16289">
        <w:rPr>
          <w:rFonts w:eastAsiaTheme="minorEastAsia"/>
          <w:rtl/>
        </w:rPr>
        <w:t>-</w:t>
      </w:r>
      <w:r w:rsidR="00652008" w:rsidRPr="008D1BEF">
        <w:rPr>
          <w:rFonts w:eastAsiaTheme="minorEastAsia"/>
          <w:rtl/>
        </w:rPr>
        <w:t>7</w:t>
      </w:r>
      <w:r w:rsidR="00652008" w:rsidRPr="00652008">
        <w:rPr>
          <w:rFonts w:eastAsiaTheme="minorEastAsia"/>
          <w:rtl/>
        </w:rPr>
        <w:t>).</w:t>
      </w:r>
    </w:p>
    <w:p w14:paraId="3ECE94A9" w14:textId="642613F2" w:rsidR="00F16289" w:rsidRPr="00F16289" w:rsidRDefault="00F16289" w:rsidP="00F16289">
      <w:pPr>
        <w:pStyle w:val="SingleTxtGA"/>
        <w:rPr>
          <w:rFonts w:eastAsiaTheme="minorEastAsia"/>
          <w:lang w:val="ar-SA" w:eastAsia="zh-TW" w:bidi="en-GB"/>
        </w:rPr>
      </w:pPr>
      <w:r w:rsidRPr="008D1BEF">
        <w:rPr>
          <w:rFonts w:eastAsiaTheme="minorEastAsia"/>
          <w:rtl/>
        </w:rPr>
        <w:t>16</w:t>
      </w:r>
      <w:r w:rsidRPr="00F16289">
        <w:rPr>
          <w:rFonts w:eastAsiaTheme="minorEastAsia"/>
          <w:rtl/>
        </w:rPr>
        <w:t>-</w:t>
      </w:r>
      <w:r w:rsidRPr="00F16289">
        <w:rPr>
          <w:rFonts w:eastAsiaTheme="minorEastAsia"/>
          <w:rtl/>
        </w:rPr>
        <w:tab/>
      </w:r>
      <w:r w:rsidRPr="008D1BEF">
        <w:rPr>
          <w:rFonts w:eastAsiaTheme="minorEastAsia"/>
          <w:b/>
          <w:bCs/>
          <w:rtl/>
        </w:rPr>
        <w:t>وتشير اللجنة إلى توصيتها العامة رقم 31(200</w:t>
      </w:r>
      <w:r w:rsidR="00652008" w:rsidRPr="008D1BEF">
        <w:rPr>
          <w:rFonts w:eastAsiaTheme="minorEastAsia"/>
          <w:b/>
          <w:bCs/>
          <w:rtl/>
        </w:rPr>
        <w:t xml:space="preserve">5) </w:t>
      </w:r>
      <w:r w:rsidRPr="008D1BEF">
        <w:rPr>
          <w:rFonts w:eastAsiaTheme="minorEastAsia"/>
          <w:b/>
          <w:bCs/>
          <w:rtl/>
        </w:rPr>
        <w:t>بشأن منع التمييز العنصري في إدارة وسير عمل نظام العدالة الجنائية، وتطلب إلى الدولة الطرف أن تدرج في تقريرها الدوري المقبل</w:t>
      </w:r>
      <w:r w:rsidR="006022B2" w:rsidRPr="008D1BEF">
        <w:rPr>
          <w:rFonts w:eastAsiaTheme="minorEastAsia" w:hint="cs"/>
          <w:b/>
          <w:bCs/>
          <w:rtl/>
        </w:rPr>
        <w:t> </w:t>
      </w:r>
      <w:r w:rsidRPr="008D1BEF">
        <w:rPr>
          <w:rFonts w:eastAsiaTheme="minorEastAsia"/>
          <w:b/>
          <w:bCs/>
          <w:rtl/>
        </w:rPr>
        <w:t xml:space="preserve">معلومات عن قضايا التمييز العنصري والقضايا التي احتج فيها بالاتفاقية أمام المحاكم الوطنية، </w:t>
      </w:r>
      <w:r w:rsidRPr="008D1BEF">
        <w:rPr>
          <w:rFonts w:eastAsiaTheme="minorEastAsia"/>
          <w:b/>
          <w:bCs/>
          <w:rtl/>
        </w:rPr>
        <w:lastRenderedPageBreak/>
        <w:t>بما في ذلك بيانات إحصائية عن عدد شكاوى التمييز العنصري وأنواعها وعن عدد الملاحقات القضائية وأحكام إدانة الجناة، مصنفةً حسب سن الضحايا وهويتهم الجنسانية وأصلهم الإثني والقومي، ومعلومات عن التعويضات المقدمة إلى الضحايا. وتذكر اللجنة الدولة الطرف بأن عدم وجود قضايا أو شكاوى أو</w:t>
      </w:r>
      <w:r w:rsidR="006022B2" w:rsidRPr="008D1BEF">
        <w:rPr>
          <w:rFonts w:eastAsiaTheme="minorEastAsia" w:hint="cs"/>
          <w:b/>
          <w:bCs/>
          <w:rtl/>
        </w:rPr>
        <w:t> </w:t>
      </w:r>
      <w:r w:rsidRPr="008D1BEF">
        <w:rPr>
          <w:rFonts w:eastAsiaTheme="minorEastAsia"/>
          <w:b/>
          <w:bCs/>
          <w:rtl/>
        </w:rPr>
        <w:t>قلة عددها لا يعني عدم وجود تمييز عنصري في الدولة الطرف، بل إنه قد يشير إلى وجود عقبات تحول دون الاحتجاج أمام المحاكم المحلية بالحقوق المنصوص عليها في الاتفاقية، بما في ذلك تدني الوعي العام بهذه الحقوق وبالأساليب المتاحة لالتماس سبل الانتصاف القضائية. ولذلك توصي اللجنة الدولة الطرف بتنظيم حملات تثقيف عامة بشأن الحقوق المنصوص عليها في الاتفاقية وكيفية رفع شكاوى التمييز العنصري وانتهاكات حقوق العمال، لا سيما في حالة غير المواطنين، بمن فيهم العمال المنزليون المهاجرون وغيرهم من العمال المهاجرين، ومواصلة الجهود الرامية إلى ضمان الوصول إلى سبل الانتصاف القضائية</w:t>
      </w:r>
      <w:r w:rsidRPr="00F16289">
        <w:rPr>
          <w:rFonts w:eastAsiaTheme="minorEastAsia"/>
          <w:rtl/>
        </w:rPr>
        <w:t>.</w:t>
      </w:r>
    </w:p>
    <w:p w14:paraId="1629FE0D" w14:textId="77777777" w:rsidR="00F16289" w:rsidRPr="008D1BEF" w:rsidRDefault="00F16289" w:rsidP="00F16289">
      <w:pPr>
        <w:pStyle w:val="H23GA"/>
        <w:rPr>
          <w:lang w:val="ar-SA" w:eastAsia="zh-TW" w:bidi="en-GB"/>
        </w:rPr>
      </w:pPr>
      <w:r w:rsidRPr="008D1BEF">
        <w:rPr>
          <w:rtl/>
        </w:rPr>
        <w:tab/>
      </w:r>
      <w:r w:rsidRPr="008D1BEF">
        <w:rPr>
          <w:rtl/>
        </w:rPr>
        <w:tab/>
        <w:t>خطاب الكراهية العنصرية والجرائم المرتكبة بدافع الكراهية</w:t>
      </w:r>
    </w:p>
    <w:p w14:paraId="6403E65A" w14:textId="7B9337E4" w:rsidR="00F16289" w:rsidRPr="00F16289" w:rsidRDefault="00F16289" w:rsidP="00F16289">
      <w:pPr>
        <w:pStyle w:val="SingleTxtGA"/>
        <w:rPr>
          <w:rFonts w:eastAsiaTheme="minorEastAsia"/>
          <w:lang w:val="ar-SA" w:eastAsia="zh-TW" w:bidi="en-GB"/>
        </w:rPr>
      </w:pPr>
      <w:bookmarkStart w:id="1" w:name="_Hlk118730784"/>
      <w:r w:rsidRPr="008D1BEF">
        <w:rPr>
          <w:rFonts w:eastAsiaTheme="minorEastAsia"/>
          <w:rtl/>
        </w:rPr>
        <w:t>17</w:t>
      </w:r>
      <w:r w:rsidRPr="00F16289">
        <w:rPr>
          <w:rFonts w:eastAsiaTheme="minorEastAsia"/>
          <w:rtl/>
        </w:rPr>
        <w:t>-</w:t>
      </w:r>
      <w:r w:rsidRPr="00F16289">
        <w:rPr>
          <w:rFonts w:eastAsiaTheme="minorEastAsia"/>
          <w:rtl/>
        </w:rPr>
        <w:tab/>
        <w:t xml:space="preserve">تلاحظ اللجنة الجهود التي تبذلها الدولة الطرف لمكافحة خطاب الكراهية العنصرية. غير أنها تشعر بالقلق لأن نص المادة </w:t>
      </w:r>
      <w:r w:rsidRPr="008D1BEF">
        <w:rPr>
          <w:rFonts w:eastAsiaTheme="minorEastAsia"/>
          <w:rtl/>
        </w:rPr>
        <w:t>172</w:t>
      </w:r>
      <w:r w:rsidRPr="00F16289">
        <w:rPr>
          <w:rFonts w:eastAsiaTheme="minorEastAsia"/>
          <w:rtl/>
        </w:rPr>
        <w:t xml:space="preserve"> من قانون العقوبات لا يشمل جميع الأفعال المحددة في المادة </w:t>
      </w:r>
      <w:r w:rsidRPr="008D1BEF">
        <w:rPr>
          <w:rFonts w:eastAsiaTheme="minorEastAsia"/>
          <w:rtl/>
        </w:rPr>
        <w:t>4</w:t>
      </w:r>
      <w:r w:rsidRPr="00F16289">
        <w:rPr>
          <w:rFonts w:eastAsiaTheme="minorEastAsia"/>
          <w:rtl/>
        </w:rPr>
        <w:t xml:space="preserve"> من الاتفاقية، ولا سيما نشر الأفكار القائمة على التفوق العنصري أو الكراهية العنصرية، أو التحريض على العنف، أو التحريض على العنف العنصري، والمشاركة في المنظمات العنصرية والأنشطة الدعائية العنصرية. وبالإضافة إلى ذلك، يساور اللجنة القلق لأن اشتراط ارتكاب الفعل "علنا" بموجب المادة </w:t>
      </w:r>
      <w:r w:rsidRPr="008D1BEF">
        <w:rPr>
          <w:rFonts w:eastAsiaTheme="minorEastAsia"/>
          <w:rtl/>
        </w:rPr>
        <w:t>172</w:t>
      </w:r>
      <w:r w:rsidRPr="00F16289">
        <w:rPr>
          <w:rFonts w:eastAsiaTheme="minorEastAsia"/>
          <w:rtl/>
        </w:rPr>
        <w:t xml:space="preserve"> قد يضعف تطبيق هذا الحكم. ويساور اللجنة القلق لأنه على الرغم مما أبلغ عنه من انتشار ممارسة جرائم الكراهية بدافع التحيز العنصري في الدولة الطرف، لم تكن هناك معلومات مفصلة عن تنفيذ الأحكام القانونية التي تحظر جرائم الكراهية وخطاب الكراهية وعن أثر تلك الأحكام، بما في ذلك البيانات المصنفة بشأن الشكاوى والتحقيقات والملاحقات القضائية والأحكام المفروضة. ويساور اللجنة القلق أيض</w:t>
      </w:r>
      <w:r w:rsidR="00652008">
        <w:rPr>
          <w:rFonts w:eastAsiaTheme="minorEastAsia"/>
          <w:rtl/>
        </w:rPr>
        <w:t xml:space="preserve">اً </w:t>
      </w:r>
      <w:r w:rsidRPr="00F16289">
        <w:rPr>
          <w:rFonts w:eastAsiaTheme="minorEastAsia"/>
          <w:rtl/>
        </w:rPr>
        <w:t xml:space="preserve">لأن المادة </w:t>
      </w:r>
      <w:r w:rsidRPr="008D1BEF">
        <w:rPr>
          <w:rFonts w:eastAsiaTheme="minorEastAsia"/>
          <w:rtl/>
        </w:rPr>
        <w:t>75</w:t>
      </w:r>
      <w:r w:rsidRPr="00F16289">
        <w:rPr>
          <w:rFonts w:eastAsiaTheme="minorEastAsia"/>
          <w:rtl/>
        </w:rPr>
        <w:t xml:space="preserve"> من قانون العقوبات قد لا تشكل أساساً قانونياً لاعتبار الدوافع العنصرية ظرفَ تشديدٍ في الأعمال الإجرامية (المادة </w:t>
      </w:r>
      <w:r w:rsidRPr="008D1BEF">
        <w:rPr>
          <w:rFonts w:eastAsiaTheme="minorEastAsia"/>
          <w:rtl/>
        </w:rPr>
        <w:t>4</w:t>
      </w:r>
      <w:r w:rsidR="00652008" w:rsidRPr="00652008">
        <w:rPr>
          <w:rFonts w:eastAsiaTheme="minorEastAsia"/>
          <w:rtl/>
        </w:rPr>
        <w:t xml:space="preserve">)، </w:t>
      </w:r>
      <w:r w:rsidRPr="00F16289">
        <w:rPr>
          <w:rFonts w:eastAsiaTheme="minorEastAsia"/>
          <w:rtl/>
        </w:rPr>
        <w:t>في غياب حكم صريح واجتهاد قضائي.</w:t>
      </w:r>
      <w:bookmarkEnd w:id="1"/>
    </w:p>
    <w:p w14:paraId="04A8FC4A" w14:textId="085E8F4F" w:rsidR="00F16289" w:rsidRPr="00F16289" w:rsidRDefault="00F16289" w:rsidP="00F16289">
      <w:pPr>
        <w:pStyle w:val="SingleTxtGA"/>
        <w:rPr>
          <w:rFonts w:eastAsiaTheme="minorEastAsia"/>
          <w:lang w:val="ar-SA" w:eastAsia="zh-TW" w:bidi="en-GB"/>
        </w:rPr>
      </w:pPr>
      <w:r w:rsidRPr="008D1BEF">
        <w:rPr>
          <w:rFonts w:eastAsiaTheme="minorEastAsia"/>
          <w:rtl/>
        </w:rPr>
        <w:t>18</w:t>
      </w:r>
      <w:r w:rsidRPr="00F16289">
        <w:rPr>
          <w:rFonts w:eastAsiaTheme="minorEastAsia"/>
          <w:rtl/>
        </w:rPr>
        <w:t>-</w:t>
      </w:r>
      <w:r w:rsidRPr="00F16289">
        <w:rPr>
          <w:rFonts w:eastAsiaTheme="minorEastAsia"/>
          <w:rtl/>
        </w:rPr>
        <w:tab/>
      </w:r>
      <w:r w:rsidRPr="008D1BEF">
        <w:rPr>
          <w:rFonts w:eastAsiaTheme="minorEastAsia"/>
          <w:b/>
          <w:bCs/>
          <w:rtl/>
        </w:rPr>
        <w:t>توصي اللجنة، في ضوء توصيتها العامة رقم 35(201</w:t>
      </w:r>
      <w:r w:rsidR="00652008" w:rsidRPr="008D1BEF">
        <w:rPr>
          <w:rFonts w:eastAsiaTheme="minorEastAsia"/>
          <w:b/>
          <w:bCs/>
          <w:rtl/>
        </w:rPr>
        <w:t xml:space="preserve">3) </w:t>
      </w:r>
      <w:r w:rsidRPr="008D1BEF">
        <w:rPr>
          <w:rFonts w:eastAsiaTheme="minorEastAsia"/>
          <w:b/>
          <w:bCs/>
          <w:rtl/>
        </w:rPr>
        <w:t>بشأن مكافحة خطاب الكراهية العنصرية، بأن توائم الدولة الطرف تشريعها المتعلق بخطاب الكراهية العنصرية مع المادة 4 من الاتفاقية. كما توصي اللجنة الدولة الطرف بأن تقدم، في تقريرها الدوري المقبل، معلومات مفصلة عن النصوص التطبيقية التي تحظر جرائم الكراهية وخطاب الكراهية، بما في ذلك بيانات مفصلة عن الشكاوى والتحقيقات والملاحقات القضائية والعقوبات المحكوم بها. وتوصي اللجنة الدولة الطرف كذلك بالاعتراف بالدوافع العنصرية بوصفها ظرف تشديد في جميع الأفعال المجرمة بموجب قانون العقوبات</w:t>
      </w:r>
      <w:r w:rsidRPr="00F16289">
        <w:rPr>
          <w:rFonts w:eastAsiaTheme="minorEastAsia"/>
          <w:rtl/>
        </w:rPr>
        <w:t>.</w:t>
      </w:r>
    </w:p>
    <w:p w14:paraId="61E36471" w14:textId="77777777" w:rsidR="00F16289" w:rsidRPr="008D1BEF" w:rsidRDefault="00F16289" w:rsidP="00F16289">
      <w:pPr>
        <w:pStyle w:val="H23GA"/>
        <w:rPr>
          <w:lang w:val="ar-SA" w:eastAsia="zh-TW" w:bidi="en-GB"/>
        </w:rPr>
      </w:pPr>
      <w:r w:rsidRPr="008D1BEF">
        <w:rPr>
          <w:rtl/>
        </w:rPr>
        <w:tab/>
      </w:r>
      <w:r w:rsidRPr="008D1BEF">
        <w:rPr>
          <w:rtl/>
        </w:rPr>
        <w:tab/>
        <w:t>منظمات المجتمع المدني</w:t>
      </w:r>
    </w:p>
    <w:p w14:paraId="745838D1" w14:textId="2C81BF9B" w:rsidR="00652008" w:rsidRPr="00652008" w:rsidRDefault="00F16289" w:rsidP="00F16289">
      <w:pPr>
        <w:pStyle w:val="SingleTxtGA"/>
        <w:rPr>
          <w:rFonts w:eastAsiaTheme="minorEastAsia"/>
          <w:lang w:val="ar-SA" w:eastAsia="zh-TW" w:bidi="en-GB"/>
        </w:rPr>
      </w:pPr>
      <w:r w:rsidRPr="008D1BEF">
        <w:rPr>
          <w:rFonts w:eastAsiaTheme="minorEastAsia"/>
          <w:rtl/>
        </w:rPr>
        <w:t>19</w:t>
      </w:r>
      <w:r w:rsidRPr="00F16289">
        <w:rPr>
          <w:rFonts w:eastAsiaTheme="minorEastAsia"/>
          <w:rtl/>
        </w:rPr>
        <w:t>-</w:t>
      </w:r>
      <w:r w:rsidRPr="00F16289">
        <w:rPr>
          <w:rFonts w:eastAsiaTheme="minorEastAsia"/>
          <w:rtl/>
        </w:rPr>
        <w:tab/>
        <w:t>في حين تلاحظ اللجنة إعداد الدولة الطرف لقانون جديد بشأن منظمات المجتمع المدني، فإنها</w:t>
      </w:r>
      <w:r w:rsidR="00652008">
        <w:rPr>
          <w:rFonts w:eastAsiaTheme="minorEastAsia" w:hint="cs"/>
          <w:rtl/>
        </w:rPr>
        <w:t> </w:t>
      </w:r>
      <w:r w:rsidRPr="00F16289">
        <w:rPr>
          <w:rFonts w:eastAsiaTheme="minorEastAsia"/>
          <w:rtl/>
        </w:rPr>
        <w:t xml:space="preserve">تشعر بالقلق إزاء التقارير التي تفيد بأن التفسير </w:t>
      </w:r>
      <w:proofErr w:type="spellStart"/>
      <w:r w:rsidRPr="00F16289">
        <w:rPr>
          <w:rFonts w:eastAsiaTheme="minorEastAsia"/>
          <w:rtl/>
        </w:rPr>
        <w:t>التقييدي</w:t>
      </w:r>
      <w:proofErr w:type="spellEnd"/>
      <w:r w:rsidRPr="00F16289">
        <w:rPr>
          <w:rFonts w:eastAsiaTheme="minorEastAsia"/>
          <w:rtl/>
        </w:rPr>
        <w:t xml:space="preserve"> للتشريع يقيد ويعرقل أنشطة منظمات حقوق الإنسان. ويساور اللجنة القلق أيض</w:t>
      </w:r>
      <w:r w:rsidR="00652008">
        <w:rPr>
          <w:rFonts w:eastAsiaTheme="minorEastAsia"/>
          <w:rtl/>
        </w:rPr>
        <w:t xml:space="preserve">اً </w:t>
      </w:r>
      <w:r w:rsidRPr="00F16289">
        <w:rPr>
          <w:rFonts w:eastAsiaTheme="minorEastAsia"/>
          <w:rtl/>
        </w:rPr>
        <w:t>إزاء التشريع الذي يسمح لوزارة العمل والتنمية الاجتماعية بالتدخل مباشرة في الشؤون الداخلية لهذه المنظمات عن طريق استبدال أجهزتها الإدارية أو رفض تسجيلها أو</w:t>
      </w:r>
      <w:r w:rsidR="00652008">
        <w:rPr>
          <w:rFonts w:eastAsiaTheme="minorEastAsia" w:hint="cs"/>
          <w:rtl/>
        </w:rPr>
        <w:t> </w:t>
      </w:r>
      <w:r w:rsidRPr="00F16289">
        <w:rPr>
          <w:rFonts w:eastAsiaTheme="minorEastAsia"/>
          <w:rtl/>
        </w:rPr>
        <w:t xml:space="preserve">سحب تراخيص عملها (المادة </w:t>
      </w:r>
      <w:r w:rsidR="00652008" w:rsidRPr="008D1BEF">
        <w:rPr>
          <w:rFonts w:eastAsiaTheme="minorEastAsia"/>
          <w:rtl/>
        </w:rPr>
        <w:t>5</w:t>
      </w:r>
      <w:r w:rsidR="00652008" w:rsidRPr="00652008">
        <w:rPr>
          <w:rFonts w:eastAsiaTheme="minorEastAsia"/>
          <w:rtl/>
        </w:rPr>
        <w:t>).</w:t>
      </w:r>
    </w:p>
    <w:p w14:paraId="3E6F0A8E" w14:textId="778890E0" w:rsidR="00F16289" w:rsidRPr="008D1BEF" w:rsidRDefault="00F16289" w:rsidP="00F16289">
      <w:pPr>
        <w:pStyle w:val="SingleTxtGA"/>
        <w:rPr>
          <w:rFonts w:eastAsiaTheme="minorEastAsia"/>
          <w:b/>
          <w:bCs/>
          <w:lang w:val="ar-SA" w:eastAsia="zh-TW" w:bidi="en-GB"/>
        </w:rPr>
      </w:pPr>
      <w:r w:rsidRPr="008D1BEF">
        <w:rPr>
          <w:rFonts w:eastAsiaTheme="minorEastAsia"/>
          <w:rtl/>
        </w:rPr>
        <w:t>20</w:t>
      </w:r>
      <w:r w:rsidRPr="00F16289">
        <w:rPr>
          <w:rFonts w:eastAsiaTheme="minorEastAsia"/>
          <w:rtl/>
        </w:rPr>
        <w:t>-</w:t>
      </w:r>
      <w:r w:rsidRPr="00F16289">
        <w:rPr>
          <w:rFonts w:eastAsiaTheme="minorEastAsia"/>
          <w:rtl/>
        </w:rPr>
        <w:tab/>
      </w:r>
      <w:r w:rsidRPr="008D1BEF">
        <w:rPr>
          <w:rFonts w:eastAsiaTheme="minorEastAsia"/>
          <w:b/>
          <w:bCs/>
          <w:rtl/>
        </w:rPr>
        <w:t xml:space="preserve">توصي اللجنة الدولة الطرف بأن تكفل إفساح مجال مفتوح لعمل منظمات المجتمع المدني العاملة في مجال تعزيز وحماية حقوق الإنسان، بما في ذلك حظر التمييز العنصري، وأن تعدل </w:t>
      </w:r>
      <w:r w:rsidRPr="008D1BEF">
        <w:rPr>
          <w:rFonts w:eastAsiaTheme="minorEastAsia"/>
          <w:b/>
          <w:bCs/>
          <w:rtl/>
        </w:rPr>
        <w:lastRenderedPageBreak/>
        <w:t>التشريعات التي تسمح بتدخل الحكومة في الشؤون الداخلية لمنظمات المجتمع المدني وفرض قيود على قدرتها على العمل، وذلك بهدف تيسير عمل المدافعين عن حقوق الإنسان.</w:t>
      </w:r>
    </w:p>
    <w:p w14:paraId="44F4B198" w14:textId="77777777" w:rsidR="00F16289" w:rsidRPr="008D1BEF" w:rsidRDefault="00F16289" w:rsidP="00F16289">
      <w:pPr>
        <w:pStyle w:val="H23GA"/>
        <w:rPr>
          <w:lang w:val="ar-SA" w:eastAsia="zh-TW" w:bidi="en-GB"/>
        </w:rPr>
      </w:pPr>
      <w:r w:rsidRPr="008D1BEF">
        <w:rPr>
          <w:rtl/>
        </w:rPr>
        <w:tab/>
      </w:r>
      <w:r w:rsidRPr="008D1BEF">
        <w:rPr>
          <w:rtl/>
        </w:rPr>
        <w:tab/>
        <w:t>حقوق الجنسية</w:t>
      </w:r>
    </w:p>
    <w:p w14:paraId="7F34B260" w14:textId="31ED69C5" w:rsidR="00652008" w:rsidRPr="00652008" w:rsidRDefault="00F16289" w:rsidP="00F16289">
      <w:pPr>
        <w:pStyle w:val="SingleTxtGA"/>
        <w:rPr>
          <w:rFonts w:eastAsiaTheme="minorEastAsia"/>
          <w:lang w:val="ar-SA" w:eastAsia="zh-TW" w:bidi="en-GB"/>
        </w:rPr>
      </w:pPr>
      <w:r w:rsidRPr="008D1BEF">
        <w:rPr>
          <w:rFonts w:eastAsiaTheme="minorEastAsia"/>
          <w:rtl/>
        </w:rPr>
        <w:t>21</w:t>
      </w:r>
      <w:r w:rsidRPr="00F16289">
        <w:rPr>
          <w:rFonts w:eastAsiaTheme="minorEastAsia"/>
          <w:rtl/>
        </w:rPr>
        <w:t>-</w:t>
      </w:r>
      <w:r w:rsidRPr="00F16289">
        <w:rPr>
          <w:rFonts w:eastAsiaTheme="minorEastAsia"/>
          <w:rtl/>
        </w:rPr>
        <w:tab/>
        <w:t xml:space="preserve">لا تزال اللجنة تشعر بالقلق لأن النساء </w:t>
      </w:r>
      <w:proofErr w:type="spellStart"/>
      <w:r w:rsidRPr="00F16289">
        <w:rPr>
          <w:rFonts w:eastAsiaTheme="minorEastAsia"/>
          <w:rtl/>
        </w:rPr>
        <w:t>البحرينيات</w:t>
      </w:r>
      <w:proofErr w:type="spellEnd"/>
      <w:r w:rsidRPr="00F16289">
        <w:rPr>
          <w:rFonts w:eastAsiaTheme="minorEastAsia"/>
          <w:rtl/>
        </w:rPr>
        <w:t xml:space="preserve"> المتزوجات من رجال أجانب ما زلن غير قادرات على منح جنسيتهن لأطفالهن، مما يجعل أطفالهن عرضة بشكل متزايد لانعدام الجنسية ويحرمهم من التمتع على قدم المساواة بالحقوق الأساسية، وتأسف لأن مشروع تعديلات قانون الجنسية في هذا الصدد، الذي تجري مناقشته منذ عام </w:t>
      </w:r>
      <w:r w:rsidRPr="008D1BEF">
        <w:rPr>
          <w:rFonts w:eastAsiaTheme="minorEastAsia"/>
          <w:rtl/>
        </w:rPr>
        <w:t>2014</w:t>
      </w:r>
      <w:r w:rsidRPr="00F16289">
        <w:rPr>
          <w:rFonts w:eastAsiaTheme="minorEastAsia"/>
          <w:rtl/>
        </w:rPr>
        <w:t>، لم يسنَّ بعد. ويساور اللجنة القلق أيض</w:t>
      </w:r>
      <w:r w:rsidR="00652008">
        <w:rPr>
          <w:rFonts w:eastAsiaTheme="minorEastAsia"/>
          <w:rtl/>
        </w:rPr>
        <w:t xml:space="preserve">اً </w:t>
      </w:r>
      <w:r w:rsidRPr="00F16289">
        <w:rPr>
          <w:rFonts w:eastAsiaTheme="minorEastAsia"/>
          <w:rtl/>
        </w:rPr>
        <w:t xml:space="preserve">لأن المواطن الأجنبي المتزوج من بحرينية لا يمكنه الحصول على الجنسية البحرينية، في حين يسمح القانون بذلك للمرأة الأجنبية المتزوجة من مواطن بحريني. ويساور اللجنة القلق كذلك لأن مقدمي الطلبات من غير العرب يجب أن يقيموا في البحرين لمدة </w:t>
      </w:r>
      <w:r w:rsidRPr="008D1BEF">
        <w:rPr>
          <w:rFonts w:eastAsiaTheme="minorEastAsia"/>
          <w:rtl/>
        </w:rPr>
        <w:t>25</w:t>
      </w:r>
      <w:r w:rsidRPr="00F16289">
        <w:rPr>
          <w:rFonts w:eastAsiaTheme="minorEastAsia"/>
          <w:rtl/>
        </w:rPr>
        <w:t xml:space="preserve"> سنة لكي يحصلوا على الجنسية، في حين أن هذه الفترة</w:t>
      </w:r>
      <w:r w:rsidR="006022B2">
        <w:rPr>
          <w:rFonts w:eastAsiaTheme="minorEastAsia" w:hint="cs"/>
          <w:rtl/>
        </w:rPr>
        <w:t> </w:t>
      </w:r>
      <w:r w:rsidRPr="00F16289">
        <w:rPr>
          <w:rFonts w:eastAsiaTheme="minorEastAsia"/>
          <w:rtl/>
        </w:rPr>
        <w:t>مدتها</w:t>
      </w:r>
      <w:r>
        <w:rPr>
          <w:rFonts w:eastAsiaTheme="minorEastAsia" w:hint="cs"/>
          <w:rtl/>
        </w:rPr>
        <w:t> </w:t>
      </w:r>
      <w:r w:rsidRPr="008D1BEF">
        <w:rPr>
          <w:rFonts w:eastAsiaTheme="minorEastAsia"/>
          <w:rtl/>
        </w:rPr>
        <w:t>15</w:t>
      </w:r>
      <w:r w:rsidRPr="00F16289">
        <w:rPr>
          <w:rFonts w:eastAsiaTheme="minorEastAsia"/>
          <w:rtl/>
        </w:rPr>
        <w:t xml:space="preserve"> سنة بالنسبة لمقدم الطلب من أصل عربي (المادتان </w:t>
      </w:r>
      <w:r w:rsidRPr="008D1BEF">
        <w:rPr>
          <w:rFonts w:eastAsiaTheme="minorEastAsia"/>
          <w:rtl/>
        </w:rPr>
        <w:t>2</w:t>
      </w:r>
      <w:r w:rsidRPr="00F16289">
        <w:rPr>
          <w:rFonts w:eastAsiaTheme="minorEastAsia"/>
          <w:rtl/>
        </w:rPr>
        <w:t xml:space="preserve"> و</w:t>
      </w:r>
      <w:r w:rsidR="00652008" w:rsidRPr="008D1BEF">
        <w:rPr>
          <w:rFonts w:eastAsiaTheme="minorEastAsia"/>
          <w:rtl/>
        </w:rPr>
        <w:t>5</w:t>
      </w:r>
      <w:r w:rsidR="00652008" w:rsidRPr="00652008">
        <w:rPr>
          <w:rFonts w:eastAsiaTheme="minorEastAsia"/>
          <w:rtl/>
        </w:rPr>
        <w:t>).</w:t>
      </w:r>
    </w:p>
    <w:p w14:paraId="1826047B" w14:textId="6106192A" w:rsidR="00F16289" w:rsidRPr="008D1BEF" w:rsidRDefault="00F16289" w:rsidP="00F16289">
      <w:pPr>
        <w:pStyle w:val="SingleTxtGA"/>
        <w:rPr>
          <w:rFonts w:eastAsiaTheme="minorEastAsia"/>
          <w:b/>
          <w:bCs/>
          <w:lang w:val="ar-SA" w:eastAsia="zh-TW" w:bidi="en-GB"/>
        </w:rPr>
      </w:pPr>
      <w:r w:rsidRPr="008D1BEF">
        <w:rPr>
          <w:rFonts w:eastAsiaTheme="minorEastAsia"/>
          <w:rtl/>
        </w:rPr>
        <w:t>22</w:t>
      </w:r>
      <w:r w:rsidRPr="00F16289">
        <w:rPr>
          <w:rFonts w:eastAsiaTheme="minorEastAsia"/>
          <w:rtl/>
        </w:rPr>
        <w:t>-</w:t>
      </w:r>
      <w:r w:rsidRPr="00F16289">
        <w:rPr>
          <w:rFonts w:eastAsiaTheme="minorEastAsia"/>
          <w:rtl/>
        </w:rPr>
        <w:tab/>
      </w:r>
      <w:r w:rsidRPr="008D1BEF">
        <w:rPr>
          <w:rFonts w:eastAsiaTheme="minorEastAsia"/>
          <w:b/>
          <w:bCs/>
          <w:rtl/>
        </w:rPr>
        <w:t>توصي اللجنة، في ضوء توصيتها العامة رقم 30(200</w:t>
      </w:r>
      <w:r w:rsidR="00652008" w:rsidRPr="008D1BEF">
        <w:rPr>
          <w:rFonts w:eastAsiaTheme="minorEastAsia"/>
          <w:b/>
          <w:bCs/>
          <w:rtl/>
        </w:rPr>
        <w:t xml:space="preserve">4) </w:t>
      </w:r>
      <w:r w:rsidRPr="008D1BEF">
        <w:rPr>
          <w:rFonts w:eastAsiaTheme="minorEastAsia"/>
          <w:b/>
          <w:bCs/>
          <w:rtl/>
        </w:rPr>
        <w:t>بشأن التمييز ضد غير المواطنين، ولا سيما الفقرة 16 المتعلقة بخفض حالات انعدام الجنسية، وخصوص</w:t>
      </w:r>
      <w:r w:rsidR="00652008" w:rsidRPr="008D1BEF">
        <w:rPr>
          <w:rFonts w:eastAsiaTheme="minorEastAsia"/>
          <w:b/>
          <w:bCs/>
          <w:rtl/>
        </w:rPr>
        <w:t xml:space="preserve">اً </w:t>
      </w:r>
      <w:r w:rsidRPr="008D1BEF">
        <w:rPr>
          <w:rFonts w:eastAsiaTheme="minorEastAsia"/>
          <w:b/>
          <w:bCs/>
          <w:rtl/>
        </w:rPr>
        <w:t>في صفوف الأطفال، بأن توائم الدولة الطرف بسرعة تشريعها مع الاتفاقية عن طريق تعديل قانون الجنسية بغية إلغاء الأحكام التي تميز ضد الأجنبي المتزوج من مواطنة بحرينية وضد أطفال المرأة البحرينية المتزوجة من أجنبي، وإضافة أحكام تسمح للمرأة البحرينية بنقل جنسيتها إلى زوجها الأجنبي وأطفالها منذ الولادة، على قدم المساواة مع الرجل. كما توصي اللجنة الدولة الطرف بأن تكفل عدم التمييز ضد فئات معينة من غير المواطنين فيما يتعلق بالحصول على الجنسية مقارنة بالفئات الأخرى.</w:t>
      </w:r>
    </w:p>
    <w:p w14:paraId="0586A48D" w14:textId="77777777" w:rsidR="00F16289" w:rsidRPr="008D1BEF" w:rsidRDefault="00F16289" w:rsidP="00F16289">
      <w:pPr>
        <w:pStyle w:val="H23GA"/>
        <w:rPr>
          <w:lang w:val="ar-SA" w:eastAsia="zh-TW" w:bidi="en-GB"/>
        </w:rPr>
      </w:pPr>
      <w:r w:rsidRPr="008D1BEF">
        <w:rPr>
          <w:rtl/>
        </w:rPr>
        <w:tab/>
      </w:r>
      <w:r w:rsidRPr="008D1BEF">
        <w:rPr>
          <w:rtl/>
        </w:rPr>
        <w:tab/>
        <w:t>انعدام الجنسية</w:t>
      </w:r>
    </w:p>
    <w:p w14:paraId="019658A0" w14:textId="68210DAB" w:rsidR="00652008" w:rsidRPr="00652008" w:rsidRDefault="00F16289" w:rsidP="00F16289">
      <w:pPr>
        <w:pStyle w:val="SingleTxtGA"/>
        <w:rPr>
          <w:rFonts w:eastAsiaTheme="minorEastAsia"/>
          <w:lang w:val="ar-SA" w:eastAsia="zh-TW" w:bidi="en-GB"/>
        </w:rPr>
      </w:pPr>
      <w:bookmarkStart w:id="2" w:name="_Hlk118656172"/>
      <w:r w:rsidRPr="008D1BEF">
        <w:rPr>
          <w:rFonts w:eastAsiaTheme="minorEastAsia"/>
          <w:rtl/>
        </w:rPr>
        <w:t>23</w:t>
      </w:r>
      <w:r w:rsidRPr="00F16289">
        <w:rPr>
          <w:rFonts w:eastAsiaTheme="minorEastAsia"/>
          <w:rtl/>
        </w:rPr>
        <w:t>-</w:t>
      </w:r>
      <w:r w:rsidRPr="00F16289">
        <w:rPr>
          <w:rFonts w:eastAsiaTheme="minorEastAsia"/>
          <w:rtl/>
        </w:rPr>
        <w:tab/>
        <w:t xml:space="preserve">رغم إعادة الجنسية لعدد معين من الأشخاص، لا تزال اللجنة تشعر بالقلق إزاء التقارير التي تفيد بأنه لا يزال هناك العديد من الأشخاص، بمن فيهم المدافعون عن حقوق الإنسان والناشطون السياسيون وعلماء الدين، الذين ألغيت جنسياتهم لأسباب تتعلق بالأمن القومي ولكن لم يسترجعوها بعد، مما ترك العديد منهم وأطفالهم عديمي الجنسية. وإذ تلاحظ اللجنة تأكيد الدولة الطرف أن جميع البدون قد منحوا الجنسية، فإنها لا تزال تشعر بالقلق إزاء التقارير التي تفيد بأن عدداً كبيراً من البِدون لا يزالون يعيشون في إقليم الدولة الطرف دون جنسية على الرغم من أهليتهم للتجنيس، مما يحرمهم من التمتع بفرص متساوية للحصول على الخدمات الاجتماعية والحقوق الأساسية الأخرى ووثائق الحالة المدنية، بما فيها وثائق تسجيل المواليد. وتأسف اللجنة لأن الدولة الطرف لم تصدق على </w:t>
      </w:r>
      <w:r w:rsidR="00541E13">
        <w:rPr>
          <w:rFonts w:eastAsiaTheme="minorEastAsia" w:hint="cs"/>
          <w:rtl/>
        </w:rPr>
        <w:t>ال</w:t>
      </w:r>
      <w:r w:rsidRPr="00F16289">
        <w:rPr>
          <w:rFonts w:eastAsiaTheme="minorEastAsia"/>
          <w:rtl/>
        </w:rPr>
        <w:t xml:space="preserve">اتفاقية </w:t>
      </w:r>
      <w:r w:rsidRPr="008D1BEF">
        <w:rPr>
          <w:rFonts w:eastAsiaTheme="minorEastAsia"/>
          <w:rtl/>
        </w:rPr>
        <w:t>ال</w:t>
      </w:r>
      <w:r w:rsidRPr="00F16289">
        <w:rPr>
          <w:rFonts w:eastAsiaTheme="minorEastAsia"/>
          <w:rtl/>
        </w:rPr>
        <w:t xml:space="preserve">متعلقة بوضع الأشخاص عديمي الجنسية، </w:t>
      </w:r>
      <w:r w:rsidR="00541E13">
        <w:rPr>
          <w:rFonts w:eastAsiaTheme="minorEastAsia" w:hint="cs"/>
          <w:rtl/>
        </w:rPr>
        <w:t xml:space="preserve">والاتفاقية </w:t>
      </w:r>
      <w:r w:rsidRPr="008D1BEF">
        <w:rPr>
          <w:rFonts w:eastAsiaTheme="minorEastAsia"/>
          <w:rtl/>
        </w:rPr>
        <w:t>المتعلقة</w:t>
      </w:r>
      <w:r w:rsidRPr="00F16289">
        <w:rPr>
          <w:rFonts w:eastAsiaTheme="minorEastAsia"/>
          <w:rtl/>
        </w:rPr>
        <w:t xml:space="preserve"> بخفض حالات انعدام الجنسية (المادة </w:t>
      </w:r>
      <w:r w:rsidR="00652008" w:rsidRPr="008D1BEF">
        <w:rPr>
          <w:rFonts w:eastAsiaTheme="minorEastAsia"/>
          <w:rtl/>
        </w:rPr>
        <w:t>5</w:t>
      </w:r>
      <w:bookmarkEnd w:id="2"/>
      <w:r w:rsidR="00652008" w:rsidRPr="00652008">
        <w:rPr>
          <w:rFonts w:eastAsiaTheme="minorEastAsia"/>
          <w:rtl/>
        </w:rPr>
        <w:t>).</w:t>
      </w:r>
    </w:p>
    <w:p w14:paraId="13C32313" w14:textId="7FD2A081" w:rsidR="00F16289" w:rsidRPr="008D1BEF" w:rsidRDefault="00F16289" w:rsidP="00F16289">
      <w:pPr>
        <w:pStyle w:val="SingleTxtGA"/>
        <w:rPr>
          <w:rFonts w:eastAsiaTheme="minorEastAsia"/>
          <w:b/>
          <w:bCs/>
          <w:lang w:val="ar-SA" w:eastAsia="zh-TW" w:bidi="en-GB"/>
        </w:rPr>
      </w:pPr>
      <w:r w:rsidRPr="008D1BEF">
        <w:rPr>
          <w:rFonts w:eastAsiaTheme="minorEastAsia"/>
          <w:rtl/>
        </w:rPr>
        <w:t>24</w:t>
      </w:r>
      <w:r w:rsidRPr="00F16289">
        <w:rPr>
          <w:rFonts w:eastAsiaTheme="minorEastAsia"/>
          <w:rtl/>
        </w:rPr>
        <w:t>-</w:t>
      </w:r>
      <w:r w:rsidRPr="00F16289">
        <w:rPr>
          <w:rFonts w:eastAsiaTheme="minorEastAsia"/>
          <w:rtl/>
        </w:rPr>
        <w:tab/>
      </w:r>
      <w:r w:rsidRPr="008D1BEF">
        <w:rPr>
          <w:rFonts w:eastAsiaTheme="minorEastAsia"/>
          <w:b/>
          <w:bCs/>
          <w:rtl/>
        </w:rPr>
        <w:t xml:space="preserve">توصي اللجنة الدولة الطرف بتنقيح قانون الجنسية، بما في ذلك أحكامه المتعلقة بالحرمان من الجنسية، لضمان ألا يؤدي تطبيقه إلى انعدام الجنسية وألا يكون بإمكان الحكومة إلغاء حقوق الجنسية للأشخاص الذين يمارسون حقوقهم الأساسية، بما في ذلك الحق في حرية التعبير والتجمع وتكوين الجمعيات، بهدف منع حالات انعدام الجنسية، والنظر في مسألة التصديق على الاتفاقية المتعلقة بوضع الأشخاص عديمي الجنسية والاتفاقية المتعلقة بخفض حالات انعدام الجنسية. وتوصي اللجنة أيضاً بأن تجد الدولة الطرف حلاً دائماً للمشاكل التي </w:t>
      </w:r>
      <w:proofErr w:type="spellStart"/>
      <w:r w:rsidRPr="008D1BEF">
        <w:rPr>
          <w:rFonts w:eastAsiaTheme="minorEastAsia"/>
          <w:b/>
          <w:bCs/>
          <w:rtl/>
        </w:rPr>
        <w:t>يواجهها</w:t>
      </w:r>
      <w:proofErr w:type="spellEnd"/>
      <w:r w:rsidRPr="008D1BEF">
        <w:rPr>
          <w:rFonts w:eastAsiaTheme="minorEastAsia"/>
          <w:b/>
          <w:bCs/>
          <w:rtl/>
        </w:rPr>
        <w:t xml:space="preserve"> البِدون، بطرق منها النظر في تجنيس من عاشوا في البحرين فترات طويلة ولهم ارتباط حقيقي وفعلي بالدولة. وتوصي اللجنة كذلك بأن تضع الدولة الطرف إجراءات إدارية فورية للسماح لجميع الأشخاص عديمي الجنسية، بمن فيهم </w:t>
      </w:r>
      <w:r w:rsidRPr="008D1BEF">
        <w:rPr>
          <w:rFonts w:eastAsiaTheme="minorEastAsia"/>
          <w:b/>
          <w:bCs/>
          <w:rtl/>
        </w:rPr>
        <w:lastRenderedPageBreak/>
        <w:t>البدون، بالتمتع الفعلي بحقوق الإنسان الأساسية والحصول على وثائق رسمية، بما في ذلك وثائق تسجيل المواليد.</w:t>
      </w:r>
    </w:p>
    <w:p w14:paraId="40255955" w14:textId="77777777" w:rsidR="00F16289" w:rsidRPr="008D1BEF" w:rsidRDefault="00F16289" w:rsidP="00F16289">
      <w:pPr>
        <w:pStyle w:val="H23GA"/>
        <w:rPr>
          <w:lang w:val="ar-SA" w:eastAsia="zh-TW" w:bidi="en-GB"/>
        </w:rPr>
      </w:pPr>
      <w:r w:rsidRPr="008D1BEF">
        <w:rPr>
          <w:rtl/>
        </w:rPr>
        <w:tab/>
      </w:r>
      <w:r w:rsidRPr="008D1BEF">
        <w:rPr>
          <w:rtl/>
        </w:rPr>
        <w:tab/>
        <w:t>حماية اللاجئين</w:t>
      </w:r>
    </w:p>
    <w:p w14:paraId="36BFAC64" w14:textId="7B08C3C4" w:rsidR="00652008" w:rsidRPr="00652008" w:rsidRDefault="00F16289" w:rsidP="00F16289">
      <w:pPr>
        <w:pStyle w:val="SingleTxtGA"/>
        <w:rPr>
          <w:rFonts w:eastAsiaTheme="minorEastAsia"/>
          <w:lang w:val="ar-SA" w:eastAsia="zh-TW" w:bidi="en-GB"/>
        </w:rPr>
      </w:pPr>
      <w:r w:rsidRPr="008D1BEF">
        <w:rPr>
          <w:rFonts w:eastAsiaTheme="minorEastAsia"/>
          <w:rtl/>
        </w:rPr>
        <w:t>25</w:t>
      </w:r>
      <w:r w:rsidRPr="00F16289">
        <w:rPr>
          <w:rFonts w:eastAsiaTheme="minorEastAsia"/>
          <w:rtl/>
        </w:rPr>
        <w:t>-</w:t>
      </w:r>
      <w:r w:rsidRPr="00F16289">
        <w:rPr>
          <w:rFonts w:eastAsiaTheme="minorEastAsia"/>
          <w:rtl/>
        </w:rPr>
        <w:tab/>
        <w:t xml:space="preserve">يساور اللجنة القلق إزاء عدم وجود تشريع أو أنظمة إدارية تحكم وضع طالبي اللجوء أو اللاجئين في الدولة الطرف، مما قد يعرض طالبي اللجوء للتمييز العنصري في التمتع بحقوق الإنسان الأساسية ولخطر الإعادة القسرية (المادة </w:t>
      </w:r>
      <w:r w:rsidR="00652008" w:rsidRPr="008D1BEF">
        <w:rPr>
          <w:rFonts w:eastAsiaTheme="minorEastAsia"/>
          <w:rtl/>
        </w:rPr>
        <w:t>5</w:t>
      </w:r>
      <w:r w:rsidR="00652008" w:rsidRPr="00652008">
        <w:rPr>
          <w:rFonts w:eastAsiaTheme="minorEastAsia"/>
          <w:rtl/>
        </w:rPr>
        <w:t>).</w:t>
      </w:r>
    </w:p>
    <w:p w14:paraId="16CB4300" w14:textId="1FD89935" w:rsidR="00F16289" w:rsidRPr="008D1BEF" w:rsidRDefault="00F16289" w:rsidP="00F16289">
      <w:pPr>
        <w:pStyle w:val="SingleTxtGA"/>
        <w:rPr>
          <w:rFonts w:eastAsiaTheme="minorEastAsia"/>
          <w:b/>
          <w:bCs/>
          <w:lang w:val="ar-SA" w:eastAsia="zh-TW" w:bidi="en-GB"/>
        </w:rPr>
      </w:pPr>
      <w:r w:rsidRPr="008D1BEF">
        <w:rPr>
          <w:rFonts w:eastAsiaTheme="minorEastAsia"/>
          <w:rtl/>
        </w:rPr>
        <w:t>26</w:t>
      </w:r>
      <w:r w:rsidRPr="00F16289">
        <w:rPr>
          <w:rFonts w:eastAsiaTheme="minorEastAsia"/>
          <w:rtl/>
        </w:rPr>
        <w:t>-</w:t>
      </w:r>
      <w:r w:rsidRPr="00F16289">
        <w:rPr>
          <w:rFonts w:eastAsiaTheme="minorEastAsia"/>
          <w:rtl/>
        </w:rPr>
        <w:tab/>
      </w:r>
      <w:r w:rsidRPr="008D1BEF">
        <w:rPr>
          <w:rFonts w:eastAsiaTheme="minorEastAsia"/>
          <w:b/>
          <w:bCs/>
          <w:rtl/>
        </w:rPr>
        <w:t>توصي اللجنة الدولة الطرف بأن تعتمد تشريعات وطنية بشأن اللجوء تتماشى مع المعايير الدولية. وتطلب اللجنة إلى الدولة الطرف أن تكفل الحماية الفعالة لطالبي اللجوء واللاجئين وأن تقدم في تقريرها الدوري المقبل معلومات مفصلة عن تمتع طالبي اللجوء واللاجئين تمتع</w:t>
      </w:r>
      <w:r w:rsidR="00652008" w:rsidRPr="008D1BEF">
        <w:rPr>
          <w:rFonts w:eastAsiaTheme="minorEastAsia"/>
          <w:b/>
          <w:bCs/>
          <w:rtl/>
        </w:rPr>
        <w:t xml:space="preserve">اً </w:t>
      </w:r>
      <w:r w:rsidRPr="008D1BEF">
        <w:rPr>
          <w:rFonts w:eastAsiaTheme="minorEastAsia"/>
          <w:b/>
          <w:bCs/>
          <w:rtl/>
        </w:rPr>
        <w:t>فعلي</w:t>
      </w:r>
      <w:r w:rsidR="00652008" w:rsidRPr="008D1BEF">
        <w:rPr>
          <w:rFonts w:eastAsiaTheme="minorEastAsia"/>
          <w:b/>
          <w:bCs/>
          <w:rtl/>
        </w:rPr>
        <w:t xml:space="preserve">اً </w:t>
      </w:r>
      <w:r w:rsidRPr="008D1BEF">
        <w:rPr>
          <w:rFonts w:eastAsiaTheme="minorEastAsia"/>
          <w:b/>
          <w:bCs/>
          <w:rtl/>
        </w:rPr>
        <w:t>بالحقوق المنصوص عليها في الاتفاقية</w:t>
      </w:r>
      <w:r w:rsidRPr="00F16289">
        <w:rPr>
          <w:rFonts w:eastAsiaTheme="minorEastAsia"/>
          <w:rtl/>
        </w:rPr>
        <w:t xml:space="preserve">. </w:t>
      </w:r>
      <w:r w:rsidRPr="008D1BEF">
        <w:rPr>
          <w:rFonts w:eastAsiaTheme="minorEastAsia"/>
          <w:b/>
          <w:bCs/>
          <w:rtl/>
        </w:rPr>
        <w:t>وتوصي اللجنة الدولة الطرف أيضاً بالنظر في مسألة الانضمام إلى الاتفاقية الخاصة بوضع اللاجئين والبروتوكول الملحق بها.</w:t>
      </w:r>
    </w:p>
    <w:p w14:paraId="0ED6200F" w14:textId="77777777" w:rsidR="00F16289" w:rsidRPr="008D1BEF" w:rsidRDefault="00F16289" w:rsidP="00F16289">
      <w:pPr>
        <w:pStyle w:val="H23GA"/>
        <w:rPr>
          <w:lang w:val="en-US" w:eastAsia="zh-TW" w:bidi="en-GB"/>
        </w:rPr>
      </w:pPr>
      <w:r w:rsidRPr="008D1BEF">
        <w:rPr>
          <w:rtl/>
        </w:rPr>
        <w:tab/>
      </w:r>
      <w:r w:rsidRPr="008D1BEF">
        <w:rPr>
          <w:rtl/>
        </w:rPr>
        <w:tab/>
        <w:t>العمال المهاجرون</w:t>
      </w:r>
    </w:p>
    <w:p w14:paraId="479896BF" w14:textId="77777777" w:rsidR="00F16289" w:rsidRPr="00F16289" w:rsidRDefault="00F16289" w:rsidP="00F16289">
      <w:pPr>
        <w:pStyle w:val="SingleTxtGA"/>
        <w:rPr>
          <w:rFonts w:eastAsiaTheme="minorEastAsia"/>
          <w:lang w:val="ar-SA" w:eastAsia="zh-TW" w:bidi="en-GB"/>
        </w:rPr>
      </w:pPr>
      <w:bookmarkStart w:id="3" w:name="_Hlk118797220"/>
      <w:r w:rsidRPr="008D1BEF">
        <w:rPr>
          <w:rFonts w:eastAsiaTheme="minorEastAsia"/>
          <w:rtl/>
        </w:rPr>
        <w:t>27</w:t>
      </w:r>
      <w:r w:rsidRPr="00F16289">
        <w:rPr>
          <w:rFonts w:eastAsiaTheme="minorEastAsia"/>
          <w:rtl/>
        </w:rPr>
        <w:t>-</w:t>
      </w:r>
      <w:r w:rsidRPr="00F16289">
        <w:rPr>
          <w:rFonts w:eastAsiaTheme="minorEastAsia"/>
          <w:rtl/>
        </w:rPr>
        <w:tab/>
        <w:t>ترحب اللجنة بالخطوات المؤسسية والتشريعية التي اتخذتها الدولة الطرف لصون حقوق العمال المهاجرين. غير أن اللجنة تشعر بالقلق إزاء ما يلي:</w:t>
      </w:r>
      <w:bookmarkEnd w:id="3"/>
    </w:p>
    <w:p w14:paraId="43DBF92D" w14:textId="3852F011" w:rsidR="00F16289" w:rsidRPr="00F16289" w:rsidRDefault="00F16289" w:rsidP="00F16289">
      <w:pPr>
        <w:pStyle w:val="SingleTxtGA"/>
        <w:rPr>
          <w:rFonts w:eastAsiaTheme="minorEastAsia"/>
          <w:lang w:val="ar-SA" w:eastAsia="zh-TW" w:bidi="en-GB"/>
        </w:rPr>
      </w:pPr>
      <w:bookmarkStart w:id="4" w:name="_Hlk118797255"/>
      <w:r>
        <w:rPr>
          <w:rFonts w:eastAsiaTheme="minorEastAsia"/>
          <w:rtl/>
        </w:rPr>
        <w:tab/>
      </w:r>
      <w:r w:rsidRPr="00F16289">
        <w:rPr>
          <w:rFonts w:eastAsiaTheme="minorEastAsia"/>
          <w:rtl/>
        </w:rPr>
        <w:t>(أ)</w:t>
      </w:r>
      <w:r w:rsidRPr="00F16289">
        <w:rPr>
          <w:rFonts w:eastAsiaTheme="minorEastAsia"/>
          <w:rtl/>
        </w:rPr>
        <w:tab/>
        <w:t>لا توجد معلومات تثبت أن تشريعات حماية العمال المهاجرين تنفذ بصورة اعتيادية وأن أرباب العمل يخضعون للمساءلة عن الانتهاكات المرتكبة؛</w:t>
      </w:r>
    </w:p>
    <w:p w14:paraId="68F2FA61" w14:textId="0D52B0BD" w:rsidR="00F16289" w:rsidRPr="00F16289" w:rsidRDefault="00F16289" w:rsidP="00F16289">
      <w:pPr>
        <w:pStyle w:val="SingleTxtGA"/>
        <w:rPr>
          <w:rFonts w:eastAsiaTheme="minorEastAsia"/>
          <w:lang w:val="ar-SA" w:eastAsia="zh-TW" w:bidi="en-GB"/>
        </w:rPr>
      </w:pPr>
      <w:r>
        <w:rPr>
          <w:rFonts w:eastAsiaTheme="minorEastAsia"/>
          <w:rtl/>
        </w:rPr>
        <w:tab/>
      </w:r>
      <w:r w:rsidRPr="00F16289">
        <w:rPr>
          <w:rFonts w:eastAsiaTheme="minorEastAsia"/>
          <w:rtl/>
        </w:rPr>
        <w:t>(ب)</w:t>
      </w:r>
      <w:r w:rsidRPr="00F16289">
        <w:rPr>
          <w:rFonts w:eastAsiaTheme="minorEastAsia"/>
          <w:rtl/>
        </w:rPr>
        <w:tab/>
        <w:t>تفيد التقارير بأن العمال المهاجرين لا يزالون يواجهون سوء المعاملة والاستغلال، مثل عدم دفع الأجور ومصادرة جوازات السفر، ويواجهون التمييز في العمل؛ ومحدودية فرص حصولهم على السكن اللائق والتعليم والرعاية والخدمات الصحية؛</w:t>
      </w:r>
    </w:p>
    <w:p w14:paraId="4C7C3C92" w14:textId="1E35B44D" w:rsidR="00F16289" w:rsidRPr="00F16289" w:rsidRDefault="00F16289" w:rsidP="00F16289">
      <w:pPr>
        <w:pStyle w:val="SingleTxtGA"/>
        <w:rPr>
          <w:rFonts w:eastAsiaTheme="minorEastAsia"/>
          <w:lang w:val="ar-SA" w:eastAsia="zh-TW" w:bidi="en-GB"/>
        </w:rPr>
      </w:pPr>
      <w:r>
        <w:rPr>
          <w:rFonts w:eastAsiaTheme="minorEastAsia"/>
          <w:rtl/>
        </w:rPr>
        <w:tab/>
      </w:r>
      <w:r w:rsidRPr="00F16289">
        <w:rPr>
          <w:rFonts w:eastAsiaTheme="minorEastAsia"/>
          <w:rtl/>
        </w:rPr>
        <w:t>(ج)</w:t>
      </w:r>
      <w:r w:rsidRPr="00F16289">
        <w:rPr>
          <w:rFonts w:eastAsiaTheme="minorEastAsia"/>
          <w:rtl/>
        </w:rPr>
        <w:tab/>
        <w:t>لا يزال نظام الكفالة مستمراً في الممارسة، مما يجعل العمال المهاجرين عرضة للاستغلال وسوء المعاملة؛</w:t>
      </w:r>
    </w:p>
    <w:p w14:paraId="552C8501" w14:textId="0ED2B4BE" w:rsidR="00F16289" w:rsidRPr="008471B5" w:rsidRDefault="00F16289" w:rsidP="00F16289">
      <w:pPr>
        <w:pStyle w:val="SingleTxtGA"/>
        <w:rPr>
          <w:rFonts w:eastAsiaTheme="minorEastAsia"/>
          <w:lang w:val="en-US" w:eastAsia="zh-TW" w:bidi="en-GB"/>
        </w:rPr>
      </w:pPr>
      <w:r>
        <w:rPr>
          <w:rFonts w:eastAsiaTheme="minorEastAsia"/>
          <w:rtl/>
        </w:rPr>
        <w:tab/>
      </w:r>
      <w:r w:rsidRPr="00F16289">
        <w:rPr>
          <w:rFonts w:eastAsiaTheme="minorEastAsia"/>
          <w:rtl/>
        </w:rPr>
        <w:t>(د)</w:t>
      </w:r>
      <w:r w:rsidRPr="00F16289">
        <w:rPr>
          <w:rFonts w:eastAsiaTheme="minorEastAsia"/>
          <w:rtl/>
        </w:rPr>
        <w:tab/>
        <w:t>تفيد تقارير بأن</w:t>
      </w:r>
      <w:r w:rsidR="00652008">
        <w:rPr>
          <w:rFonts w:eastAsiaTheme="minorEastAsia"/>
          <w:rtl/>
        </w:rPr>
        <w:t xml:space="preserve"> </w:t>
      </w:r>
      <w:r w:rsidRPr="00F16289">
        <w:rPr>
          <w:rFonts w:eastAsiaTheme="minorEastAsia"/>
          <w:rtl/>
        </w:rPr>
        <w:t xml:space="preserve">نظام التصاريح المرن الذي بدأ العمل به في عام </w:t>
      </w:r>
      <w:r w:rsidRPr="008D1BEF">
        <w:rPr>
          <w:rFonts w:eastAsiaTheme="minorEastAsia"/>
          <w:rtl/>
        </w:rPr>
        <w:t>2017</w:t>
      </w:r>
      <w:r w:rsidRPr="00F16289">
        <w:rPr>
          <w:rFonts w:eastAsiaTheme="minorEastAsia"/>
          <w:rtl/>
        </w:rPr>
        <w:t xml:space="preserve"> ليحل محل </w:t>
      </w:r>
      <w:r w:rsidRPr="008D1BEF">
        <w:rPr>
          <w:rFonts w:eastAsiaTheme="minorEastAsia"/>
          <w:rtl/>
        </w:rPr>
        <w:t>نظام الكفالة غير متاح لجميع العمال بسبب الشروط التقييدية المفرطة، وخاصة بالنسبة للعمال ذوي الدخل المنخفض نظراً لارتفاع تكاليفه؛</w:t>
      </w:r>
    </w:p>
    <w:p w14:paraId="20043853" w14:textId="5615A4AE" w:rsidR="00652008" w:rsidRPr="00652008" w:rsidRDefault="00F16289" w:rsidP="00F16289">
      <w:pPr>
        <w:pStyle w:val="SingleTxtGA"/>
        <w:rPr>
          <w:rFonts w:eastAsiaTheme="minorEastAsia"/>
          <w:lang w:val="ar-SA" w:eastAsia="zh-TW" w:bidi="en-GB"/>
        </w:rPr>
      </w:pPr>
      <w:r>
        <w:rPr>
          <w:rFonts w:eastAsiaTheme="minorEastAsia"/>
          <w:rtl/>
        </w:rPr>
        <w:tab/>
      </w:r>
      <w:r w:rsidRPr="00F16289">
        <w:rPr>
          <w:rFonts w:eastAsiaTheme="minorEastAsia"/>
          <w:rtl/>
        </w:rPr>
        <w:t>(هـ)</w:t>
      </w:r>
      <w:r w:rsidRPr="00F16289">
        <w:rPr>
          <w:rFonts w:eastAsiaTheme="minorEastAsia"/>
          <w:rtl/>
        </w:rPr>
        <w:tab/>
        <w:t xml:space="preserve">ثمة نقص في المعلومات بشأن نتائج الشكاوى المقدمة من العمال المهاجرين وعن مدى فعالية معالجة الشكاوى (المواد </w:t>
      </w:r>
      <w:r w:rsidRPr="008D1BEF">
        <w:rPr>
          <w:rFonts w:eastAsiaTheme="minorEastAsia"/>
          <w:rtl/>
        </w:rPr>
        <w:t>5</w:t>
      </w:r>
      <w:r w:rsidRPr="00F16289">
        <w:rPr>
          <w:rFonts w:eastAsiaTheme="minorEastAsia"/>
          <w:rtl/>
        </w:rPr>
        <w:t>-</w:t>
      </w:r>
      <w:r w:rsidR="00652008" w:rsidRPr="008D1BEF">
        <w:rPr>
          <w:rFonts w:eastAsiaTheme="minorEastAsia"/>
          <w:rtl/>
        </w:rPr>
        <w:t>6</w:t>
      </w:r>
      <w:bookmarkEnd w:id="4"/>
      <w:r w:rsidR="00652008" w:rsidRPr="00652008">
        <w:rPr>
          <w:rFonts w:eastAsiaTheme="minorEastAsia"/>
          <w:rtl/>
        </w:rPr>
        <w:t>).</w:t>
      </w:r>
    </w:p>
    <w:p w14:paraId="575D3944" w14:textId="5CF198C6" w:rsidR="00F16289" w:rsidRPr="008D1BEF" w:rsidRDefault="00F16289" w:rsidP="00F16289">
      <w:pPr>
        <w:pStyle w:val="SingleTxtGA"/>
        <w:rPr>
          <w:rFonts w:eastAsiaTheme="minorEastAsia"/>
          <w:b/>
          <w:bCs/>
          <w:lang w:val="ar-SA" w:eastAsia="zh-TW" w:bidi="en-GB"/>
        </w:rPr>
      </w:pPr>
      <w:r w:rsidRPr="008D1BEF">
        <w:rPr>
          <w:rFonts w:eastAsiaTheme="minorEastAsia"/>
          <w:rtl/>
        </w:rPr>
        <w:t>28</w:t>
      </w:r>
      <w:r w:rsidRPr="00F16289">
        <w:rPr>
          <w:rFonts w:eastAsiaTheme="minorEastAsia"/>
          <w:rtl/>
        </w:rPr>
        <w:t>-</w:t>
      </w:r>
      <w:r w:rsidRPr="00F16289">
        <w:rPr>
          <w:rFonts w:eastAsiaTheme="minorEastAsia"/>
          <w:rtl/>
        </w:rPr>
        <w:tab/>
      </w:r>
      <w:r w:rsidRPr="008D1BEF">
        <w:rPr>
          <w:rFonts w:eastAsiaTheme="minorEastAsia"/>
          <w:b/>
          <w:bCs/>
          <w:rtl/>
        </w:rPr>
        <w:t>وتوصي اللجنة الدولة الطرف بما يلي:</w:t>
      </w:r>
    </w:p>
    <w:p w14:paraId="2E6AD0ED" w14:textId="0D2CA07B" w:rsidR="00F16289" w:rsidRPr="008D1BEF" w:rsidRDefault="00F16289" w:rsidP="00F16289">
      <w:pPr>
        <w:pStyle w:val="SingleTxtGA"/>
        <w:rPr>
          <w:rFonts w:eastAsiaTheme="minorEastAsia"/>
          <w:b/>
          <w:bCs/>
          <w:lang w:val="ar-SA" w:eastAsia="zh-TW" w:bidi="en-GB"/>
        </w:rPr>
      </w:pPr>
      <w:r w:rsidRPr="008D1BEF">
        <w:rPr>
          <w:rFonts w:eastAsiaTheme="minorEastAsia"/>
          <w:b/>
          <w:bCs/>
          <w:rtl/>
        </w:rPr>
        <w:tab/>
      </w:r>
      <w:r w:rsidRPr="00F16289">
        <w:rPr>
          <w:rFonts w:eastAsiaTheme="minorEastAsia"/>
          <w:rtl/>
        </w:rPr>
        <w:t>(أ)</w:t>
      </w:r>
      <w:r w:rsidRPr="00F16289">
        <w:rPr>
          <w:rFonts w:eastAsiaTheme="minorEastAsia"/>
          <w:rtl/>
        </w:rPr>
        <w:tab/>
      </w:r>
      <w:r w:rsidRPr="008D1BEF">
        <w:rPr>
          <w:rFonts w:eastAsiaTheme="minorEastAsia"/>
          <w:b/>
          <w:bCs/>
          <w:rtl/>
        </w:rPr>
        <w:t>ضمان إنفاذ جميع التدابير الرامية إلى حماية العمال الهاجرين إنفاذاً كاملاً ومعاقبة المخالفين المسؤولين عن ذلك، وتقديم معلومات عن تنفيذ تلك التدابير؛</w:t>
      </w:r>
    </w:p>
    <w:p w14:paraId="52DDEB2A" w14:textId="0C900C18" w:rsidR="00F16289" w:rsidRPr="008D1BEF" w:rsidRDefault="00F16289" w:rsidP="00F16289">
      <w:pPr>
        <w:pStyle w:val="SingleTxtGA"/>
        <w:rPr>
          <w:rFonts w:eastAsiaTheme="minorEastAsia"/>
          <w:b/>
          <w:bCs/>
          <w:lang w:val="ar-SA" w:eastAsia="zh-TW" w:bidi="en-GB"/>
        </w:rPr>
      </w:pPr>
      <w:r w:rsidRPr="00F16289">
        <w:rPr>
          <w:rFonts w:eastAsiaTheme="minorEastAsia"/>
          <w:rtl/>
        </w:rPr>
        <w:tab/>
        <w:t>(ب)</w:t>
      </w:r>
      <w:r w:rsidRPr="008D1BEF">
        <w:rPr>
          <w:rFonts w:eastAsiaTheme="minorEastAsia"/>
          <w:b/>
          <w:bCs/>
          <w:rtl/>
        </w:rPr>
        <w:tab/>
        <w:t>وضع حد لآثار نظام الكفالة وما يتصل به من ممارسات تعرض العمال المهاجرين للإساءة والاستغلال؛</w:t>
      </w:r>
    </w:p>
    <w:p w14:paraId="269386A5" w14:textId="222BFCDA" w:rsidR="00F16289" w:rsidRPr="008D1BEF" w:rsidRDefault="00F16289" w:rsidP="00F16289">
      <w:pPr>
        <w:pStyle w:val="SingleTxtGA"/>
        <w:rPr>
          <w:rFonts w:eastAsiaTheme="minorEastAsia"/>
          <w:b/>
          <w:bCs/>
          <w:lang w:val="ar-SA" w:eastAsia="zh-TW" w:bidi="en-GB"/>
        </w:rPr>
      </w:pPr>
      <w:r w:rsidRPr="008D1BEF">
        <w:rPr>
          <w:rFonts w:eastAsiaTheme="minorEastAsia"/>
          <w:b/>
          <w:bCs/>
          <w:rtl/>
        </w:rPr>
        <w:tab/>
      </w:r>
      <w:r w:rsidRPr="00F16289">
        <w:rPr>
          <w:rFonts w:eastAsiaTheme="minorEastAsia"/>
          <w:rtl/>
        </w:rPr>
        <w:t>(ج)</w:t>
      </w:r>
      <w:r w:rsidRPr="008D1BEF">
        <w:rPr>
          <w:rFonts w:eastAsiaTheme="minorEastAsia"/>
          <w:b/>
          <w:bCs/>
          <w:rtl/>
        </w:rPr>
        <w:tab/>
        <w:t>ضمان عدم مصادرة جوازات السفر، ومساءلة أرباب العمل الذين يفعلون ذلك مساءلة فعالة؛</w:t>
      </w:r>
    </w:p>
    <w:p w14:paraId="04A1405C" w14:textId="58B49103" w:rsidR="00F16289" w:rsidRPr="008D1BEF" w:rsidRDefault="00F16289" w:rsidP="00F16289">
      <w:pPr>
        <w:pStyle w:val="SingleTxtGA"/>
        <w:rPr>
          <w:rFonts w:eastAsiaTheme="minorEastAsia"/>
          <w:b/>
          <w:bCs/>
          <w:lang w:val="ar-SA" w:eastAsia="zh-TW" w:bidi="en-GB"/>
        </w:rPr>
      </w:pPr>
      <w:r w:rsidRPr="00F16289">
        <w:rPr>
          <w:rFonts w:eastAsiaTheme="minorEastAsia"/>
          <w:rtl/>
        </w:rPr>
        <w:lastRenderedPageBreak/>
        <w:tab/>
        <w:t>(د)</w:t>
      </w:r>
      <w:r w:rsidRPr="00F16289">
        <w:rPr>
          <w:rFonts w:eastAsiaTheme="minorEastAsia"/>
          <w:rtl/>
        </w:rPr>
        <w:tab/>
      </w:r>
      <w:r w:rsidRPr="008D1BEF">
        <w:rPr>
          <w:rFonts w:eastAsiaTheme="minorEastAsia"/>
          <w:b/>
          <w:bCs/>
          <w:rtl/>
        </w:rPr>
        <w:t>ضمان وصول العمال المهاجرين وصولاً كاملاً إلى آليات التظلم والسبل الملائمة للانتصاف بشأن انتهاكات حقوقهم، وتقديم معلومات عن نتائج الشكاوى؛</w:t>
      </w:r>
    </w:p>
    <w:p w14:paraId="392EC9C9" w14:textId="608E9344" w:rsidR="00F16289" w:rsidRPr="00F16289" w:rsidRDefault="00F16289" w:rsidP="00F16289">
      <w:pPr>
        <w:pStyle w:val="SingleTxtGA"/>
        <w:rPr>
          <w:rFonts w:eastAsiaTheme="minorEastAsia"/>
          <w:lang w:val="ar-SA" w:eastAsia="zh-TW" w:bidi="en-GB"/>
        </w:rPr>
      </w:pPr>
      <w:r w:rsidRPr="00F16289">
        <w:rPr>
          <w:rFonts w:eastAsiaTheme="minorEastAsia"/>
          <w:rtl/>
        </w:rPr>
        <w:tab/>
      </w:r>
      <w:r w:rsidRPr="008471B5">
        <w:rPr>
          <w:rFonts w:eastAsiaTheme="minorEastAsia"/>
          <w:rtl/>
        </w:rPr>
        <w:t>(هـ)</w:t>
      </w:r>
      <w:r w:rsidRPr="008D1BEF">
        <w:rPr>
          <w:rFonts w:eastAsiaTheme="minorEastAsia"/>
          <w:b/>
          <w:bCs/>
          <w:rtl/>
        </w:rPr>
        <w:tab/>
        <w:t>تعزيز جهودها الرامية إلى إزالة الحواجز التي تحول دون تمتع العمال الوافدين دون تمييز بحقوقهم الاقتصادية والاجتماعية والثقافية، لا سيما في مجالات الحصول على التعليم والإسكان والعمالة والرعاية والخدمات الصحية</w:t>
      </w:r>
      <w:r w:rsidRPr="00F16289">
        <w:rPr>
          <w:rFonts w:eastAsiaTheme="minorEastAsia"/>
          <w:rtl/>
        </w:rPr>
        <w:t>.</w:t>
      </w:r>
    </w:p>
    <w:p w14:paraId="52FFFEFB" w14:textId="77777777" w:rsidR="00F16289" w:rsidRPr="008D1BEF" w:rsidRDefault="00F16289" w:rsidP="00F16289">
      <w:pPr>
        <w:pStyle w:val="H23GA"/>
        <w:rPr>
          <w:lang w:val="ar-SA" w:eastAsia="zh-TW" w:bidi="en-GB"/>
        </w:rPr>
      </w:pPr>
      <w:r w:rsidRPr="008D1BEF">
        <w:rPr>
          <w:rtl/>
        </w:rPr>
        <w:tab/>
      </w:r>
      <w:r w:rsidRPr="008D1BEF">
        <w:rPr>
          <w:rtl/>
        </w:rPr>
        <w:tab/>
        <w:t>العمال المنزليون المهاجرون</w:t>
      </w:r>
    </w:p>
    <w:p w14:paraId="0107E70E" w14:textId="0BDE77D1" w:rsidR="00652008" w:rsidRPr="00652008" w:rsidRDefault="00F16289" w:rsidP="00F16289">
      <w:pPr>
        <w:pStyle w:val="SingleTxtGA"/>
        <w:rPr>
          <w:rFonts w:eastAsiaTheme="minorEastAsia"/>
          <w:lang w:val="ar-SA" w:eastAsia="zh-TW" w:bidi="en-GB"/>
        </w:rPr>
      </w:pPr>
      <w:bookmarkStart w:id="5" w:name="_Hlk118796205"/>
      <w:r w:rsidRPr="008D1BEF">
        <w:rPr>
          <w:rFonts w:eastAsiaTheme="minorEastAsia"/>
          <w:rtl/>
        </w:rPr>
        <w:t>29</w:t>
      </w:r>
      <w:r w:rsidRPr="00F16289">
        <w:rPr>
          <w:rFonts w:eastAsiaTheme="minorEastAsia"/>
          <w:rtl/>
        </w:rPr>
        <w:t>-</w:t>
      </w:r>
      <w:r w:rsidRPr="00F16289">
        <w:rPr>
          <w:rFonts w:eastAsiaTheme="minorEastAsia"/>
          <w:rtl/>
        </w:rPr>
        <w:tab/>
        <w:t>رغم الجهود التي تبذلها الدولة الطرف لتحسين ظروف العمال المنزليين المهاجرين، ومعظمهم من النساء، لا تزال اللجنة تشعر بالقلق لأن العمال المنزليين المهاجرين لا يستفيدون استفادة كاملة من الحماية القانونية التي يكفلها قانون العمل في القطاع الأهلي، مما يجعلهم أكثر عرضة لسوء المعاملة والاستغلال، مما قد يعوق وصولهم إلى سبل الانتصاف القضائية وغير القضائية فيما يتعلق بانتهاكات حقوق الإنسان ذات الصلة. ويساور اللجنة القلق أيض</w:t>
      </w:r>
      <w:r w:rsidR="00652008">
        <w:rPr>
          <w:rFonts w:eastAsiaTheme="minorEastAsia"/>
          <w:rtl/>
        </w:rPr>
        <w:t xml:space="preserve">اً </w:t>
      </w:r>
      <w:r w:rsidRPr="00F16289">
        <w:rPr>
          <w:rFonts w:eastAsiaTheme="minorEastAsia"/>
          <w:rtl/>
        </w:rPr>
        <w:t>إزاء التقارير التي تفيد بأن العمال المنزليين المهاجرين لا يزالون يواجهون ظروف عمل صعبة، بما في ذلك العمل الجبري، وعدم دفع الأجور، ومصادرة جوازات السفر، وعبودية الدين، وإزاء نقص المعلومات عن الكيفية التي يمكن بها للعمال المنزليين المطالبة بحقوقهم، وعن الشكاوى المقدمة ونتائجها. ويساور اللجنة القلق كذلك إزاء نقص المعلومات التي تثبت التنفيذ الفعال للتدابير الرامية إلى حماية العاملات المنزليات المهاجرات من التحرش والاعتداء الجنسيين، وهو ما يمثل، حسب التقارير الواردة، مشكلة مستمرة على نطاق واسع</w:t>
      </w:r>
      <w:r w:rsidR="00652008">
        <w:rPr>
          <w:rFonts w:eastAsiaTheme="minorEastAsia" w:hint="cs"/>
          <w:rtl/>
        </w:rPr>
        <w:t xml:space="preserve"> </w:t>
      </w:r>
      <w:r w:rsidRPr="00F16289">
        <w:rPr>
          <w:rFonts w:eastAsiaTheme="minorEastAsia"/>
          <w:rtl/>
        </w:rPr>
        <w:t xml:space="preserve">(المواد </w:t>
      </w:r>
      <w:r w:rsidRPr="008D1BEF">
        <w:rPr>
          <w:rFonts w:eastAsiaTheme="minorEastAsia"/>
          <w:rtl/>
        </w:rPr>
        <w:t>5</w:t>
      </w:r>
      <w:r w:rsidRPr="00F16289">
        <w:rPr>
          <w:rFonts w:eastAsiaTheme="minorEastAsia"/>
          <w:rtl/>
        </w:rPr>
        <w:t>-</w:t>
      </w:r>
      <w:r w:rsidR="00652008" w:rsidRPr="008D1BEF">
        <w:rPr>
          <w:rFonts w:eastAsiaTheme="minorEastAsia"/>
          <w:rtl/>
        </w:rPr>
        <w:t>7</w:t>
      </w:r>
      <w:bookmarkEnd w:id="5"/>
      <w:r w:rsidR="00652008" w:rsidRPr="00652008">
        <w:rPr>
          <w:rFonts w:eastAsiaTheme="minorEastAsia"/>
          <w:rtl/>
        </w:rPr>
        <w:t>).</w:t>
      </w:r>
    </w:p>
    <w:p w14:paraId="28827EF8" w14:textId="2737C3B4" w:rsidR="00F16289" w:rsidRPr="008D1BEF" w:rsidRDefault="00F16289" w:rsidP="00F16289">
      <w:pPr>
        <w:pStyle w:val="SingleTxtGA"/>
        <w:rPr>
          <w:rFonts w:eastAsiaTheme="minorEastAsia"/>
          <w:b/>
          <w:bCs/>
          <w:lang w:val="ar-SA" w:eastAsia="zh-TW" w:bidi="en-GB"/>
        </w:rPr>
      </w:pPr>
      <w:r w:rsidRPr="008D1BEF">
        <w:rPr>
          <w:rFonts w:eastAsiaTheme="minorEastAsia"/>
          <w:rtl/>
        </w:rPr>
        <w:t>30</w:t>
      </w:r>
      <w:r w:rsidRPr="00F16289">
        <w:rPr>
          <w:rFonts w:eastAsiaTheme="minorEastAsia"/>
          <w:rtl/>
        </w:rPr>
        <w:t>-</w:t>
      </w:r>
      <w:r w:rsidRPr="00F16289">
        <w:rPr>
          <w:rFonts w:eastAsiaTheme="minorEastAsia"/>
          <w:rtl/>
        </w:rPr>
        <w:tab/>
      </w:r>
      <w:r w:rsidRPr="008D1BEF">
        <w:rPr>
          <w:rFonts w:eastAsiaTheme="minorEastAsia"/>
          <w:b/>
          <w:bCs/>
          <w:rtl/>
        </w:rPr>
        <w:t>وتوصي اللجنة الدولة الطرف بما يلي:</w:t>
      </w:r>
    </w:p>
    <w:p w14:paraId="314DC3F1" w14:textId="5B02853A" w:rsidR="00F16289" w:rsidRPr="008D1BEF" w:rsidRDefault="00F16289" w:rsidP="00F16289">
      <w:pPr>
        <w:pStyle w:val="SingleTxtGA"/>
        <w:rPr>
          <w:rFonts w:eastAsiaTheme="minorEastAsia"/>
          <w:b/>
          <w:bCs/>
          <w:lang w:val="ar-SA" w:eastAsia="zh-TW" w:bidi="en-GB"/>
        </w:rPr>
      </w:pPr>
      <w:r>
        <w:rPr>
          <w:rFonts w:eastAsiaTheme="minorEastAsia"/>
          <w:rtl/>
        </w:rPr>
        <w:tab/>
      </w:r>
      <w:r w:rsidRPr="00F16289">
        <w:rPr>
          <w:rFonts w:eastAsiaTheme="minorEastAsia"/>
          <w:rtl/>
        </w:rPr>
        <w:t>(أ)</w:t>
      </w:r>
      <w:r w:rsidRPr="008D1BEF">
        <w:rPr>
          <w:rFonts w:eastAsiaTheme="minorEastAsia"/>
          <w:b/>
          <w:bCs/>
          <w:rtl/>
        </w:rPr>
        <w:tab/>
        <w:t>ضمان تنظيم عمالة العمال المنزليين المهاجرين، بموجب قانون العمل في القطاع الأهلي، وتنفيذ جميع الأحكام القانونية القائمة لحمايتهم من ممارسات العمل الاستغلالية والتحرش الجنسي والاعتداء البدني أو أي سوء معاملة أخرى تنفيذ</w:t>
      </w:r>
      <w:r w:rsidR="00652008" w:rsidRPr="008D1BEF">
        <w:rPr>
          <w:rFonts w:eastAsiaTheme="minorEastAsia"/>
          <w:b/>
          <w:bCs/>
          <w:rtl/>
        </w:rPr>
        <w:t xml:space="preserve">اً </w:t>
      </w:r>
      <w:r w:rsidRPr="008D1BEF">
        <w:rPr>
          <w:rFonts w:eastAsiaTheme="minorEastAsia"/>
          <w:b/>
          <w:bCs/>
          <w:rtl/>
        </w:rPr>
        <w:t>فعالاً، وإتاحة إمكانية وصولهم بشكل فعال إلى سبل الانتصاف القضائية وغير القضائية من انتهاكات حقوق الإنسان ذات الصلة؛</w:t>
      </w:r>
    </w:p>
    <w:p w14:paraId="08A87C88" w14:textId="77E16C83" w:rsidR="00652008" w:rsidRPr="008D1BEF" w:rsidRDefault="00F16289" w:rsidP="00F16289">
      <w:pPr>
        <w:pStyle w:val="SingleTxtGA"/>
        <w:rPr>
          <w:rFonts w:eastAsiaTheme="minorEastAsia"/>
          <w:b/>
          <w:bCs/>
          <w:spacing w:val="-4"/>
          <w:lang w:val="en-US" w:eastAsia="zh-TW" w:bidi="en-GB"/>
        </w:rPr>
      </w:pPr>
      <w:r w:rsidRPr="00F16289">
        <w:rPr>
          <w:rFonts w:eastAsiaTheme="minorEastAsia"/>
          <w:spacing w:val="-4"/>
          <w:rtl/>
        </w:rPr>
        <w:tab/>
        <w:t>(ب)</w:t>
      </w:r>
      <w:r w:rsidRPr="008D1BEF">
        <w:rPr>
          <w:rFonts w:eastAsiaTheme="minorEastAsia"/>
          <w:b/>
          <w:bCs/>
          <w:spacing w:val="-4"/>
          <w:rtl/>
        </w:rPr>
        <w:tab/>
        <w:t>التصديق على اتفاقية منظمة العمل الدولية بشأن العمال المنزليين، 2011</w:t>
      </w:r>
      <w:r w:rsidR="008471B5" w:rsidRPr="008D1BEF">
        <w:rPr>
          <w:rFonts w:eastAsiaTheme="minorEastAsia" w:hint="cs"/>
          <w:b/>
          <w:bCs/>
          <w:spacing w:val="-4"/>
          <w:rtl/>
        </w:rPr>
        <w:t xml:space="preserve"> </w:t>
      </w:r>
      <w:r w:rsidRPr="008D1BEF">
        <w:rPr>
          <w:rFonts w:eastAsiaTheme="minorEastAsia"/>
          <w:b/>
          <w:bCs/>
          <w:spacing w:val="-4"/>
          <w:rtl/>
        </w:rPr>
        <w:t>(رقم 189</w:t>
      </w:r>
      <w:r w:rsidR="00652008" w:rsidRPr="008D1BEF">
        <w:rPr>
          <w:rFonts w:eastAsiaTheme="minorEastAsia"/>
          <w:b/>
          <w:bCs/>
          <w:spacing w:val="-4"/>
          <w:rtl/>
        </w:rPr>
        <w:t>)؛</w:t>
      </w:r>
    </w:p>
    <w:p w14:paraId="584D7546" w14:textId="42BE0FCC" w:rsidR="00F16289" w:rsidRPr="00F16289" w:rsidRDefault="00F16289" w:rsidP="00F16289">
      <w:pPr>
        <w:pStyle w:val="SingleTxtGA"/>
        <w:rPr>
          <w:rFonts w:eastAsiaTheme="minorEastAsia"/>
          <w:lang w:val="ar-SA" w:eastAsia="zh-TW" w:bidi="en-GB"/>
        </w:rPr>
      </w:pPr>
      <w:r w:rsidRPr="00F16289">
        <w:rPr>
          <w:rFonts w:eastAsiaTheme="minorEastAsia"/>
          <w:rtl/>
        </w:rPr>
        <w:tab/>
        <w:t>(ج)</w:t>
      </w:r>
      <w:r w:rsidRPr="008D1BEF">
        <w:rPr>
          <w:rFonts w:eastAsiaTheme="minorEastAsia"/>
          <w:b/>
          <w:bCs/>
          <w:rtl/>
        </w:rPr>
        <w:tab/>
        <w:t>تضمين تقريرها الدوري المقبل معلومات مفصلة عن تنفيذ القوانين الرامية إلى حماية العمال المنزليين المهاجرين من ممارسات العمل الاستغلالية، بما في ذلك بيانات عن أعداد الشكاوى المقدمة من العمال المنزليين المهاجرين وأنواع تلك الشكاوى ونتائجها</w:t>
      </w:r>
      <w:r w:rsidRPr="00F16289">
        <w:rPr>
          <w:rFonts w:eastAsiaTheme="minorEastAsia"/>
          <w:rtl/>
        </w:rPr>
        <w:t>.</w:t>
      </w:r>
    </w:p>
    <w:p w14:paraId="2E98D50C" w14:textId="77777777" w:rsidR="00F16289" w:rsidRPr="008D1BEF" w:rsidRDefault="00F16289" w:rsidP="00F16289">
      <w:pPr>
        <w:pStyle w:val="H23GA"/>
        <w:rPr>
          <w:lang w:val="ar-SA" w:eastAsia="zh-TW" w:bidi="en-GB"/>
        </w:rPr>
      </w:pPr>
      <w:r w:rsidRPr="008D1BEF">
        <w:rPr>
          <w:rtl/>
        </w:rPr>
        <w:tab/>
      </w:r>
      <w:r w:rsidRPr="008D1BEF">
        <w:rPr>
          <w:rtl/>
        </w:rPr>
        <w:tab/>
        <w:t>الاتجار بالأشخاص</w:t>
      </w:r>
    </w:p>
    <w:p w14:paraId="3A0D9B0C" w14:textId="23C01367" w:rsidR="00652008" w:rsidRPr="00652008" w:rsidRDefault="00F16289" w:rsidP="00F16289">
      <w:pPr>
        <w:pStyle w:val="SingleTxtGA"/>
        <w:rPr>
          <w:rFonts w:eastAsiaTheme="minorEastAsia"/>
          <w:lang w:val="ar-SA" w:eastAsia="zh-TW" w:bidi="en-GB"/>
        </w:rPr>
      </w:pPr>
      <w:bookmarkStart w:id="6" w:name="_Hlk118800790"/>
      <w:r w:rsidRPr="008D1BEF">
        <w:rPr>
          <w:rFonts w:eastAsiaTheme="minorEastAsia"/>
          <w:rtl/>
        </w:rPr>
        <w:t>31</w:t>
      </w:r>
      <w:r w:rsidRPr="00F16289">
        <w:rPr>
          <w:rFonts w:eastAsiaTheme="minorEastAsia"/>
          <w:rtl/>
        </w:rPr>
        <w:t>-</w:t>
      </w:r>
      <w:r w:rsidRPr="00F16289">
        <w:rPr>
          <w:rFonts w:eastAsiaTheme="minorEastAsia"/>
          <w:rtl/>
        </w:rPr>
        <w:tab/>
        <w:t xml:space="preserve">تلاحظ اللجنة الجهود التي تبذلها الدولة الطرف لمنع الاتجار بالأشخاص وملاحقة مرتكبيه، بطرق منها زيادة عمليات تفتيش العمل، والتعاون الثنائي مع بلدان المنشأ، وتوفير المساعدة النفسية والحماية البدنية للضحايا، لكنها لا تزال تشعر بالقلق لأن الدولةَ الطرفَ ما برِحت تمثل بلدَ مقصدٍ للأشخاص المتجر بهم لأغراض العمل الجبري، وفي بعض الحالات، لأغراض الإكراه على البغاء. ويساور اللجنة القلق أيضاً إزاء التقارير التي تفيد بأن الإجراءات لا تستخدم بفعالية في الممارسة لتحديد الضحايا المحتملين للاتجار في صفوف الفئات الضعيفة (المادة </w:t>
      </w:r>
      <w:r w:rsidR="00652008" w:rsidRPr="008D1BEF">
        <w:rPr>
          <w:rFonts w:eastAsiaTheme="minorEastAsia"/>
          <w:rtl/>
        </w:rPr>
        <w:t>5</w:t>
      </w:r>
      <w:bookmarkEnd w:id="6"/>
      <w:r w:rsidR="00652008" w:rsidRPr="00652008">
        <w:rPr>
          <w:rFonts w:eastAsiaTheme="minorEastAsia"/>
          <w:rtl/>
        </w:rPr>
        <w:t>).</w:t>
      </w:r>
    </w:p>
    <w:p w14:paraId="722882C0" w14:textId="3701E53D" w:rsidR="00F16289" w:rsidRPr="00F16289" w:rsidRDefault="00F16289" w:rsidP="00F16289">
      <w:pPr>
        <w:pStyle w:val="SingleTxtGA"/>
        <w:rPr>
          <w:rFonts w:eastAsiaTheme="minorEastAsia"/>
          <w:lang w:val="ar-SA" w:eastAsia="zh-TW" w:bidi="en-GB"/>
        </w:rPr>
      </w:pPr>
      <w:r w:rsidRPr="008D1BEF">
        <w:rPr>
          <w:rFonts w:eastAsiaTheme="minorEastAsia"/>
          <w:rtl/>
        </w:rPr>
        <w:t>32</w:t>
      </w:r>
      <w:r w:rsidRPr="00F16289">
        <w:rPr>
          <w:rFonts w:eastAsiaTheme="minorEastAsia"/>
          <w:rtl/>
        </w:rPr>
        <w:t>-</w:t>
      </w:r>
      <w:r w:rsidRPr="00F16289">
        <w:rPr>
          <w:rFonts w:eastAsiaTheme="minorEastAsia"/>
          <w:rtl/>
        </w:rPr>
        <w:tab/>
      </w:r>
      <w:r w:rsidRPr="008D1BEF">
        <w:rPr>
          <w:rFonts w:eastAsiaTheme="minorEastAsia"/>
          <w:b/>
          <w:bCs/>
          <w:rtl/>
        </w:rPr>
        <w:t xml:space="preserve">توصي اللجنة الدولة الطرف بأن تواصل تعزيز جهودها الرامية إلى القضاء على الاتجار بالأشخاص بوسائل منها إنفاذ القوانين وتنفيذ الاستراتيجيات على نحو يكفل التحقيق في جميع حالات الاتجار ومقاضاة مرتكبي هذه الجريمة وإنزال العقوبات المناسبة بهم. وتوصي اللجنة أيضاً بأن تعزز </w:t>
      </w:r>
      <w:r w:rsidRPr="008D1BEF">
        <w:rPr>
          <w:rFonts w:eastAsiaTheme="minorEastAsia"/>
          <w:b/>
          <w:bCs/>
          <w:rtl/>
        </w:rPr>
        <w:lastRenderedPageBreak/>
        <w:t>الدولة الطرف عمليات التفتيش وأن تزيد من تعاونها مع بلدان المنشأ والبلدان المجاورة لتحديد الضحايا المحتملين للاتجار في صفوف الفئات الضعيفة</w:t>
      </w:r>
      <w:r w:rsidRPr="00F16289">
        <w:rPr>
          <w:rFonts w:eastAsiaTheme="minorEastAsia"/>
          <w:rtl/>
        </w:rPr>
        <w:t>.</w:t>
      </w:r>
    </w:p>
    <w:p w14:paraId="172CE43B" w14:textId="77777777" w:rsidR="00F16289" w:rsidRPr="008D1BEF" w:rsidRDefault="00F16289" w:rsidP="00F16289">
      <w:pPr>
        <w:pStyle w:val="H23GA"/>
        <w:rPr>
          <w:lang w:val="ar-SA" w:eastAsia="zh-TW" w:bidi="en-GB"/>
        </w:rPr>
      </w:pPr>
      <w:r w:rsidRPr="008D1BEF">
        <w:rPr>
          <w:rtl/>
        </w:rPr>
        <w:tab/>
      </w:r>
      <w:r w:rsidRPr="008D1BEF">
        <w:rPr>
          <w:rtl/>
        </w:rPr>
        <w:tab/>
        <w:t>الدورات التدريبية المتعلقة بالتمييز العنصري</w:t>
      </w:r>
    </w:p>
    <w:p w14:paraId="41788954" w14:textId="0926C90A" w:rsidR="00652008" w:rsidRPr="00652008" w:rsidRDefault="00F16289" w:rsidP="00F16289">
      <w:pPr>
        <w:pStyle w:val="SingleTxtGA"/>
        <w:rPr>
          <w:rFonts w:eastAsiaTheme="minorEastAsia"/>
          <w:lang w:val="ar-SA" w:eastAsia="zh-TW" w:bidi="en-GB"/>
        </w:rPr>
      </w:pPr>
      <w:r w:rsidRPr="008D1BEF">
        <w:rPr>
          <w:rFonts w:eastAsiaTheme="minorEastAsia"/>
          <w:rtl/>
        </w:rPr>
        <w:t>33</w:t>
      </w:r>
      <w:r w:rsidRPr="00F16289">
        <w:rPr>
          <w:rFonts w:eastAsiaTheme="minorEastAsia"/>
          <w:rtl/>
        </w:rPr>
        <w:t>-</w:t>
      </w:r>
      <w:r w:rsidRPr="00F16289">
        <w:rPr>
          <w:rFonts w:eastAsiaTheme="minorEastAsia"/>
          <w:rtl/>
        </w:rPr>
        <w:tab/>
        <w:t xml:space="preserve">تلاحظ اللجنة مع التقدير المعلومات المتعلقة بالاستعراض المنتظم للمناهج التعليمية وتدريب المدرسين والطلاب على التسامح والسلام والتعايش. غير أنها تشعر بالقلق إزاء عدم وجود معلومات مفصلة مستكملة عن الدورات التدريبية التي تُنظم تحديداً بشأن التمييز العنصري والحقوق المكفولة في الاتفاقية للإعلاميين وموظفي إنفاذ القانون والقضاة والمحامين وممثلي هيئات الدولة وكيانات الإدارة المحلية والجمعيات ذات الصلة، وإزاء أثر هذه البرامج التدريبية (المادة </w:t>
      </w:r>
      <w:r w:rsidR="00652008" w:rsidRPr="008D1BEF">
        <w:rPr>
          <w:rFonts w:eastAsiaTheme="minorEastAsia"/>
          <w:rtl/>
        </w:rPr>
        <w:t>7</w:t>
      </w:r>
      <w:r w:rsidR="00652008" w:rsidRPr="00652008">
        <w:rPr>
          <w:rFonts w:eastAsiaTheme="minorEastAsia"/>
          <w:rtl/>
        </w:rPr>
        <w:t>).</w:t>
      </w:r>
    </w:p>
    <w:p w14:paraId="1A6A7BC8" w14:textId="483926F8" w:rsidR="00F16289" w:rsidRPr="008D1BEF" w:rsidRDefault="00F16289" w:rsidP="00F16289">
      <w:pPr>
        <w:pStyle w:val="SingleTxtGA"/>
        <w:rPr>
          <w:rFonts w:eastAsiaTheme="minorEastAsia"/>
          <w:b/>
          <w:bCs/>
          <w:lang w:val="ar-SA" w:eastAsia="zh-TW" w:bidi="en-GB"/>
        </w:rPr>
      </w:pPr>
      <w:r w:rsidRPr="008D1BEF">
        <w:rPr>
          <w:rFonts w:eastAsiaTheme="minorEastAsia"/>
          <w:rtl/>
        </w:rPr>
        <w:t>34</w:t>
      </w:r>
      <w:r w:rsidRPr="00F16289">
        <w:rPr>
          <w:rFonts w:eastAsiaTheme="minorEastAsia"/>
          <w:rtl/>
        </w:rPr>
        <w:t>-</w:t>
      </w:r>
      <w:r w:rsidRPr="00F16289">
        <w:rPr>
          <w:rFonts w:eastAsiaTheme="minorEastAsia"/>
          <w:rtl/>
        </w:rPr>
        <w:tab/>
      </w:r>
      <w:r w:rsidRPr="008D1BEF">
        <w:rPr>
          <w:rFonts w:eastAsiaTheme="minorEastAsia"/>
          <w:b/>
          <w:bCs/>
          <w:rtl/>
        </w:rPr>
        <w:t>توصي اللجنة بأن تواصل الدولة الطرف جهودها في مجال التثقيف وأن تستمر في تقديم الدورات التدريبية وتنظم دورات خاصة بالإعلاميين وموظفي الدولة بشأن الحقوق التي تكفلها الاتفاقية، بما في ذلك تنظيم دورات تدريبية متخصصة بشأن منع التمييز العنصري. وتطلب إلى الدولة الطرف أن تقدم معلومات محدثة ومفصلة عن هذه الدورات التدريبية وعن أثرها على الجهود الرامية إلى القضاء على التمييز العنصري في الدولة الطرف.</w:t>
      </w:r>
      <w:bookmarkStart w:id="7" w:name="_Hlk119841397"/>
      <w:bookmarkStart w:id="8" w:name="_Hlk119942795"/>
    </w:p>
    <w:p w14:paraId="021B5A3D" w14:textId="11BEEC37" w:rsidR="00F16289" w:rsidRPr="008D1BEF" w:rsidRDefault="00F16289" w:rsidP="00F16289">
      <w:pPr>
        <w:pStyle w:val="H1GA"/>
        <w:rPr>
          <w:lang w:val="ar-SA" w:eastAsia="zh-TW" w:bidi="en-GB"/>
        </w:rPr>
      </w:pPr>
      <w:r w:rsidRPr="008D1BEF">
        <w:rPr>
          <w:rtl/>
        </w:rPr>
        <w:tab/>
        <w:t>دال-</w:t>
      </w:r>
      <w:r w:rsidRPr="008D1BEF">
        <w:rPr>
          <w:rtl/>
        </w:rPr>
        <w:tab/>
        <w:t>توصيات أخرى</w:t>
      </w:r>
    </w:p>
    <w:p w14:paraId="6E617A93" w14:textId="77777777" w:rsidR="00F16289" w:rsidRPr="008D1BEF" w:rsidRDefault="00F16289" w:rsidP="00F16289">
      <w:pPr>
        <w:pStyle w:val="H23GA"/>
        <w:rPr>
          <w:lang w:val="en-US" w:eastAsia="zh-TW" w:bidi="en-GB"/>
        </w:rPr>
      </w:pPr>
      <w:r w:rsidRPr="008D1BEF">
        <w:rPr>
          <w:rtl/>
        </w:rPr>
        <w:tab/>
      </w:r>
      <w:r w:rsidRPr="008D1BEF">
        <w:rPr>
          <w:rtl/>
        </w:rPr>
        <w:tab/>
        <w:t xml:space="preserve">التصديق على المعاهدات الأخرى </w:t>
      </w:r>
    </w:p>
    <w:p w14:paraId="2CA83DE3" w14:textId="52CFBE09" w:rsidR="00F16289" w:rsidRPr="008D1BEF" w:rsidRDefault="00F16289" w:rsidP="00F16289">
      <w:pPr>
        <w:pStyle w:val="SingleTxtGA"/>
        <w:rPr>
          <w:rFonts w:eastAsiaTheme="minorEastAsia"/>
          <w:b/>
          <w:bCs/>
          <w:lang w:val="ar-SA" w:eastAsia="zh-TW" w:bidi="en-GB"/>
        </w:rPr>
      </w:pPr>
      <w:r w:rsidRPr="008D1BEF">
        <w:rPr>
          <w:rFonts w:eastAsiaTheme="minorEastAsia"/>
          <w:rtl/>
        </w:rPr>
        <w:t>35</w:t>
      </w:r>
      <w:r w:rsidRPr="00F16289">
        <w:rPr>
          <w:rFonts w:eastAsiaTheme="minorEastAsia"/>
          <w:rtl/>
        </w:rPr>
        <w:t>-</w:t>
      </w:r>
      <w:r w:rsidRPr="00F16289">
        <w:rPr>
          <w:rFonts w:eastAsiaTheme="minorEastAsia"/>
          <w:rtl/>
        </w:rPr>
        <w:tab/>
      </w:r>
      <w:r w:rsidRPr="008D1BEF">
        <w:rPr>
          <w:rFonts w:eastAsiaTheme="minorEastAsia"/>
          <w:b/>
          <w:bCs/>
          <w:rtl/>
        </w:rPr>
        <w:t>إذ تضع اللجنة في اعتبارها عدم قابلية جميع حقوق الإنسان للتجزئة، تشجع الدولةَ الطرف على النظر في التصديق على المعاهدات الدولية لحقوق الإنسان التي لم تصدِّق عليها بعد، ولا سيما المعاهدات ذات الأحكام التي لها صلة مباشرة بالجماعات التي قد تتعرض للتمييز العنصري، بما في ذلك الاتفاقية الدولية لحماية حقوق جميع العمال المهاجرين وأفراد أسرهم، والبروتوكول الاختياري لاتفاقية مناهضة التعذيب وغيره من ضروب المعاملة أو العقوبة القاسية أو اللاإنسانية أو المهينة، والاتفاقية الدولية لحماية جميع الأشخاص من الاختفاء القسري، واتفاقية منظمة العمل الدولية بشأن العمال المنزليين لعام 2011 (رقم 189</w:t>
      </w:r>
      <w:r w:rsidR="00652008" w:rsidRPr="008D1BEF">
        <w:rPr>
          <w:rFonts w:eastAsiaTheme="minorEastAsia"/>
          <w:b/>
          <w:bCs/>
          <w:rtl/>
        </w:rPr>
        <w:t xml:space="preserve">)، </w:t>
      </w:r>
      <w:r w:rsidRPr="008D1BEF">
        <w:rPr>
          <w:rFonts w:eastAsiaTheme="minorEastAsia"/>
          <w:b/>
          <w:bCs/>
          <w:rtl/>
        </w:rPr>
        <w:t>والاتفاقية بشأن وضع الأشخاص عديمي الجنسية، والاتفاقية المتعلقة بخفض حالات انعدام الجنسية.</w:t>
      </w:r>
    </w:p>
    <w:p w14:paraId="4D5AE7D5" w14:textId="77777777" w:rsidR="00F16289" w:rsidRPr="008D1BEF" w:rsidRDefault="00F16289" w:rsidP="00F16289">
      <w:pPr>
        <w:pStyle w:val="H23GA"/>
        <w:rPr>
          <w:lang w:val="ar-SA" w:eastAsia="zh-TW" w:bidi="en-GB"/>
        </w:rPr>
      </w:pPr>
      <w:r w:rsidRPr="008D1BEF">
        <w:rPr>
          <w:rtl/>
        </w:rPr>
        <w:tab/>
      </w:r>
      <w:r w:rsidRPr="008D1BEF">
        <w:rPr>
          <w:rtl/>
        </w:rPr>
        <w:tab/>
        <w:t>تعديل المادة 8 من الاتفاقية</w:t>
      </w:r>
    </w:p>
    <w:p w14:paraId="7EAFB14E" w14:textId="03A322EA" w:rsidR="00652008" w:rsidRPr="008D1BEF" w:rsidRDefault="00F16289" w:rsidP="00F16289">
      <w:pPr>
        <w:pStyle w:val="SingleTxtGA"/>
        <w:rPr>
          <w:rFonts w:eastAsiaTheme="minorEastAsia"/>
          <w:b/>
          <w:bCs/>
          <w:lang w:val="ar-SA" w:eastAsia="zh-TW" w:bidi="en-GB"/>
        </w:rPr>
      </w:pPr>
      <w:r w:rsidRPr="008D1BEF">
        <w:rPr>
          <w:rFonts w:eastAsiaTheme="minorEastAsia"/>
          <w:rtl/>
        </w:rPr>
        <w:t>36</w:t>
      </w:r>
      <w:r w:rsidRPr="008D1BEF">
        <w:rPr>
          <w:rFonts w:eastAsiaTheme="minorEastAsia"/>
          <w:b/>
          <w:bCs/>
          <w:rtl/>
        </w:rPr>
        <w:t>-</w:t>
      </w:r>
      <w:r w:rsidRPr="008D1BEF">
        <w:rPr>
          <w:rFonts w:eastAsiaTheme="minorEastAsia"/>
          <w:b/>
          <w:bCs/>
          <w:rtl/>
        </w:rPr>
        <w:tab/>
        <w:t>توصي اللجنة الدولة الطرف بقبول تعديل المادة 8(</w:t>
      </w:r>
      <w:r w:rsidR="00652008" w:rsidRPr="008D1BEF">
        <w:rPr>
          <w:rFonts w:eastAsiaTheme="minorEastAsia"/>
          <w:b/>
          <w:bCs/>
          <w:rtl/>
        </w:rPr>
        <w:t xml:space="preserve">6) </w:t>
      </w:r>
      <w:r w:rsidRPr="008D1BEF">
        <w:rPr>
          <w:rFonts w:eastAsiaTheme="minorEastAsia"/>
          <w:b/>
          <w:bCs/>
          <w:rtl/>
        </w:rPr>
        <w:t>من الاتفاقية الذي اعتمد في 15 كانون الثاني/يناير 1992 في الاجتماع الرابع عشر للدول الأطراف في الاتفاقية وأيدته الجمعية العامة في قرارها 47/11</w:t>
      </w:r>
      <w:r w:rsidR="00652008" w:rsidRPr="008D1BEF">
        <w:rPr>
          <w:rFonts w:eastAsiaTheme="minorEastAsia"/>
          <w:b/>
          <w:bCs/>
          <w:rtl/>
        </w:rPr>
        <w:t>1.</w:t>
      </w:r>
    </w:p>
    <w:p w14:paraId="545E2509" w14:textId="3531E962" w:rsidR="00F16289" w:rsidRPr="008D1BEF" w:rsidRDefault="00F16289" w:rsidP="00F16289">
      <w:pPr>
        <w:pStyle w:val="H23GA"/>
        <w:rPr>
          <w:lang w:val="ar-SA" w:eastAsia="zh-TW" w:bidi="en-GB"/>
        </w:rPr>
      </w:pPr>
      <w:r w:rsidRPr="008D1BEF">
        <w:rPr>
          <w:rtl/>
        </w:rPr>
        <w:tab/>
      </w:r>
      <w:r w:rsidRPr="008D1BEF">
        <w:rPr>
          <w:rtl/>
        </w:rPr>
        <w:tab/>
        <w:t>الإعلان الصادر بموجب المادة 14 من الاتفاقية</w:t>
      </w:r>
    </w:p>
    <w:p w14:paraId="3ABFBAF6" w14:textId="77777777" w:rsidR="00F16289" w:rsidRPr="008D1BEF" w:rsidRDefault="00F16289" w:rsidP="00F16289">
      <w:pPr>
        <w:pStyle w:val="SingleTxtGA"/>
        <w:rPr>
          <w:rFonts w:eastAsiaTheme="minorEastAsia"/>
          <w:b/>
          <w:bCs/>
          <w:lang w:val="ar-SA" w:eastAsia="zh-TW" w:bidi="en-GB"/>
        </w:rPr>
      </w:pPr>
      <w:r w:rsidRPr="008D1BEF">
        <w:rPr>
          <w:rFonts w:eastAsiaTheme="minorEastAsia"/>
          <w:rtl/>
        </w:rPr>
        <w:t>37</w:t>
      </w:r>
      <w:r w:rsidRPr="00F16289">
        <w:rPr>
          <w:rFonts w:eastAsiaTheme="minorEastAsia"/>
          <w:rtl/>
        </w:rPr>
        <w:t>-</w:t>
      </w:r>
      <w:r w:rsidRPr="008D1BEF">
        <w:rPr>
          <w:rFonts w:eastAsiaTheme="minorEastAsia"/>
          <w:b/>
          <w:bCs/>
          <w:rtl/>
        </w:rPr>
        <w:tab/>
        <w:t>تشجع اللجنة الدولة الطرف على إصدار الإعلان الاختياري المنصوص عليه في المادة 14 من الاتفاقية اعترافاً باختصاص اللجنة في تلقي الشكاوى الفردية والنظر فيها.</w:t>
      </w:r>
    </w:p>
    <w:p w14:paraId="68745066" w14:textId="77777777" w:rsidR="00F16289" w:rsidRPr="008D1BEF" w:rsidRDefault="00F16289" w:rsidP="00F16289">
      <w:pPr>
        <w:pStyle w:val="H23GA"/>
        <w:rPr>
          <w:lang w:val="ar-SA" w:eastAsia="zh-TW" w:bidi="en-GB"/>
        </w:rPr>
      </w:pPr>
      <w:r w:rsidRPr="008D1BEF">
        <w:rPr>
          <w:rtl/>
        </w:rPr>
        <w:tab/>
      </w:r>
      <w:r w:rsidRPr="008D1BEF">
        <w:rPr>
          <w:rtl/>
        </w:rPr>
        <w:tab/>
        <w:t xml:space="preserve">متابعة إعلان وبرنامج عمل </w:t>
      </w:r>
      <w:proofErr w:type="spellStart"/>
      <w:r w:rsidRPr="008D1BEF">
        <w:rPr>
          <w:rtl/>
        </w:rPr>
        <w:t>ديربان</w:t>
      </w:r>
      <w:proofErr w:type="spellEnd"/>
    </w:p>
    <w:p w14:paraId="513D3B82" w14:textId="4CAB3891" w:rsidR="00F16289" w:rsidRPr="008D1BEF" w:rsidRDefault="00F16289" w:rsidP="00F16289">
      <w:pPr>
        <w:pStyle w:val="SingleTxtGA"/>
        <w:rPr>
          <w:rFonts w:eastAsiaTheme="minorEastAsia"/>
          <w:b/>
          <w:bCs/>
          <w:lang w:val="ar-SA" w:eastAsia="zh-TW" w:bidi="en-GB"/>
        </w:rPr>
      </w:pPr>
      <w:r w:rsidRPr="008D1BEF">
        <w:rPr>
          <w:rFonts w:eastAsiaTheme="minorEastAsia"/>
          <w:rtl/>
        </w:rPr>
        <w:t>38</w:t>
      </w:r>
      <w:r w:rsidRPr="00F16289">
        <w:rPr>
          <w:rFonts w:eastAsiaTheme="minorEastAsia"/>
          <w:rtl/>
        </w:rPr>
        <w:t>-</w:t>
      </w:r>
      <w:r w:rsidRPr="00F16289">
        <w:rPr>
          <w:rFonts w:eastAsiaTheme="minorEastAsia"/>
          <w:rtl/>
        </w:rPr>
        <w:tab/>
      </w:r>
      <w:r w:rsidRPr="008D1BEF">
        <w:rPr>
          <w:rFonts w:eastAsiaTheme="minorEastAsia"/>
          <w:b/>
          <w:bCs/>
          <w:rtl/>
        </w:rPr>
        <w:t>توصي اللجنة، في ضوء توصيتها العامة رقم 33(200</w:t>
      </w:r>
      <w:r w:rsidR="00652008" w:rsidRPr="008D1BEF">
        <w:rPr>
          <w:rFonts w:eastAsiaTheme="minorEastAsia"/>
          <w:b/>
          <w:bCs/>
          <w:rtl/>
        </w:rPr>
        <w:t xml:space="preserve">9) </w:t>
      </w:r>
      <w:r w:rsidRPr="008D1BEF">
        <w:rPr>
          <w:rFonts w:eastAsiaTheme="minorEastAsia"/>
          <w:b/>
          <w:bCs/>
          <w:rtl/>
        </w:rPr>
        <w:t xml:space="preserve">بشأن متابعة نتائج مؤتمر استعراض </w:t>
      </w:r>
      <w:proofErr w:type="spellStart"/>
      <w:r w:rsidRPr="008D1BEF">
        <w:rPr>
          <w:rFonts w:eastAsiaTheme="minorEastAsia"/>
          <w:b/>
          <w:bCs/>
          <w:rtl/>
        </w:rPr>
        <w:t>ديربان</w:t>
      </w:r>
      <w:proofErr w:type="spellEnd"/>
      <w:r w:rsidRPr="008D1BEF">
        <w:rPr>
          <w:rFonts w:eastAsiaTheme="minorEastAsia"/>
          <w:b/>
          <w:bCs/>
          <w:rtl/>
        </w:rPr>
        <w:t xml:space="preserve">، بأن تفعِّل الدولة الطرف، في سياق تنفيذ الاتفاقية، إعلان وبرنامج عمل </w:t>
      </w:r>
      <w:proofErr w:type="spellStart"/>
      <w:r w:rsidRPr="008D1BEF">
        <w:rPr>
          <w:rFonts w:eastAsiaTheme="minorEastAsia"/>
          <w:b/>
          <w:bCs/>
          <w:rtl/>
        </w:rPr>
        <w:t>ديربان</w:t>
      </w:r>
      <w:proofErr w:type="spellEnd"/>
      <w:r w:rsidRPr="008D1BEF">
        <w:rPr>
          <w:rFonts w:eastAsiaTheme="minorEastAsia"/>
          <w:b/>
          <w:bCs/>
          <w:rtl/>
        </w:rPr>
        <w:t xml:space="preserve"> </w:t>
      </w:r>
      <w:r w:rsidRPr="008D1BEF">
        <w:rPr>
          <w:rFonts w:eastAsiaTheme="minorEastAsia"/>
          <w:b/>
          <w:bCs/>
          <w:rtl/>
        </w:rPr>
        <w:lastRenderedPageBreak/>
        <w:t>الذي</w:t>
      </w:r>
      <w:r w:rsidR="005C3CCC">
        <w:rPr>
          <w:rFonts w:eastAsiaTheme="minorEastAsia" w:hint="cs"/>
          <w:b/>
          <w:bCs/>
          <w:rtl/>
        </w:rPr>
        <w:t> </w:t>
      </w:r>
      <w:r w:rsidRPr="008D1BEF">
        <w:rPr>
          <w:rFonts w:eastAsiaTheme="minorEastAsia"/>
          <w:b/>
          <w:bCs/>
          <w:rtl/>
        </w:rPr>
        <w:t xml:space="preserve">اعتُمد في أيلول/سبتمبر 2001 في المؤتمر العالمي لمناهضة العنصرية والتمييز العنصري وكره الأجانب وما يتصل بذلك من تعصب، مع مراعاة الوثيقة الختامية لمؤتمر استعراض </w:t>
      </w:r>
      <w:proofErr w:type="spellStart"/>
      <w:r w:rsidRPr="008D1BEF">
        <w:rPr>
          <w:rFonts w:eastAsiaTheme="minorEastAsia"/>
          <w:b/>
          <w:bCs/>
          <w:rtl/>
        </w:rPr>
        <w:t>ديربان</w:t>
      </w:r>
      <w:proofErr w:type="spellEnd"/>
      <w:r w:rsidRPr="008D1BEF">
        <w:rPr>
          <w:rFonts w:eastAsiaTheme="minorEastAsia"/>
          <w:b/>
          <w:bCs/>
          <w:rtl/>
        </w:rPr>
        <w:t xml:space="preserve"> المعقود في جنيف في نيسان/أبريل 200</w:t>
      </w:r>
      <w:r w:rsidR="00652008" w:rsidRPr="008D1BEF">
        <w:rPr>
          <w:rFonts w:eastAsiaTheme="minorEastAsia"/>
          <w:b/>
          <w:bCs/>
          <w:rtl/>
        </w:rPr>
        <w:t xml:space="preserve">9. </w:t>
      </w:r>
      <w:r w:rsidRPr="008D1BEF">
        <w:rPr>
          <w:rFonts w:eastAsiaTheme="minorEastAsia"/>
          <w:b/>
          <w:bCs/>
          <w:rtl/>
        </w:rPr>
        <w:t xml:space="preserve">وتطلب اللجنة إلى الدولة الطرف أن تدرج في تقريرها الدوري المقبل معلومات محددة عن خطط العمل والتدابير الأخرى المتخذة لتنفيذ إعلان وبرنامج عمل </w:t>
      </w:r>
      <w:proofErr w:type="spellStart"/>
      <w:r w:rsidRPr="008D1BEF">
        <w:rPr>
          <w:rFonts w:eastAsiaTheme="minorEastAsia"/>
          <w:b/>
          <w:bCs/>
          <w:rtl/>
        </w:rPr>
        <w:t>ديربان</w:t>
      </w:r>
      <w:proofErr w:type="spellEnd"/>
      <w:r w:rsidRPr="008D1BEF">
        <w:rPr>
          <w:rFonts w:eastAsiaTheme="minorEastAsia"/>
          <w:b/>
          <w:bCs/>
          <w:rtl/>
        </w:rPr>
        <w:t xml:space="preserve"> على الصعيد الوطني.</w:t>
      </w:r>
    </w:p>
    <w:p w14:paraId="3520DDFE" w14:textId="77777777" w:rsidR="00F16289" w:rsidRPr="008D1BEF" w:rsidRDefault="00F16289" w:rsidP="00F16289">
      <w:pPr>
        <w:pStyle w:val="H23GA"/>
        <w:rPr>
          <w:lang w:val="ar-SA" w:eastAsia="zh-TW" w:bidi="en-GB"/>
        </w:rPr>
      </w:pPr>
      <w:r w:rsidRPr="008D1BEF">
        <w:rPr>
          <w:rtl/>
        </w:rPr>
        <w:tab/>
      </w:r>
      <w:r w:rsidRPr="008D1BEF">
        <w:rPr>
          <w:rtl/>
        </w:rPr>
        <w:tab/>
        <w:t>العقد الدولي للمنحدرين من أصل أفريقي</w:t>
      </w:r>
    </w:p>
    <w:p w14:paraId="48F1251A" w14:textId="069C6561" w:rsidR="00F16289" w:rsidRPr="008D1BEF" w:rsidRDefault="00F16289" w:rsidP="00F16289">
      <w:pPr>
        <w:pStyle w:val="SingleTxtGA"/>
        <w:rPr>
          <w:rFonts w:eastAsiaTheme="minorEastAsia"/>
          <w:b/>
          <w:bCs/>
          <w:lang w:val="ar-SA" w:eastAsia="zh-TW" w:bidi="en-GB"/>
        </w:rPr>
      </w:pPr>
      <w:r w:rsidRPr="008D1BEF">
        <w:rPr>
          <w:rFonts w:eastAsiaTheme="minorEastAsia"/>
          <w:rtl/>
        </w:rPr>
        <w:t>39</w:t>
      </w:r>
      <w:r w:rsidRPr="00F16289">
        <w:rPr>
          <w:rFonts w:eastAsiaTheme="minorEastAsia"/>
          <w:rtl/>
        </w:rPr>
        <w:t>-</w:t>
      </w:r>
      <w:r w:rsidRPr="008D1BEF">
        <w:rPr>
          <w:rFonts w:eastAsiaTheme="minorEastAsia"/>
          <w:b/>
          <w:bCs/>
          <w:rtl/>
        </w:rPr>
        <w:tab/>
        <w:t xml:space="preserve">في ضوء قرار الجمعية العامة </w:t>
      </w:r>
      <w:r w:rsidR="008471B5" w:rsidRPr="008D1BEF">
        <w:rPr>
          <w:rFonts w:eastAsiaTheme="minorEastAsia"/>
          <w:b/>
          <w:bCs/>
          <w:rtl/>
        </w:rPr>
        <w:t>68/237</w:t>
      </w:r>
      <w:r w:rsidRPr="008D1BEF">
        <w:rPr>
          <w:rFonts w:eastAsiaTheme="minorEastAsia"/>
          <w:b/>
          <w:bCs/>
          <w:rtl/>
        </w:rPr>
        <w:t xml:space="preserve"> الذي أعلنت فيه الجمعية الفترة 2015-2024 عقداً دولياً للمنحدرين من أصل أفريقي، وقرار الجمعية 69/16 بشأن برنامج الأنشطة لتنفيذ العقد، توصي اللجنة الدولة الطرف بأن تعد وتنفذ برنامج تدابير وسياسات مناسباً. وتطلب اللجنة إلى الدولة الطرف أن تدرج في تقريرها المقبل معلومات دقيقة عن التدابير الملموسة المعتمدة في هذا الإطار، مع مراعاة توصيتها العامة رقم 34(201</w:t>
      </w:r>
      <w:r w:rsidR="00652008" w:rsidRPr="008D1BEF">
        <w:rPr>
          <w:rFonts w:eastAsiaTheme="minorEastAsia"/>
          <w:b/>
          <w:bCs/>
          <w:rtl/>
        </w:rPr>
        <w:t xml:space="preserve">1) </w:t>
      </w:r>
      <w:r w:rsidRPr="008D1BEF">
        <w:rPr>
          <w:rFonts w:eastAsiaTheme="minorEastAsia"/>
          <w:b/>
          <w:bCs/>
          <w:rtl/>
        </w:rPr>
        <w:t>بشأن التمييز العنصري ضد السكان المنحدرين من أصل أفريقي.</w:t>
      </w:r>
    </w:p>
    <w:p w14:paraId="66292964" w14:textId="77777777" w:rsidR="00F16289" w:rsidRPr="008D1BEF" w:rsidRDefault="00F16289" w:rsidP="00F16289">
      <w:pPr>
        <w:pStyle w:val="H23GA"/>
        <w:rPr>
          <w:lang w:val="ar-SA" w:eastAsia="zh-TW" w:bidi="en-GB"/>
        </w:rPr>
      </w:pPr>
      <w:r w:rsidRPr="008D1BEF">
        <w:rPr>
          <w:rtl/>
        </w:rPr>
        <w:tab/>
      </w:r>
      <w:r w:rsidRPr="008D1BEF">
        <w:rPr>
          <w:rtl/>
        </w:rPr>
        <w:tab/>
        <w:t>المشاورات مع المجتمع المدني</w:t>
      </w:r>
    </w:p>
    <w:p w14:paraId="5425BE17" w14:textId="77777777" w:rsidR="00F16289" w:rsidRPr="008D1BEF" w:rsidRDefault="00F16289" w:rsidP="00F16289">
      <w:pPr>
        <w:pStyle w:val="SingleTxtGA"/>
        <w:rPr>
          <w:rFonts w:eastAsiaTheme="minorEastAsia"/>
          <w:b/>
          <w:bCs/>
          <w:lang w:val="ar-SA" w:eastAsia="zh-TW" w:bidi="en-GB"/>
        </w:rPr>
      </w:pPr>
      <w:r w:rsidRPr="008D1BEF">
        <w:rPr>
          <w:rFonts w:eastAsiaTheme="minorEastAsia"/>
          <w:rtl/>
        </w:rPr>
        <w:t>40</w:t>
      </w:r>
      <w:r w:rsidRPr="00F16289">
        <w:rPr>
          <w:rFonts w:eastAsiaTheme="minorEastAsia"/>
          <w:rtl/>
        </w:rPr>
        <w:t>-</w:t>
      </w:r>
      <w:r w:rsidRPr="00F16289">
        <w:rPr>
          <w:rFonts w:eastAsiaTheme="minorEastAsia"/>
          <w:rtl/>
        </w:rPr>
        <w:tab/>
      </w:r>
      <w:r w:rsidRPr="008D1BEF">
        <w:rPr>
          <w:rFonts w:eastAsiaTheme="minorEastAsia"/>
          <w:b/>
          <w:bCs/>
          <w:rtl/>
        </w:rPr>
        <w:t>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w:t>
      </w:r>
    </w:p>
    <w:p w14:paraId="46FA4D40" w14:textId="77777777" w:rsidR="00F16289" w:rsidRPr="008D1BEF" w:rsidRDefault="00F16289" w:rsidP="00F16289">
      <w:pPr>
        <w:pStyle w:val="H23GA"/>
        <w:rPr>
          <w:lang w:val="ar-SA" w:eastAsia="zh-TW" w:bidi="en-GB"/>
        </w:rPr>
      </w:pPr>
      <w:r w:rsidRPr="008D1BEF">
        <w:rPr>
          <w:rtl/>
        </w:rPr>
        <w:tab/>
      </w:r>
      <w:r w:rsidRPr="008D1BEF">
        <w:rPr>
          <w:rtl/>
        </w:rPr>
        <w:tab/>
        <w:t>نشر المعلومات</w:t>
      </w:r>
    </w:p>
    <w:p w14:paraId="0B726260" w14:textId="77777777" w:rsidR="00F16289" w:rsidRPr="008D1BEF" w:rsidRDefault="00F16289" w:rsidP="00F16289">
      <w:pPr>
        <w:pStyle w:val="SingleTxtGA"/>
        <w:rPr>
          <w:rFonts w:eastAsiaTheme="minorEastAsia"/>
          <w:b/>
          <w:bCs/>
          <w:lang w:val="ar-SA" w:eastAsia="zh-TW" w:bidi="en-GB"/>
        </w:rPr>
      </w:pPr>
      <w:r w:rsidRPr="008D1BEF">
        <w:rPr>
          <w:rFonts w:eastAsiaTheme="minorEastAsia"/>
          <w:rtl/>
        </w:rPr>
        <w:t>41</w:t>
      </w:r>
      <w:r w:rsidRPr="00F16289">
        <w:rPr>
          <w:rFonts w:eastAsiaTheme="minorEastAsia"/>
          <w:rtl/>
        </w:rPr>
        <w:t>-</w:t>
      </w:r>
      <w:r w:rsidRPr="008D1BEF">
        <w:rPr>
          <w:rFonts w:eastAsiaTheme="minorEastAsia"/>
          <w:b/>
          <w:bCs/>
          <w:rtl/>
        </w:rPr>
        <w:tab/>
        <w:t>توصي اللجنة الدولة الطرف بإتاحة تقاريرها لعامة الجمهور وتيسير الاطلاع عليها وقت تقديمها، وبإتاحة الملاحظات الختامية للجنة المتعلقة بتلك التقارير لجميع الهيئات الحكومية المكلّفة بتنفيذ الاتفاقية، بما فيها السلطات المحلية، وبنشر الملاحظات الختامية للجنة المتعلقة بتلك التقارير في الموقع الشبكي لوزارة الخارجية باللغات الرسمية وغيرها من اللغات الشائع استخدامها في البلد، حسب الاقتضاء.</w:t>
      </w:r>
    </w:p>
    <w:p w14:paraId="3E34B359" w14:textId="6B451112" w:rsidR="00F16289" w:rsidRPr="008D1BEF" w:rsidRDefault="00F16289" w:rsidP="00F16289">
      <w:pPr>
        <w:pStyle w:val="H23GA"/>
        <w:rPr>
          <w:lang w:val="en-US" w:eastAsia="zh-TW" w:bidi="en-GB"/>
        </w:rPr>
      </w:pPr>
      <w:r w:rsidRPr="008D1BEF">
        <w:rPr>
          <w:rtl/>
        </w:rPr>
        <w:tab/>
      </w:r>
      <w:r w:rsidRPr="008D1BEF">
        <w:rPr>
          <w:rtl/>
        </w:rPr>
        <w:tab/>
        <w:t>الوثيقة الأساسية الموحدة</w:t>
      </w:r>
    </w:p>
    <w:p w14:paraId="06D13933" w14:textId="44022E84" w:rsidR="00F16289" w:rsidRPr="008D1BEF" w:rsidRDefault="00F16289" w:rsidP="00F16289">
      <w:pPr>
        <w:pStyle w:val="SingleTxtGA"/>
        <w:rPr>
          <w:rFonts w:eastAsiaTheme="minorEastAsia"/>
          <w:b/>
          <w:bCs/>
          <w:lang w:val="ar-SA" w:eastAsia="zh-TW" w:bidi="en-GB"/>
        </w:rPr>
      </w:pPr>
      <w:r w:rsidRPr="008D1BEF">
        <w:rPr>
          <w:rFonts w:eastAsiaTheme="minorEastAsia"/>
          <w:rtl/>
        </w:rPr>
        <w:t>42</w:t>
      </w:r>
      <w:r w:rsidRPr="00F16289">
        <w:rPr>
          <w:rFonts w:eastAsiaTheme="minorEastAsia"/>
          <w:rtl/>
        </w:rPr>
        <w:t>-</w:t>
      </w:r>
      <w:r w:rsidRPr="00F16289">
        <w:rPr>
          <w:rFonts w:eastAsiaTheme="minorEastAsia"/>
          <w:rtl/>
        </w:rPr>
        <w:tab/>
      </w:r>
      <w:r w:rsidRPr="008D1BEF">
        <w:rPr>
          <w:rFonts w:eastAsiaTheme="minorEastAsia"/>
          <w:b/>
          <w:bCs/>
          <w:rtl/>
        </w:rPr>
        <w:t>تشجع اللجنة الدولة الطرف على تحديث وثيقتها الأساسية الموحدة، التي يعود تاريخها إلى 1 أيار/مايو 2019، وفقا للمبادئ التوجيهية المنسقة لتقديم التقارير بموجب المعاهدات الدولية لحقوق الإنسان، ولا سيما المبادئ التوجيهية لتقديم وثيقة أساسية موحدة، بصيغتها المعتمدة في الاجتماع</w:t>
      </w:r>
      <w:r w:rsidR="00652008" w:rsidRPr="008D1BEF">
        <w:rPr>
          <w:rFonts w:eastAsiaTheme="minorEastAsia" w:hint="cs"/>
          <w:b/>
          <w:bCs/>
          <w:rtl/>
        </w:rPr>
        <w:t> </w:t>
      </w:r>
      <w:r w:rsidRPr="008D1BEF">
        <w:rPr>
          <w:rFonts w:eastAsiaTheme="minorEastAsia"/>
          <w:b/>
          <w:bCs/>
          <w:rtl/>
        </w:rPr>
        <w:t>الخامس المشترك بين لجان هيئات معاهدات حقوق الإنسان الدولية المعقود في حزيران/</w:t>
      </w:r>
      <w:r w:rsidR="00652008" w:rsidRPr="008D1BEF">
        <w:rPr>
          <w:rFonts w:eastAsiaTheme="minorEastAsia" w:hint="cs"/>
          <w:b/>
          <w:bCs/>
          <w:rtl/>
        </w:rPr>
        <w:t xml:space="preserve"> </w:t>
      </w:r>
      <w:r w:rsidRPr="008D1BEF">
        <w:rPr>
          <w:rFonts w:eastAsiaTheme="minorEastAsia"/>
          <w:b/>
          <w:bCs/>
          <w:rtl/>
        </w:rPr>
        <w:t>يونيه 2006</w:t>
      </w:r>
      <w:r w:rsidR="00652008" w:rsidRPr="008D1BEF">
        <w:rPr>
          <w:rStyle w:val="FootnoteReference"/>
          <w:rFonts w:eastAsiaTheme="minorEastAsia"/>
          <w:sz w:val="22"/>
          <w:rtl/>
        </w:rPr>
        <w:t>(</w:t>
      </w:r>
      <w:r w:rsidR="00652008" w:rsidRPr="008D1BEF">
        <w:rPr>
          <w:rStyle w:val="FootnoteReference"/>
          <w:rFonts w:eastAsiaTheme="minorEastAsia"/>
          <w:sz w:val="22"/>
          <w:lang w:val="en-US"/>
        </w:rPr>
        <w:footnoteReference w:id="7"/>
      </w:r>
      <w:r w:rsidR="00652008" w:rsidRPr="008D1BEF">
        <w:rPr>
          <w:rStyle w:val="FootnoteReference"/>
          <w:rFonts w:eastAsiaTheme="minorEastAsia"/>
          <w:sz w:val="22"/>
          <w:rtl/>
        </w:rPr>
        <w:t>)</w:t>
      </w:r>
      <w:r w:rsidR="00652008" w:rsidRPr="008D1BEF">
        <w:rPr>
          <w:rFonts w:eastAsiaTheme="minorEastAsia" w:hint="cs"/>
          <w:b/>
          <w:bCs/>
          <w:rtl/>
        </w:rPr>
        <w:t>.</w:t>
      </w:r>
      <w:r w:rsidRPr="008D1BEF">
        <w:rPr>
          <w:rFonts w:eastAsiaTheme="minorEastAsia"/>
          <w:b/>
          <w:bCs/>
          <w:rtl/>
        </w:rPr>
        <w:t xml:space="preserve"> وفي ضوء قرار الجمعية العامة 68/268، تحث اللجنة الدولة الطـــرف على التقيد بالحد الأقصـــى لعدد الكلمات في هـذه الوثائق، وهو 400 42 كلمة في هذه الوثائق.</w:t>
      </w:r>
    </w:p>
    <w:p w14:paraId="238C012B" w14:textId="77777777" w:rsidR="00F16289" w:rsidRPr="008D1BEF" w:rsidRDefault="00F16289" w:rsidP="00F16289">
      <w:pPr>
        <w:pStyle w:val="H23GA"/>
        <w:rPr>
          <w:lang w:val="ar-SA" w:eastAsia="zh-TW" w:bidi="en-GB"/>
        </w:rPr>
      </w:pPr>
      <w:r w:rsidRPr="008D1BEF">
        <w:rPr>
          <w:rtl/>
        </w:rPr>
        <w:tab/>
      </w:r>
      <w:r w:rsidRPr="008D1BEF">
        <w:rPr>
          <w:rtl/>
        </w:rPr>
        <w:tab/>
        <w:t>متابعة هذه الملاحظات الختامية</w:t>
      </w:r>
    </w:p>
    <w:p w14:paraId="4D158578" w14:textId="38EA0039" w:rsidR="00F16289" w:rsidRPr="008D1BEF" w:rsidRDefault="00F16289" w:rsidP="00F16289">
      <w:pPr>
        <w:pStyle w:val="SingleTxtGA"/>
        <w:rPr>
          <w:rFonts w:eastAsiaTheme="minorEastAsia"/>
          <w:b/>
          <w:bCs/>
          <w:lang w:val="ar-SA" w:eastAsia="zh-TW" w:bidi="en-GB"/>
        </w:rPr>
      </w:pPr>
      <w:r w:rsidRPr="008D1BEF">
        <w:rPr>
          <w:rFonts w:eastAsiaTheme="minorEastAsia"/>
          <w:rtl/>
        </w:rPr>
        <w:t>43</w:t>
      </w:r>
      <w:r w:rsidRPr="00F16289">
        <w:rPr>
          <w:rFonts w:eastAsiaTheme="minorEastAsia"/>
          <w:rtl/>
        </w:rPr>
        <w:t>-</w:t>
      </w:r>
      <w:r w:rsidRPr="008D1BEF">
        <w:rPr>
          <w:rFonts w:eastAsiaTheme="minorEastAsia"/>
          <w:b/>
          <w:bCs/>
          <w:rtl/>
        </w:rPr>
        <w:tab/>
        <w:t xml:space="preserve">تطلب اللجنة إلى الدولة الطرف، وفقاً للفقرة 1 من المادة 9 من الاتفاقية والمادة 65 من نظامها الداخلي، أن تقدم، في غضون سنة واحدة من اعتماد هذه الملاحظات الختامية، معلومات عن </w:t>
      </w:r>
      <w:r w:rsidRPr="008D1BEF">
        <w:rPr>
          <w:rFonts w:eastAsiaTheme="minorEastAsia"/>
          <w:b/>
          <w:bCs/>
          <w:rtl/>
        </w:rPr>
        <w:lastRenderedPageBreak/>
        <w:t>تنفيذها التوصيات الواردة في الفقرات 28(أ) و(ج) و(د) (العمال المهاجرون)</w:t>
      </w:r>
      <w:r w:rsidR="008471B5" w:rsidRPr="008D1BEF">
        <w:rPr>
          <w:rFonts w:eastAsiaTheme="minorEastAsia" w:hint="cs"/>
          <w:b/>
          <w:bCs/>
          <w:rtl/>
        </w:rPr>
        <w:t>،</w:t>
      </w:r>
      <w:r w:rsidRPr="008D1BEF">
        <w:rPr>
          <w:rFonts w:eastAsiaTheme="minorEastAsia"/>
          <w:b/>
          <w:bCs/>
          <w:rtl/>
        </w:rPr>
        <w:t xml:space="preserve"> و30(أ) (عمال المنازل المهاجرون) و32 (الاتجار بالأشخاص) أعلاه.</w:t>
      </w:r>
    </w:p>
    <w:p w14:paraId="4DAE24EF" w14:textId="77777777" w:rsidR="00F16289" w:rsidRPr="008D1BEF" w:rsidRDefault="00F16289" w:rsidP="00F16289">
      <w:pPr>
        <w:pStyle w:val="H23GA"/>
        <w:rPr>
          <w:lang w:val="ar-SA" w:eastAsia="zh-TW" w:bidi="en-GB"/>
        </w:rPr>
      </w:pPr>
      <w:r w:rsidRPr="008D1BEF">
        <w:rPr>
          <w:rtl/>
        </w:rPr>
        <w:tab/>
      </w:r>
      <w:r w:rsidRPr="008D1BEF">
        <w:rPr>
          <w:rtl/>
        </w:rPr>
        <w:tab/>
        <w:t>الفقرات ذات الأهمية الخاصة</w:t>
      </w:r>
    </w:p>
    <w:p w14:paraId="2CCBC496" w14:textId="328FA799" w:rsidR="00F16289" w:rsidRPr="008D1BEF" w:rsidRDefault="00F16289" w:rsidP="00F16289">
      <w:pPr>
        <w:pStyle w:val="SingleTxtGA"/>
        <w:rPr>
          <w:rFonts w:eastAsiaTheme="minorEastAsia"/>
          <w:b/>
          <w:bCs/>
          <w:lang w:val="ar-SA" w:eastAsia="zh-TW" w:bidi="en-GB"/>
        </w:rPr>
      </w:pPr>
      <w:r w:rsidRPr="008D1BEF">
        <w:rPr>
          <w:rFonts w:eastAsiaTheme="minorEastAsia"/>
          <w:rtl/>
        </w:rPr>
        <w:t>44</w:t>
      </w:r>
      <w:r w:rsidRPr="00F16289">
        <w:rPr>
          <w:rFonts w:eastAsiaTheme="minorEastAsia"/>
          <w:rtl/>
        </w:rPr>
        <w:t>-</w:t>
      </w:r>
      <w:r w:rsidRPr="008D1BEF">
        <w:rPr>
          <w:rFonts w:eastAsiaTheme="minorEastAsia"/>
          <w:b/>
          <w:bCs/>
          <w:rtl/>
        </w:rPr>
        <w:tab/>
        <w:t xml:space="preserve">تود اللجنة أن توجه انتباه الدولة الطرف إلى الأهمية الخاصة للتوصيات الواردة في </w:t>
      </w:r>
      <w:r w:rsidRPr="008D1BEF">
        <w:rPr>
          <w:rFonts w:ascii="Times New Roman Bold" w:eastAsiaTheme="minorEastAsia" w:hAnsi="Times New Roman Bold"/>
          <w:b/>
          <w:bCs/>
          <w:spacing w:val="-4"/>
          <w:rtl/>
        </w:rPr>
        <w:t>الفقرات 10 (الإطار القانوني لمكافحة التمييز العنصري</w:t>
      </w:r>
      <w:r w:rsidR="00652008" w:rsidRPr="008D1BEF">
        <w:rPr>
          <w:rFonts w:ascii="Times New Roman Bold" w:eastAsiaTheme="minorEastAsia" w:hAnsi="Times New Roman Bold"/>
          <w:b/>
          <w:bCs/>
          <w:spacing w:val="-4"/>
          <w:rtl/>
        </w:rPr>
        <w:t xml:space="preserve">)، </w:t>
      </w:r>
      <w:r w:rsidRPr="008D1BEF">
        <w:rPr>
          <w:rFonts w:ascii="Times New Roman Bold" w:eastAsiaTheme="minorEastAsia" w:hAnsi="Times New Roman Bold"/>
          <w:b/>
          <w:bCs/>
          <w:spacing w:val="-4"/>
          <w:rtl/>
        </w:rPr>
        <w:t>و12 (التدابير الخاصة</w:t>
      </w:r>
      <w:r w:rsidR="00652008" w:rsidRPr="008D1BEF">
        <w:rPr>
          <w:rFonts w:ascii="Times New Roman Bold" w:eastAsiaTheme="minorEastAsia" w:hAnsi="Times New Roman Bold"/>
          <w:b/>
          <w:bCs/>
          <w:spacing w:val="-4"/>
          <w:rtl/>
        </w:rPr>
        <w:t xml:space="preserve">)، </w:t>
      </w:r>
      <w:r w:rsidRPr="008D1BEF">
        <w:rPr>
          <w:rFonts w:ascii="Times New Roman Bold" w:eastAsiaTheme="minorEastAsia" w:hAnsi="Times New Roman Bold"/>
          <w:b/>
          <w:bCs/>
          <w:spacing w:val="-4"/>
          <w:rtl/>
        </w:rPr>
        <w:t>و18 (خطاب الكراهية العنصرية والجرائم بدافع الكراهية</w:t>
      </w:r>
      <w:r w:rsidR="00652008" w:rsidRPr="008D1BEF">
        <w:rPr>
          <w:rFonts w:ascii="Times New Roman Bold" w:eastAsiaTheme="minorEastAsia" w:hAnsi="Times New Roman Bold"/>
          <w:b/>
          <w:bCs/>
          <w:spacing w:val="-4"/>
          <w:rtl/>
        </w:rPr>
        <w:t xml:space="preserve">)، </w:t>
      </w:r>
      <w:r w:rsidRPr="008D1BEF">
        <w:rPr>
          <w:rFonts w:ascii="Times New Roman Bold" w:eastAsiaTheme="minorEastAsia" w:hAnsi="Times New Roman Bold"/>
          <w:b/>
          <w:bCs/>
          <w:spacing w:val="-4"/>
          <w:rtl/>
        </w:rPr>
        <w:t>و20 (منظمات المجتمع المدني</w:t>
      </w:r>
      <w:r w:rsidR="00652008" w:rsidRPr="008D1BEF">
        <w:rPr>
          <w:rFonts w:ascii="Times New Roman Bold" w:eastAsiaTheme="minorEastAsia" w:hAnsi="Times New Roman Bold"/>
          <w:b/>
          <w:bCs/>
          <w:spacing w:val="-4"/>
          <w:rtl/>
        </w:rPr>
        <w:t xml:space="preserve">)، </w:t>
      </w:r>
      <w:r w:rsidRPr="008D1BEF">
        <w:rPr>
          <w:rFonts w:ascii="Times New Roman Bold" w:eastAsiaTheme="minorEastAsia" w:hAnsi="Times New Roman Bold"/>
          <w:b/>
          <w:bCs/>
          <w:spacing w:val="-4"/>
          <w:rtl/>
        </w:rPr>
        <w:t>و24 (انعدام الجنسية)</w:t>
      </w:r>
      <w:r w:rsidRPr="008D1BEF">
        <w:rPr>
          <w:rFonts w:eastAsiaTheme="minorEastAsia"/>
          <w:b/>
          <w:bCs/>
          <w:rtl/>
        </w:rPr>
        <w:t xml:space="preserve"> أعلاه، وتطلب إلى الدولة الطرف أن تقدم في تقريرها الدوري المقبل معلومات مفصلة عن التدابير الملموسة المتخذة لتنفيذ تلك التوصيات.</w:t>
      </w:r>
    </w:p>
    <w:p w14:paraId="20416737" w14:textId="77777777" w:rsidR="00F16289" w:rsidRPr="008D1BEF" w:rsidRDefault="00F16289" w:rsidP="00F16289">
      <w:pPr>
        <w:pStyle w:val="H23GA"/>
        <w:rPr>
          <w:lang w:val="en-US" w:eastAsia="zh-TW" w:bidi="en-GB"/>
        </w:rPr>
      </w:pPr>
      <w:r w:rsidRPr="008D1BEF">
        <w:rPr>
          <w:rtl/>
        </w:rPr>
        <w:tab/>
      </w:r>
      <w:r w:rsidRPr="008D1BEF">
        <w:rPr>
          <w:rtl/>
        </w:rPr>
        <w:tab/>
        <w:t>إعداد التقرير الدوري المقبل</w:t>
      </w:r>
    </w:p>
    <w:p w14:paraId="08216FB7" w14:textId="277DFD6B" w:rsidR="00F16289" w:rsidRPr="008D1BEF" w:rsidRDefault="00F16289" w:rsidP="00F16289">
      <w:pPr>
        <w:pStyle w:val="SingleTxtGA"/>
        <w:rPr>
          <w:rFonts w:eastAsiaTheme="minorEastAsia"/>
          <w:b/>
          <w:bCs/>
          <w:lang w:val="en-US" w:eastAsia="zh-TW" w:bidi="en-GB"/>
        </w:rPr>
      </w:pPr>
      <w:r w:rsidRPr="008D1BEF">
        <w:rPr>
          <w:rFonts w:eastAsiaTheme="minorEastAsia"/>
          <w:rtl/>
        </w:rPr>
        <w:t>45</w:t>
      </w:r>
      <w:r w:rsidRPr="00F16289">
        <w:rPr>
          <w:rFonts w:eastAsiaTheme="minorEastAsia"/>
          <w:rtl/>
        </w:rPr>
        <w:t>-</w:t>
      </w:r>
      <w:r w:rsidRPr="00F16289">
        <w:rPr>
          <w:rFonts w:eastAsiaTheme="minorEastAsia"/>
          <w:rtl/>
        </w:rPr>
        <w:tab/>
      </w:r>
      <w:r w:rsidRPr="008D1BEF">
        <w:rPr>
          <w:rFonts w:eastAsiaTheme="minorEastAsia"/>
          <w:b/>
          <w:bCs/>
          <w:rtl/>
        </w:rPr>
        <w:t>توصي اللجنة الدولة الطرف بأن تقدم تقريرها الجامع للتقارير الدورية من الخامس عشر إلى الثامن عشر، كوثيقة واحدة، بحلول 26 نيسان/أبريل 2026، مع مراعاة المبادئ التوجيهية للإبلاغ التي اعتمدتها في دورتها الحادية والسبعين</w:t>
      </w:r>
      <w:r w:rsidR="00652008" w:rsidRPr="008D1BEF">
        <w:rPr>
          <w:rStyle w:val="FootnoteReference"/>
          <w:rFonts w:eastAsiaTheme="minorEastAsia"/>
          <w:sz w:val="22"/>
          <w:rtl/>
        </w:rPr>
        <w:t>(</w:t>
      </w:r>
      <w:r w:rsidR="00652008" w:rsidRPr="008D1BEF">
        <w:rPr>
          <w:rStyle w:val="FootnoteReference"/>
          <w:rFonts w:eastAsiaTheme="minorEastAsia"/>
          <w:sz w:val="22"/>
          <w:lang w:val="en-US"/>
        </w:rPr>
        <w:footnoteReference w:id="8"/>
      </w:r>
      <w:r w:rsidR="00652008" w:rsidRPr="00652008">
        <w:rPr>
          <w:rFonts w:eastAsiaTheme="minorEastAsia"/>
          <w:vertAlign w:val="superscript"/>
          <w:rtl/>
        </w:rPr>
        <w:t>)</w:t>
      </w:r>
      <w:r w:rsidR="00652008" w:rsidRPr="008D1BEF">
        <w:rPr>
          <w:rFonts w:eastAsiaTheme="minorEastAsia"/>
          <w:b/>
          <w:bCs/>
          <w:rtl/>
        </w:rPr>
        <w:t xml:space="preserve">، </w:t>
      </w:r>
      <w:r w:rsidRPr="008D1BEF">
        <w:rPr>
          <w:rFonts w:eastAsiaTheme="minorEastAsia"/>
          <w:b/>
          <w:bCs/>
          <w:rtl/>
        </w:rPr>
        <w:t>ومعالجة جميع النقاط التي أثيرت في هذه الملاحظات الختامية. وفي ضوء قرار الجمعية العامة 68/268، تحث اللجنة الدولة الطرف على التقيد بالحد الأقصى لعدد الكلمات في التقارير الدورية البالغ 200 21 كلمة.</w:t>
      </w:r>
    </w:p>
    <w:p w14:paraId="120F87ED" w14:textId="7D595AB3" w:rsidR="00F16289" w:rsidRPr="00F16289" w:rsidRDefault="00F16289" w:rsidP="00F16289">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bookmarkEnd w:id="7"/>
    <w:bookmarkEnd w:id="8"/>
    <w:sectPr w:rsidR="00F16289" w:rsidRPr="00F16289" w:rsidSect="0085264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589C6" w14:textId="77777777" w:rsidR="00FE1B7E" w:rsidRPr="002901D9" w:rsidRDefault="00FE1B7E" w:rsidP="007E37DC">
      <w:pPr>
        <w:spacing w:after="60" w:line="240" w:lineRule="auto"/>
        <w:ind w:left="57"/>
        <w:rPr>
          <w:i/>
          <w:iCs/>
        </w:rPr>
      </w:pPr>
      <w:r>
        <w:rPr>
          <w:rFonts w:hint="cs"/>
          <w:i/>
          <w:iCs/>
          <w:rtl/>
        </w:rPr>
        <w:t>الحواشي</w:t>
      </w:r>
    </w:p>
  </w:endnote>
  <w:endnote w:type="continuationSeparator" w:id="0">
    <w:p w14:paraId="5CAE4598" w14:textId="77777777" w:rsidR="00FE1B7E" w:rsidRDefault="00FE1B7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4D68D" w14:textId="6FA2E5DD" w:rsidR="00460784" w:rsidRPr="00460784" w:rsidRDefault="00460784" w:rsidP="00460784">
    <w:pPr>
      <w:pStyle w:val="Footer"/>
      <w:tabs>
        <w:tab w:val="right" w:pos="9638"/>
      </w:tabs>
      <w:rPr>
        <w:b/>
        <w:sz w:val="18"/>
        <w:lang w:val="en-US"/>
      </w:rPr>
    </w:pPr>
    <w:r>
      <w:rPr>
        <w:lang w:val="en-US"/>
      </w:rPr>
      <w:t>GE.22-27763</w:t>
    </w:r>
    <w:r>
      <w:rPr>
        <w:lang w:val="en-US"/>
      </w:rPr>
      <w:tab/>
    </w:r>
    <w:r w:rsidRPr="00460784">
      <w:rPr>
        <w:b/>
        <w:sz w:val="18"/>
        <w:lang w:val="en-US"/>
      </w:rPr>
      <w:fldChar w:fldCharType="begin"/>
    </w:r>
    <w:r w:rsidRPr="00460784">
      <w:rPr>
        <w:b/>
        <w:sz w:val="18"/>
        <w:lang w:val="en-US"/>
      </w:rPr>
      <w:instrText xml:space="preserve"> PAGE  \* MERGEFORMAT </w:instrText>
    </w:r>
    <w:r w:rsidRPr="00460784">
      <w:rPr>
        <w:b/>
        <w:sz w:val="18"/>
        <w:lang w:val="en-US"/>
      </w:rPr>
      <w:fldChar w:fldCharType="separate"/>
    </w:r>
    <w:r w:rsidRPr="00460784">
      <w:rPr>
        <w:b/>
        <w:noProof/>
        <w:sz w:val="18"/>
        <w:lang w:val="en-US"/>
      </w:rPr>
      <w:t>2</w:t>
    </w:r>
    <w:r w:rsidRPr="0046078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723E6" w14:textId="7B72A9C8" w:rsidR="006959B0" w:rsidRPr="00460784" w:rsidRDefault="00460784" w:rsidP="0046078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GE.22-27763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3347A" w14:textId="711F7B55" w:rsidR="00156D54" w:rsidRPr="00460784" w:rsidRDefault="00460784" w:rsidP="00460784">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13281DBE" wp14:editId="2E5D6AB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22-27763 (A)</w:t>
    </w:r>
    <w:r>
      <w:rPr>
        <w:noProof/>
        <w:sz w:val="20"/>
        <w:lang w:val="en-US"/>
      </w:rPr>
      <w:drawing>
        <wp:anchor distT="0" distB="0" distL="114300" distR="114300" simplePos="0" relativeHeight="251659264" behindDoc="0" locked="0" layoutInCell="1" allowOverlap="1" wp14:anchorId="4B8D38E0" wp14:editId="0128F5E0">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C5AA5" w14:textId="77777777" w:rsidR="00FE1B7E" w:rsidRPr="00F46702" w:rsidRDefault="00FE1B7E"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13BADE2" w14:textId="77777777" w:rsidR="00FE1B7E" w:rsidRDefault="00FE1B7E" w:rsidP="00656392">
      <w:pPr>
        <w:spacing w:line="240" w:lineRule="auto"/>
      </w:pPr>
      <w:r>
        <w:continuationSeparator/>
      </w:r>
    </w:p>
  </w:footnote>
  <w:footnote w:id="1">
    <w:p w14:paraId="6A48F680" w14:textId="120771EC" w:rsidR="00F16289" w:rsidRPr="00EB5583" w:rsidRDefault="00F16289" w:rsidP="00F16289">
      <w:pPr>
        <w:pStyle w:val="FootnoteText1"/>
        <w:rPr>
          <w:rFonts w:eastAsiaTheme="minorEastAsia"/>
          <w:rtl/>
        </w:rPr>
      </w:pPr>
      <w:r w:rsidRPr="00EB5583">
        <w:rPr>
          <w:rFonts w:eastAsiaTheme="minorEastAsia"/>
          <w:sz w:val="22"/>
          <w:szCs w:val="22"/>
          <w:rtl/>
        </w:rPr>
        <w:t>*</w:t>
      </w:r>
      <w:r w:rsidRPr="00EB5583">
        <w:rPr>
          <w:rFonts w:eastAsiaTheme="minorEastAsia"/>
          <w:rtl/>
        </w:rPr>
        <w:tab/>
        <w:t xml:space="preserve">اعتمدتها اللجنة في دورتها </w:t>
      </w:r>
      <w:r w:rsidRPr="008D1BEF">
        <w:rPr>
          <w:rFonts w:eastAsiaTheme="minorEastAsia"/>
          <w:rtl/>
        </w:rPr>
        <w:t>108</w:t>
      </w:r>
      <w:r w:rsidRPr="00EB5583">
        <w:rPr>
          <w:rFonts w:eastAsiaTheme="minorEastAsia"/>
          <w:rtl/>
        </w:rPr>
        <w:t xml:space="preserve"> (</w:t>
      </w:r>
      <w:r w:rsidRPr="008D1BEF">
        <w:rPr>
          <w:rFonts w:eastAsiaTheme="minorEastAsia"/>
          <w:rtl/>
        </w:rPr>
        <w:t>14</w:t>
      </w:r>
      <w:r w:rsidRPr="00EB5583">
        <w:rPr>
          <w:rFonts w:eastAsiaTheme="minorEastAsia"/>
          <w:rtl/>
        </w:rPr>
        <w:t xml:space="preserve"> تشرين الثاني/نوفمبر</w:t>
      </w:r>
      <w:r w:rsidR="00652008" w:rsidRPr="00EB5583">
        <w:rPr>
          <w:rFonts w:eastAsiaTheme="minorEastAsia" w:hint="cs"/>
          <w:rtl/>
        </w:rPr>
        <w:t xml:space="preserve"> -</w:t>
      </w:r>
      <w:r w:rsidR="00652008" w:rsidRPr="008D1BEF">
        <w:rPr>
          <w:rFonts w:eastAsiaTheme="minorEastAsia" w:hint="cs"/>
          <w:rtl/>
        </w:rPr>
        <w:t xml:space="preserve"> </w:t>
      </w:r>
      <w:r w:rsidRPr="008D1BEF">
        <w:rPr>
          <w:rFonts w:eastAsiaTheme="minorEastAsia"/>
          <w:rtl/>
        </w:rPr>
        <w:t>2</w:t>
      </w:r>
      <w:r w:rsidRPr="00EB5583">
        <w:rPr>
          <w:rFonts w:eastAsiaTheme="minorEastAsia"/>
          <w:rtl/>
        </w:rPr>
        <w:t xml:space="preserve"> كانون الأول/ديسمبر </w:t>
      </w:r>
      <w:r w:rsidRPr="008D1BEF">
        <w:rPr>
          <w:rFonts w:eastAsiaTheme="minorEastAsia"/>
          <w:rtl/>
        </w:rPr>
        <w:t>2022</w:t>
      </w:r>
      <w:r w:rsidR="00652008" w:rsidRPr="00EB5583">
        <w:rPr>
          <w:rFonts w:eastAsiaTheme="minorEastAsia"/>
          <w:rtl/>
        </w:rPr>
        <w:t xml:space="preserve">). </w:t>
      </w:r>
    </w:p>
  </w:footnote>
  <w:footnote w:id="2">
    <w:p w14:paraId="0E66D5C6" w14:textId="77777777" w:rsidR="00652008" w:rsidRPr="00EB5583" w:rsidRDefault="00652008" w:rsidP="00652008">
      <w:pPr>
        <w:pStyle w:val="FootnoteText1"/>
        <w:textDirection w:val="tbRlV"/>
        <w:rPr>
          <w:rFonts w:eastAsiaTheme="minorEastAsia"/>
          <w:lang w:val="ar-SA" w:eastAsia="zh-TW" w:bidi="en-GB"/>
        </w:rPr>
      </w:pPr>
      <w:r w:rsidRPr="008D1BEF">
        <w:rPr>
          <w:rStyle w:val="FootnoteReference"/>
          <w:rFonts w:eastAsiaTheme="minorEastAsia"/>
          <w:vertAlign w:val="baseline"/>
          <w:rtl/>
        </w:rPr>
        <w:t>(</w:t>
      </w:r>
      <w:r w:rsidRPr="008D1BEF">
        <w:rPr>
          <w:rStyle w:val="FootnoteReference"/>
          <w:rFonts w:eastAsiaTheme="minorEastAsia"/>
          <w:vertAlign w:val="baseline"/>
        </w:rPr>
        <w:footnoteRef/>
      </w:r>
      <w:r w:rsidRPr="008D1BEF">
        <w:rPr>
          <w:rStyle w:val="FootnoteReference"/>
          <w:rFonts w:eastAsiaTheme="minorEastAsia"/>
          <w:vertAlign w:val="baseline"/>
          <w:rtl/>
        </w:rPr>
        <w:t>)</w:t>
      </w:r>
      <w:r w:rsidRPr="00EB5583">
        <w:rPr>
          <w:rFonts w:eastAsiaTheme="minorEastAsia"/>
          <w:rtl/>
        </w:rPr>
        <w:tab/>
      </w:r>
      <w:hyperlink r:id="rId1" w:history="1">
        <w:r w:rsidRPr="00EB5583">
          <w:rPr>
            <w:rStyle w:val="Hyperlink"/>
            <w:rFonts w:eastAsiaTheme="minorEastAsia"/>
          </w:rPr>
          <w:t>CERD/C/BHR/</w:t>
        </w:r>
        <w:r w:rsidRPr="008D1BEF">
          <w:rPr>
            <w:rStyle w:val="Hyperlink"/>
            <w:rFonts w:eastAsiaTheme="minorEastAsia"/>
          </w:rPr>
          <w:t>8</w:t>
        </w:r>
        <w:r w:rsidRPr="00EB5583">
          <w:rPr>
            <w:rStyle w:val="Hyperlink"/>
            <w:rFonts w:eastAsiaTheme="minorEastAsia"/>
          </w:rPr>
          <w:t>-</w:t>
        </w:r>
        <w:r w:rsidRPr="008D1BEF">
          <w:rPr>
            <w:rStyle w:val="Hyperlink"/>
            <w:rFonts w:eastAsiaTheme="minorEastAsia"/>
          </w:rPr>
          <w:t>14</w:t>
        </w:r>
      </w:hyperlink>
      <w:r w:rsidRPr="00EB5583">
        <w:rPr>
          <w:rFonts w:eastAsiaTheme="minorEastAsia"/>
          <w:rtl/>
        </w:rPr>
        <w:t xml:space="preserve">. </w:t>
      </w:r>
    </w:p>
  </w:footnote>
  <w:footnote w:id="3">
    <w:p w14:paraId="6FF1A7F2" w14:textId="77777777" w:rsidR="00652008" w:rsidRPr="00EB5583" w:rsidRDefault="00652008" w:rsidP="00652008">
      <w:pPr>
        <w:pStyle w:val="FootnoteText1"/>
        <w:textDirection w:val="tbRlV"/>
        <w:rPr>
          <w:rFonts w:eastAsiaTheme="minorEastAsia"/>
          <w:lang w:val="ar-SA" w:eastAsia="zh-TW" w:bidi="en-GB"/>
        </w:rPr>
      </w:pPr>
      <w:r w:rsidRPr="008D1BEF">
        <w:rPr>
          <w:rStyle w:val="FootnoteReference"/>
          <w:rFonts w:eastAsiaTheme="minorEastAsia"/>
          <w:vertAlign w:val="baseline"/>
          <w:rtl/>
        </w:rPr>
        <w:t>(</w:t>
      </w:r>
      <w:r w:rsidRPr="008D1BEF">
        <w:rPr>
          <w:rStyle w:val="FootnoteReference"/>
          <w:rFonts w:eastAsiaTheme="minorEastAsia"/>
          <w:vertAlign w:val="baseline"/>
        </w:rPr>
        <w:footnoteRef/>
      </w:r>
      <w:r w:rsidRPr="008D1BEF">
        <w:rPr>
          <w:rStyle w:val="FootnoteReference"/>
          <w:rFonts w:eastAsiaTheme="minorEastAsia"/>
          <w:vertAlign w:val="baseline"/>
          <w:rtl/>
        </w:rPr>
        <w:t>)</w:t>
      </w:r>
      <w:r w:rsidRPr="00EB5583">
        <w:rPr>
          <w:rFonts w:eastAsiaTheme="minorEastAsia"/>
          <w:rtl/>
        </w:rPr>
        <w:tab/>
        <w:t xml:space="preserve">انظر </w:t>
      </w:r>
      <w:hyperlink r:id="rId2" w:history="1">
        <w:r w:rsidRPr="00EB5583">
          <w:rPr>
            <w:rStyle w:val="Hyperlink"/>
            <w:rFonts w:eastAsiaTheme="minorEastAsia"/>
          </w:rPr>
          <w:t>CERD/C/SR.</w:t>
        </w:r>
        <w:r w:rsidRPr="008D1BEF">
          <w:rPr>
            <w:rStyle w:val="Hyperlink"/>
            <w:rFonts w:eastAsiaTheme="minorEastAsia"/>
          </w:rPr>
          <w:t>2933</w:t>
        </w:r>
      </w:hyperlink>
      <w:r w:rsidRPr="00EB5583">
        <w:rPr>
          <w:rFonts w:eastAsiaTheme="minorEastAsia"/>
          <w:rtl/>
        </w:rPr>
        <w:t xml:space="preserve"> و</w:t>
      </w:r>
      <w:hyperlink r:id="rId3" w:history="1">
        <w:r w:rsidRPr="00EB5583">
          <w:rPr>
            <w:rStyle w:val="Hyperlink"/>
            <w:rFonts w:eastAsiaTheme="minorEastAsia"/>
          </w:rPr>
          <w:t>CERD/C/SR.</w:t>
        </w:r>
        <w:r w:rsidRPr="008D1BEF">
          <w:rPr>
            <w:rStyle w:val="Hyperlink"/>
            <w:rFonts w:eastAsiaTheme="minorEastAsia"/>
          </w:rPr>
          <w:t>2934</w:t>
        </w:r>
      </w:hyperlink>
      <w:r w:rsidRPr="00EB5583">
        <w:rPr>
          <w:rFonts w:eastAsiaTheme="minorEastAsia"/>
          <w:rtl/>
        </w:rPr>
        <w:t xml:space="preserve">. </w:t>
      </w:r>
    </w:p>
  </w:footnote>
  <w:footnote w:id="4">
    <w:p w14:paraId="782BA136" w14:textId="77777777" w:rsidR="00652008" w:rsidRPr="00EB5583" w:rsidRDefault="00652008" w:rsidP="00652008">
      <w:pPr>
        <w:pStyle w:val="FootnoteText1"/>
        <w:textDirection w:val="tbRlV"/>
        <w:rPr>
          <w:rFonts w:eastAsiaTheme="minorEastAsia"/>
          <w:lang w:val="ar-SA" w:eastAsia="zh-TW" w:bidi="en-GB"/>
        </w:rPr>
      </w:pPr>
      <w:r w:rsidRPr="008D1BEF">
        <w:rPr>
          <w:rStyle w:val="FootnoteReference"/>
          <w:rFonts w:eastAsiaTheme="minorEastAsia"/>
          <w:vertAlign w:val="baseline"/>
          <w:rtl/>
        </w:rPr>
        <w:t>(</w:t>
      </w:r>
      <w:r w:rsidRPr="008D1BEF">
        <w:rPr>
          <w:rStyle w:val="FootnoteReference"/>
          <w:rFonts w:eastAsiaTheme="minorEastAsia"/>
          <w:vertAlign w:val="baseline"/>
        </w:rPr>
        <w:footnoteRef/>
      </w:r>
      <w:r w:rsidRPr="008D1BEF">
        <w:rPr>
          <w:rStyle w:val="FootnoteReference"/>
          <w:rFonts w:eastAsiaTheme="minorEastAsia"/>
          <w:vertAlign w:val="baseline"/>
          <w:rtl/>
        </w:rPr>
        <w:t>)</w:t>
      </w:r>
      <w:r w:rsidRPr="00EB5583">
        <w:rPr>
          <w:rFonts w:eastAsiaTheme="minorEastAsia"/>
          <w:rtl/>
        </w:rPr>
        <w:tab/>
      </w:r>
      <w:hyperlink r:id="rId4" w:history="1">
        <w:r w:rsidRPr="00EB5583">
          <w:rPr>
            <w:rStyle w:val="Hyperlink"/>
            <w:rFonts w:eastAsiaTheme="minorEastAsia"/>
          </w:rPr>
          <w:t>CERD/C/</w:t>
        </w:r>
        <w:r w:rsidRPr="008D1BEF">
          <w:rPr>
            <w:rStyle w:val="Hyperlink"/>
            <w:rFonts w:eastAsiaTheme="minorEastAsia"/>
          </w:rPr>
          <w:t>2007</w:t>
        </w:r>
        <w:r w:rsidRPr="00EB5583">
          <w:rPr>
            <w:rStyle w:val="Hyperlink"/>
            <w:rFonts w:eastAsiaTheme="minorEastAsia"/>
          </w:rPr>
          <w:t>/</w:t>
        </w:r>
        <w:r w:rsidRPr="008D1BEF">
          <w:rPr>
            <w:rStyle w:val="Hyperlink"/>
            <w:rFonts w:eastAsiaTheme="minorEastAsia"/>
          </w:rPr>
          <w:t>1</w:t>
        </w:r>
      </w:hyperlink>
      <w:r w:rsidRPr="00EB5583">
        <w:rPr>
          <w:rFonts w:eastAsiaTheme="minorEastAsia"/>
          <w:rtl/>
        </w:rPr>
        <w:t xml:space="preserve">. </w:t>
      </w:r>
    </w:p>
  </w:footnote>
  <w:footnote w:id="5">
    <w:p w14:paraId="33537447" w14:textId="77777777" w:rsidR="00652008" w:rsidRPr="00EB5583" w:rsidRDefault="00652008" w:rsidP="00652008">
      <w:pPr>
        <w:pStyle w:val="FootnoteText1"/>
        <w:textDirection w:val="tbRlV"/>
        <w:rPr>
          <w:rFonts w:eastAsiaTheme="minorEastAsia"/>
          <w:lang w:val="ar-SA" w:eastAsia="zh-TW" w:bidi="en-GB"/>
        </w:rPr>
      </w:pPr>
      <w:r w:rsidRPr="008D1BEF">
        <w:rPr>
          <w:rStyle w:val="FootnoteReference"/>
          <w:rFonts w:eastAsiaTheme="minorEastAsia"/>
          <w:vertAlign w:val="baseline"/>
          <w:rtl/>
        </w:rPr>
        <w:t>(</w:t>
      </w:r>
      <w:r w:rsidRPr="008D1BEF">
        <w:rPr>
          <w:rStyle w:val="FootnoteReference"/>
          <w:rFonts w:eastAsiaTheme="minorEastAsia"/>
          <w:vertAlign w:val="baseline"/>
        </w:rPr>
        <w:footnoteRef/>
      </w:r>
      <w:r w:rsidRPr="008D1BEF">
        <w:rPr>
          <w:rStyle w:val="FootnoteReference"/>
          <w:rFonts w:eastAsiaTheme="minorEastAsia"/>
          <w:vertAlign w:val="baseline"/>
          <w:rtl/>
        </w:rPr>
        <w:t>)</w:t>
      </w:r>
      <w:r w:rsidRPr="00EB5583">
        <w:rPr>
          <w:rFonts w:eastAsiaTheme="minorEastAsia"/>
          <w:rtl/>
        </w:rPr>
        <w:tab/>
      </w:r>
      <w:hyperlink r:id="rId5" w:history="1">
        <w:r w:rsidRPr="00EB5583">
          <w:rPr>
            <w:rStyle w:val="Hyperlink"/>
            <w:rFonts w:eastAsiaTheme="minorEastAsia"/>
          </w:rPr>
          <w:t>CERD/C/BHR/CO/</w:t>
        </w:r>
        <w:r w:rsidRPr="008D1BEF">
          <w:rPr>
            <w:rStyle w:val="Hyperlink"/>
            <w:rFonts w:eastAsiaTheme="minorEastAsia"/>
          </w:rPr>
          <w:t>7</w:t>
        </w:r>
      </w:hyperlink>
      <w:r w:rsidRPr="00EB5583">
        <w:rPr>
          <w:rFonts w:eastAsiaTheme="minorEastAsia"/>
          <w:rtl/>
        </w:rPr>
        <w:t xml:space="preserve">، الفقرة </w:t>
      </w:r>
      <w:r w:rsidRPr="008D1BEF">
        <w:rPr>
          <w:rFonts w:eastAsiaTheme="minorEastAsia"/>
          <w:rtl/>
        </w:rPr>
        <w:t>11</w:t>
      </w:r>
      <w:r w:rsidRPr="00EB5583">
        <w:rPr>
          <w:rFonts w:eastAsiaTheme="minorEastAsia"/>
          <w:rtl/>
        </w:rPr>
        <w:t xml:space="preserve">. </w:t>
      </w:r>
    </w:p>
  </w:footnote>
  <w:footnote w:id="6">
    <w:p w14:paraId="763E773E" w14:textId="77777777" w:rsidR="00652008" w:rsidRPr="00EB5583" w:rsidRDefault="00652008" w:rsidP="00F16289">
      <w:pPr>
        <w:pStyle w:val="FootnoteText1"/>
        <w:textDirection w:val="tbRlV"/>
        <w:rPr>
          <w:rFonts w:eastAsiaTheme="minorEastAsia"/>
          <w:lang w:val="ar-SA" w:eastAsia="zh-TW" w:bidi="en-GB"/>
        </w:rPr>
      </w:pPr>
      <w:r w:rsidRPr="008D1BEF">
        <w:rPr>
          <w:rStyle w:val="FootnoteReference"/>
          <w:rFonts w:eastAsiaTheme="minorEastAsia"/>
          <w:vertAlign w:val="baseline"/>
          <w:rtl/>
        </w:rPr>
        <w:t>(</w:t>
      </w:r>
      <w:r w:rsidRPr="008D1BEF">
        <w:rPr>
          <w:rStyle w:val="FootnoteReference"/>
          <w:rFonts w:eastAsiaTheme="minorEastAsia"/>
          <w:vertAlign w:val="baseline"/>
        </w:rPr>
        <w:footnoteRef/>
      </w:r>
      <w:r w:rsidRPr="008D1BEF">
        <w:rPr>
          <w:rStyle w:val="FootnoteReference"/>
          <w:rFonts w:eastAsiaTheme="minorEastAsia"/>
          <w:vertAlign w:val="baseline"/>
          <w:rtl/>
        </w:rPr>
        <w:t>)</w:t>
      </w:r>
      <w:r w:rsidRPr="00EB5583">
        <w:rPr>
          <w:rFonts w:eastAsiaTheme="minorEastAsia"/>
          <w:rtl/>
        </w:rPr>
        <w:tab/>
        <w:t xml:space="preserve">المرجع نفسه، الفقرة </w:t>
      </w:r>
      <w:r w:rsidRPr="008D1BEF">
        <w:rPr>
          <w:rFonts w:eastAsiaTheme="minorEastAsia"/>
          <w:rtl/>
        </w:rPr>
        <w:t>16</w:t>
      </w:r>
      <w:r w:rsidRPr="00EB5583">
        <w:rPr>
          <w:rFonts w:eastAsiaTheme="minorEastAsia"/>
          <w:rtl/>
        </w:rPr>
        <w:t xml:space="preserve">. </w:t>
      </w:r>
    </w:p>
  </w:footnote>
  <w:footnote w:id="7">
    <w:p w14:paraId="5F1F7081" w14:textId="77777777" w:rsidR="00652008" w:rsidRPr="00EB5583" w:rsidRDefault="00652008" w:rsidP="00652008">
      <w:pPr>
        <w:pStyle w:val="FootnoteText1"/>
        <w:textDirection w:val="tbRlV"/>
        <w:rPr>
          <w:rFonts w:eastAsiaTheme="minorEastAsia"/>
          <w:lang w:val="ar-SA" w:eastAsia="zh-TW" w:bidi="en-GB"/>
        </w:rPr>
      </w:pPr>
      <w:r w:rsidRPr="008D1BEF">
        <w:rPr>
          <w:rStyle w:val="FootnoteReference"/>
          <w:rFonts w:eastAsiaTheme="minorEastAsia"/>
          <w:vertAlign w:val="baseline"/>
          <w:rtl/>
        </w:rPr>
        <w:t>(</w:t>
      </w:r>
      <w:r w:rsidRPr="008D1BEF">
        <w:rPr>
          <w:rStyle w:val="FootnoteReference"/>
          <w:rFonts w:eastAsiaTheme="minorEastAsia"/>
          <w:vertAlign w:val="baseline"/>
        </w:rPr>
        <w:footnoteRef/>
      </w:r>
      <w:r w:rsidRPr="008D1BEF">
        <w:rPr>
          <w:rStyle w:val="FootnoteReference"/>
          <w:rFonts w:eastAsiaTheme="minorEastAsia"/>
          <w:vertAlign w:val="baseline"/>
          <w:rtl/>
        </w:rPr>
        <w:t>)</w:t>
      </w:r>
      <w:r w:rsidRPr="00EB5583">
        <w:rPr>
          <w:rFonts w:eastAsiaTheme="minorEastAsia"/>
          <w:rtl/>
        </w:rPr>
        <w:tab/>
      </w:r>
      <w:hyperlink r:id="rId6" w:history="1">
        <w:r w:rsidRPr="00EB5583">
          <w:rPr>
            <w:rStyle w:val="Hyperlink"/>
            <w:rFonts w:eastAsiaTheme="minorEastAsia"/>
          </w:rPr>
          <w:t>HRI/GEN/</w:t>
        </w:r>
        <w:r w:rsidRPr="008D1BEF">
          <w:rPr>
            <w:rStyle w:val="Hyperlink"/>
            <w:rFonts w:eastAsiaTheme="minorEastAsia"/>
          </w:rPr>
          <w:t>2</w:t>
        </w:r>
        <w:r w:rsidRPr="00EB5583">
          <w:rPr>
            <w:rStyle w:val="Hyperlink"/>
            <w:rFonts w:eastAsiaTheme="minorEastAsia"/>
          </w:rPr>
          <w:t>/Rev.</w:t>
        </w:r>
        <w:r w:rsidRPr="008D1BEF">
          <w:rPr>
            <w:rStyle w:val="Hyperlink"/>
            <w:rFonts w:eastAsiaTheme="minorEastAsia"/>
          </w:rPr>
          <w:t>6</w:t>
        </w:r>
      </w:hyperlink>
      <w:r w:rsidRPr="00EB5583">
        <w:rPr>
          <w:rFonts w:eastAsiaTheme="minorEastAsia"/>
          <w:rtl/>
        </w:rPr>
        <w:t xml:space="preserve">، الفصل الأول. </w:t>
      </w:r>
    </w:p>
  </w:footnote>
  <w:footnote w:id="8">
    <w:p w14:paraId="276FBFF3" w14:textId="77777777" w:rsidR="00652008" w:rsidRPr="00EB5583" w:rsidRDefault="00652008" w:rsidP="00652008">
      <w:pPr>
        <w:pStyle w:val="FootnoteText1"/>
        <w:rPr>
          <w:rFonts w:eastAsiaTheme="minorEastAsia"/>
          <w:rtl/>
        </w:rPr>
      </w:pPr>
      <w:r w:rsidRPr="008D1BEF">
        <w:rPr>
          <w:rStyle w:val="FootnoteReference"/>
          <w:rFonts w:eastAsiaTheme="minorEastAsia"/>
          <w:vertAlign w:val="baseline"/>
          <w:rtl/>
        </w:rPr>
        <w:t>(</w:t>
      </w:r>
      <w:r w:rsidRPr="008D1BEF">
        <w:rPr>
          <w:rStyle w:val="FootnoteReference"/>
          <w:rFonts w:eastAsiaTheme="minorEastAsia"/>
          <w:vertAlign w:val="baseline"/>
        </w:rPr>
        <w:footnoteRef/>
      </w:r>
      <w:r w:rsidRPr="008D1BEF">
        <w:rPr>
          <w:rStyle w:val="FootnoteReference"/>
          <w:rFonts w:eastAsiaTheme="minorEastAsia"/>
          <w:vertAlign w:val="baseline"/>
          <w:rtl/>
        </w:rPr>
        <w:t>)</w:t>
      </w:r>
      <w:r w:rsidRPr="00EB5583">
        <w:rPr>
          <w:rFonts w:eastAsiaTheme="minorEastAsia"/>
        </w:rPr>
        <w:tab/>
      </w:r>
      <w:hyperlink r:id="rId7" w:history="1">
        <w:r w:rsidRPr="008D1BEF">
          <w:rPr>
            <w:rStyle w:val="Hyperlink"/>
            <w:rFonts w:eastAsiaTheme="minorEastAsia"/>
          </w:rPr>
          <w:t>CERD/C/2007/1</w:t>
        </w:r>
      </w:hyperlink>
      <w:r w:rsidRPr="00EB5583">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0CB5B" w14:textId="09AF5A59" w:rsidR="00460784" w:rsidRPr="00460784" w:rsidRDefault="00460784" w:rsidP="0046078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CERD/C/BHR/CO/8-14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5648E" w14:textId="18DCCA22" w:rsidR="00460784" w:rsidRPr="00460784" w:rsidRDefault="00460784" w:rsidP="0046078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CERD/C/BHR/CO/8-14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B7E"/>
    <w:rsid w:val="000076D5"/>
    <w:rsid w:val="00043663"/>
    <w:rsid w:val="000505CF"/>
    <w:rsid w:val="00061207"/>
    <w:rsid w:val="000A3229"/>
    <w:rsid w:val="000D5F55"/>
    <w:rsid w:val="000D701C"/>
    <w:rsid w:val="000E2A71"/>
    <w:rsid w:val="000F2FEF"/>
    <w:rsid w:val="00127690"/>
    <w:rsid w:val="00156D54"/>
    <w:rsid w:val="00160263"/>
    <w:rsid w:val="00181F96"/>
    <w:rsid w:val="00186F74"/>
    <w:rsid w:val="001A1371"/>
    <w:rsid w:val="001B346A"/>
    <w:rsid w:val="001B68FB"/>
    <w:rsid w:val="001E1CAD"/>
    <w:rsid w:val="001E290D"/>
    <w:rsid w:val="002144FA"/>
    <w:rsid w:val="0023469A"/>
    <w:rsid w:val="00243C8A"/>
    <w:rsid w:val="0026057C"/>
    <w:rsid w:val="00263543"/>
    <w:rsid w:val="00267A0E"/>
    <w:rsid w:val="00276D72"/>
    <w:rsid w:val="002901D9"/>
    <w:rsid w:val="002976C2"/>
    <w:rsid w:val="002D2D42"/>
    <w:rsid w:val="002E002F"/>
    <w:rsid w:val="003110CF"/>
    <w:rsid w:val="003260FF"/>
    <w:rsid w:val="00326A5E"/>
    <w:rsid w:val="00343D95"/>
    <w:rsid w:val="00374341"/>
    <w:rsid w:val="0039392F"/>
    <w:rsid w:val="003A0060"/>
    <w:rsid w:val="003B1799"/>
    <w:rsid w:val="003C67DF"/>
    <w:rsid w:val="003D1062"/>
    <w:rsid w:val="003E0437"/>
    <w:rsid w:val="004024CE"/>
    <w:rsid w:val="00420D7B"/>
    <w:rsid w:val="00450B21"/>
    <w:rsid w:val="00453B63"/>
    <w:rsid w:val="00455780"/>
    <w:rsid w:val="00460784"/>
    <w:rsid w:val="004714DA"/>
    <w:rsid w:val="004A14A6"/>
    <w:rsid w:val="004B0A1C"/>
    <w:rsid w:val="004B1A56"/>
    <w:rsid w:val="004D298E"/>
    <w:rsid w:val="00523BAE"/>
    <w:rsid w:val="00541E13"/>
    <w:rsid w:val="005445EF"/>
    <w:rsid w:val="0054472E"/>
    <w:rsid w:val="005662A9"/>
    <w:rsid w:val="005827D4"/>
    <w:rsid w:val="0059622A"/>
    <w:rsid w:val="005A09E8"/>
    <w:rsid w:val="005C3CCC"/>
    <w:rsid w:val="005C5878"/>
    <w:rsid w:val="005C7CEA"/>
    <w:rsid w:val="005D3C0B"/>
    <w:rsid w:val="005E5217"/>
    <w:rsid w:val="005F0FA4"/>
    <w:rsid w:val="005F30EE"/>
    <w:rsid w:val="006022B2"/>
    <w:rsid w:val="0060473A"/>
    <w:rsid w:val="00652008"/>
    <w:rsid w:val="00656392"/>
    <w:rsid w:val="0068781D"/>
    <w:rsid w:val="006959B0"/>
    <w:rsid w:val="006B3E27"/>
    <w:rsid w:val="006B6507"/>
    <w:rsid w:val="006C104C"/>
    <w:rsid w:val="00733704"/>
    <w:rsid w:val="00735C55"/>
    <w:rsid w:val="007533A1"/>
    <w:rsid w:val="0078071A"/>
    <w:rsid w:val="007E37DC"/>
    <w:rsid w:val="007E5F40"/>
    <w:rsid w:val="008315F0"/>
    <w:rsid w:val="008357B8"/>
    <w:rsid w:val="008471B5"/>
    <w:rsid w:val="0085264F"/>
    <w:rsid w:val="00852A9A"/>
    <w:rsid w:val="008B0BF2"/>
    <w:rsid w:val="008D1BEF"/>
    <w:rsid w:val="008F49E1"/>
    <w:rsid w:val="00903458"/>
    <w:rsid w:val="0090370F"/>
    <w:rsid w:val="00912700"/>
    <w:rsid w:val="009269D2"/>
    <w:rsid w:val="00936F90"/>
    <w:rsid w:val="00942135"/>
    <w:rsid w:val="009521B0"/>
    <w:rsid w:val="00983BB0"/>
    <w:rsid w:val="00994130"/>
    <w:rsid w:val="009A7E9F"/>
    <w:rsid w:val="009E5018"/>
    <w:rsid w:val="00A12B37"/>
    <w:rsid w:val="00A570BE"/>
    <w:rsid w:val="00A6367F"/>
    <w:rsid w:val="00AB6758"/>
    <w:rsid w:val="00AC17CB"/>
    <w:rsid w:val="00AD677C"/>
    <w:rsid w:val="00B13763"/>
    <w:rsid w:val="00B14382"/>
    <w:rsid w:val="00B176FF"/>
    <w:rsid w:val="00B44E12"/>
    <w:rsid w:val="00B455EE"/>
    <w:rsid w:val="00B477A4"/>
    <w:rsid w:val="00B54045"/>
    <w:rsid w:val="00BA2567"/>
    <w:rsid w:val="00BD0595"/>
    <w:rsid w:val="00C438D7"/>
    <w:rsid w:val="00C47A45"/>
    <w:rsid w:val="00C81B50"/>
    <w:rsid w:val="00CB28F9"/>
    <w:rsid w:val="00CD1801"/>
    <w:rsid w:val="00CF2B82"/>
    <w:rsid w:val="00D10EF1"/>
    <w:rsid w:val="00D36601"/>
    <w:rsid w:val="00D42810"/>
    <w:rsid w:val="00D81286"/>
    <w:rsid w:val="00D914A7"/>
    <w:rsid w:val="00D952E6"/>
    <w:rsid w:val="00DB79BF"/>
    <w:rsid w:val="00DD0800"/>
    <w:rsid w:val="00DD13C3"/>
    <w:rsid w:val="00DD596E"/>
    <w:rsid w:val="00DD621E"/>
    <w:rsid w:val="00DF0575"/>
    <w:rsid w:val="00E40AD3"/>
    <w:rsid w:val="00E70E04"/>
    <w:rsid w:val="00E76499"/>
    <w:rsid w:val="00EB5583"/>
    <w:rsid w:val="00EC05A7"/>
    <w:rsid w:val="00EC4B6B"/>
    <w:rsid w:val="00EF1EE5"/>
    <w:rsid w:val="00F16289"/>
    <w:rsid w:val="00F33749"/>
    <w:rsid w:val="00F4361D"/>
    <w:rsid w:val="00F46702"/>
    <w:rsid w:val="00F763B4"/>
    <w:rsid w:val="00F83E84"/>
    <w:rsid w:val="00F900C3"/>
    <w:rsid w:val="00FA7FFE"/>
    <w:rsid w:val="00FD2424"/>
    <w:rsid w:val="00FE1B7E"/>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ED8D34"/>
  <w15:docId w15:val="{1788E705-7228-4734-AEEF-414CC56E4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C17CB"/>
    <w:pPr>
      <w:bidi w:val="0"/>
      <w:outlineLvl w:val="0"/>
    </w:pPr>
  </w:style>
  <w:style w:type="paragraph" w:styleId="Heading2">
    <w:name w:val="heading 2"/>
    <w:basedOn w:val="Normal"/>
    <w:next w:val="Normal"/>
    <w:link w:val="Heading2Char"/>
    <w:uiPriority w:val="9"/>
    <w:unhideWhenUsed/>
    <w:rsid w:val="00AC17C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AC17CB"/>
    <w:pPr>
      <w:keepNext/>
      <w:keepLines/>
      <w:spacing w:before="200"/>
      <w:outlineLvl w:val="2"/>
    </w:pPr>
    <w:rPr>
      <w:b/>
      <w:bCs/>
      <w:color w:val="4F81BD"/>
    </w:rPr>
  </w:style>
  <w:style w:type="paragraph" w:styleId="Heading4">
    <w:name w:val="heading 4"/>
    <w:basedOn w:val="Normal"/>
    <w:next w:val="Normal"/>
    <w:link w:val="Heading4Char"/>
    <w:uiPriority w:val="9"/>
    <w:unhideWhenUsed/>
    <w:rsid w:val="00AC17C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AC17CB"/>
    <w:pPr>
      <w:keepNext/>
      <w:keepLines/>
      <w:spacing w:before="200"/>
      <w:outlineLvl w:val="4"/>
    </w:pPr>
    <w:rPr>
      <w:color w:val="243F60"/>
    </w:rPr>
  </w:style>
  <w:style w:type="paragraph" w:styleId="Heading6">
    <w:name w:val="heading 6"/>
    <w:basedOn w:val="Normal"/>
    <w:next w:val="Normal"/>
    <w:link w:val="Heading6Char"/>
    <w:uiPriority w:val="9"/>
    <w:unhideWhenUsed/>
    <w:rsid w:val="00AC17CB"/>
    <w:pPr>
      <w:keepNext/>
      <w:keepLines/>
      <w:spacing w:before="200"/>
      <w:outlineLvl w:val="5"/>
    </w:pPr>
    <w:rPr>
      <w:i/>
      <w:iCs/>
      <w:color w:val="243F60"/>
    </w:rPr>
  </w:style>
  <w:style w:type="paragraph" w:styleId="Heading7">
    <w:name w:val="heading 7"/>
    <w:basedOn w:val="Normal"/>
    <w:next w:val="Normal"/>
    <w:link w:val="Heading7Char"/>
    <w:uiPriority w:val="9"/>
    <w:unhideWhenUsed/>
    <w:rsid w:val="00AC17CB"/>
    <w:pPr>
      <w:keepNext/>
      <w:keepLines/>
      <w:spacing w:before="200"/>
      <w:outlineLvl w:val="6"/>
    </w:pPr>
    <w:rPr>
      <w:i/>
      <w:iCs/>
      <w:color w:val="404040"/>
    </w:rPr>
  </w:style>
  <w:style w:type="paragraph" w:styleId="Heading8">
    <w:name w:val="heading 8"/>
    <w:basedOn w:val="Normal"/>
    <w:next w:val="Normal"/>
    <w:link w:val="Heading8Char"/>
    <w:uiPriority w:val="9"/>
    <w:unhideWhenUsed/>
    <w:rsid w:val="00AC17C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AC17C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5"/>
      </w:numPr>
      <w:bidi w:val="0"/>
    </w:pPr>
    <w:rPr>
      <w:lang w:val="en-US"/>
    </w:rPr>
  </w:style>
  <w:style w:type="paragraph" w:customStyle="1" w:styleId="Roman1GA">
    <w:name w:val="_Roman 1_GA"/>
    <w:basedOn w:val="Bullet1GA"/>
    <w:qFormat/>
    <w:rsid w:val="00AC17CB"/>
    <w:pPr>
      <w:numPr>
        <w:numId w:val="6"/>
      </w:numPr>
      <w:tabs>
        <w:tab w:val="clear" w:pos="2310"/>
        <w:tab w:val="left" w:pos="2486"/>
      </w:tabs>
      <w:ind w:left="2486" w:hanging="378"/>
    </w:pPr>
  </w:style>
  <w:style w:type="paragraph" w:customStyle="1" w:styleId="Roman2GA">
    <w:name w:val="_Roman 2_GA"/>
    <w:basedOn w:val="Bullet2GA"/>
    <w:qFormat/>
    <w:rsid w:val="00AC17C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C17CB"/>
    <w:pPr>
      <w:suppressAutoHyphens/>
      <w:bidi w:val="0"/>
      <w:spacing w:line="240" w:lineRule="auto"/>
    </w:pPr>
    <w:rPr>
      <w:sz w:val="16"/>
      <w:lang w:val="en-GB"/>
    </w:rPr>
  </w:style>
  <w:style w:type="character" w:customStyle="1" w:styleId="FooterChar">
    <w:name w:val="Footer Char"/>
    <w:aliases w:val="3_GA Char,3_G Char"/>
    <w:link w:val="Footer"/>
    <w:rsid w:val="00AC17CB"/>
    <w:rPr>
      <w:rFonts w:ascii="Times New Roman" w:eastAsia="PMingLiU" w:hAnsi="Times New Roman" w:cs="Simplified Arabic"/>
      <w:sz w:val="16"/>
      <w:lang w:val="en-GB"/>
    </w:rPr>
  </w:style>
  <w:style w:type="paragraph" w:customStyle="1" w:styleId="FootnoteText1">
    <w:name w:val="Footnote Text1"/>
    <w:aliases w:val="5_GA"/>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uiPriority w:val="9"/>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AC17CB"/>
    <w:rPr>
      <w:rFonts w:ascii="Times New Roman" w:eastAsia="PMingLiU" w:hAnsi="Times New Roman" w:cs="Simplified Arabic"/>
      <w:b/>
      <w:bCs/>
      <w:color w:val="4F81BD"/>
      <w:sz w:val="20"/>
    </w:rPr>
  </w:style>
  <w:style w:type="character" w:customStyle="1" w:styleId="Heading4Char">
    <w:name w:val="Heading 4 Char"/>
    <w:link w:val="Heading4"/>
    <w:uiPriority w:val="9"/>
    <w:rsid w:val="00AC17C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AC17CB"/>
    <w:rPr>
      <w:rFonts w:ascii="Times New Roman" w:eastAsia="PMingLiU" w:hAnsi="Times New Roman" w:cs="Simplified Arabic"/>
      <w:color w:val="243F60"/>
      <w:sz w:val="20"/>
    </w:rPr>
  </w:style>
  <w:style w:type="character" w:customStyle="1" w:styleId="Heading6Char">
    <w:name w:val="Heading 6 Char"/>
    <w:link w:val="Heading6"/>
    <w:uiPriority w:val="9"/>
    <w:rsid w:val="00AC17CB"/>
    <w:rPr>
      <w:rFonts w:ascii="Times New Roman" w:eastAsia="PMingLiU" w:hAnsi="Times New Roman" w:cs="Simplified Arabic"/>
      <w:i/>
      <w:iCs/>
      <w:color w:val="243F60"/>
      <w:sz w:val="20"/>
    </w:rPr>
  </w:style>
  <w:style w:type="character" w:customStyle="1" w:styleId="Heading7Char">
    <w:name w:val="Heading 7 Char"/>
    <w:link w:val="Heading7"/>
    <w:uiPriority w:val="9"/>
    <w:rsid w:val="00AC17CB"/>
    <w:rPr>
      <w:rFonts w:ascii="Times New Roman" w:eastAsia="PMingLiU" w:hAnsi="Times New Roman" w:cs="Simplified Arabic"/>
      <w:i/>
      <w:iCs/>
      <w:color w:val="404040"/>
      <w:sz w:val="20"/>
    </w:rPr>
  </w:style>
  <w:style w:type="character" w:customStyle="1" w:styleId="Heading8Char">
    <w:name w:val="Heading 8 Char"/>
    <w:link w:val="Heading8"/>
    <w:uiPriority w:val="9"/>
    <w:rsid w:val="00AC17C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uiPriority w:val="22"/>
    <w:rsid w:val="00AC17CB"/>
    <w:rPr>
      <w:b/>
      <w:bCs/>
    </w:rPr>
  </w:style>
  <w:style w:type="table" w:styleId="TableGrid">
    <w:name w:val="Table Grid"/>
    <w:basedOn w:val="TableNormal"/>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paragraph" w:customStyle="1" w:styleId="HChG">
    <w:name w:val="_ H _Ch_G"/>
    <w:basedOn w:val="Normal"/>
    <w:next w:val="Normal"/>
    <w:rsid w:val="00F16289"/>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F16289"/>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F16289"/>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F16289"/>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F16289"/>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16289"/>
    <w:rPr>
      <w:rFonts w:ascii="Times New Roman" w:eastAsia="SimSun" w:cs="Simplified Arabic"/>
      <w:sz w:val="18"/>
      <w:szCs w:val="30"/>
      <w:lang w:val="en-GB" w:eastAsia="zh-CN"/>
    </w:rPr>
  </w:style>
  <w:style w:type="character" w:styleId="FootnoteReference">
    <w:name w:val="footnote reference"/>
    <w:aliases w:val="4_G"/>
    <w:rsid w:val="00F16289"/>
    <w:rPr>
      <w:rFonts w:ascii="Times New Roman" w:hAnsi="Times New Roman"/>
      <w:sz w:val="18"/>
      <w:vertAlign w:val="superscript"/>
    </w:rPr>
  </w:style>
  <w:style w:type="character" w:styleId="UnresolvedMention">
    <w:name w:val="Unresolved Mention"/>
    <w:basedOn w:val="DefaultParagraphFont"/>
    <w:uiPriority w:val="99"/>
    <w:semiHidden/>
    <w:unhideWhenUsed/>
    <w:rsid w:val="006520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ERD/C/SR.2934" TargetMode="External"/><Relationship Id="rId7" Type="http://schemas.openxmlformats.org/officeDocument/2006/relationships/hyperlink" Target="http://undocs.org/en/CERD/C/2007/1" TargetMode="External"/><Relationship Id="rId2" Type="http://schemas.openxmlformats.org/officeDocument/2006/relationships/hyperlink" Target="https://undocs.org/ar/CERD/C/SR.2933" TargetMode="External"/><Relationship Id="rId1" Type="http://schemas.openxmlformats.org/officeDocument/2006/relationships/hyperlink" Target="https://undocs.org/ar/CERD/C/BHR/8-14" TargetMode="External"/><Relationship Id="rId6" Type="http://schemas.openxmlformats.org/officeDocument/2006/relationships/hyperlink" Target="https://undocs.org/ar/HRI/GEN/2/Rev.6" TargetMode="External"/><Relationship Id="rId5" Type="http://schemas.openxmlformats.org/officeDocument/2006/relationships/hyperlink" Target="https://undocs.org/ar/CERD/C/BHR/CO/7" TargetMode="External"/><Relationship Id="rId4" Type="http://schemas.openxmlformats.org/officeDocument/2006/relationships/hyperlink" Target="https://undocs.org/ar/CERD/C/200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3398</Words>
  <Characters>19369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CERD/C/BHR/CO/8-14</vt:lpstr>
    </vt:vector>
  </TitlesOfParts>
  <Company>DCM</Company>
  <LinksUpToDate>false</LinksUpToDate>
  <CharactersWithSpaces>22722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CERD/C/BHR/CO/8-14</dc:title>
  <dc:subject>GE.2227763(A)</dc:subject>
  <dc:creator>Muntaha BUHNAM - Mohmmed ABD </dc:creator>
  <cp:keywords>GE.2260721(A)</cp:keywords>
  <dc:description>Distr.: General
29 December 2022
Arabic
Original: English</dc:description>
  <cp:lastModifiedBy>Jamal Alkahlout</cp:lastModifiedBy>
  <cp:revision>2</cp:revision>
  <dcterms:created xsi:type="dcterms:W3CDTF">2023-01-26T13:56:00Z</dcterms:created>
  <dcterms:modified xsi:type="dcterms:W3CDTF">2023-01-26T13:56:00Z</dcterms:modified>
  <cp:category>Final</cp:category>
</cp:coreProperties>
</file>