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24FD91A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78EC334" w14:textId="77777777" w:rsidR="002D5AAC" w:rsidRDefault="002D5AAC" w:rsidP="00A347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AE381B9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4F47C43" w14:textId="17C40F72" w:rsidR="002D5AAC" w:rsidRDefault="00A34789" w:rsidP="00A34789">
            <w:pPr>
              <w:jc w:val="right"/>
            </w:pPr>
            <w:r w:rsidRPr="00A34789">
              <w:rPr>
                <w:sz w:val="40"/>
              </w:rPr>
              <w:t>CED</w:t>
            </w:r>
            <w:r w:rsidRPr="00A34789">
              <w:t>/C/23/2</w:t>
            </w:r>
          </w:p>
        </w:tc>
      </w:tr>
      <w:tr w:rsidR="002D5AAC" w:rsidRPr="0072232D" w14:paraId="4079A879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488E36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701FD5E" wp14:editId="0261DE3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84B0AB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2E0A77F" w14:textId="77777777" w:rsidR="002D5AAC" w:rsidRPr="00A34789" w:rsidRDefault="00A34789" w:rsidP="00877609">
            <w:pPr>
              <w:spacing w:before="240"/>
              <w:rPr>
                <w:lang w:val="en-US"/>
              </w:rPr>
            </w:pPr>
            <w:r w:rsidRPr="00A34789">
              <w:rPr>
                <w:lang w:val="en-US"/>
              </w:rPr>
              <w:t>Distr.: General</w:t>
            </w:r>
          </w:p>
          <w:p w14:paraId="33397A59" w14:textId="77777777" w:rsidR="00A34789" w:rsidRPr="00A34789" w:rsidRDefault="00A34789" w:rsidP="00A34789">
            <w:pPr>
              <w:spacing w:line="240" w:lineRule="exact"/>
              <w:rPr>
                <w:lang w:val="en-US"/>
              </w:rPr>
            </w:pPr>
            <w:r w:rsidRPr="00A34789">
              <w:rPr>
                <w:lang w:val="en-US"/>
              </w:rPr>
              <w:t>18 November 2022</w:t>
            </w:r>
          </w:p>
          <w:p w14:paraId="42E7D8AE" w14:textId="77777777" w:rsidR="00A34789" w:rsidRPr="00A34789" w:rsidRDefault="00A34789" w:rsidP="00A34789">
            <w:pPr>
              <w:spacing w:line="240" w:lineRule="exact"/>
              <w:rPr>
                <w:lang w:val="en-US"/>
              </w:rPr>
            </w:pPr>
            <w:r w:rsidRPr="00A34789">
              <w:rPr>
                <w:lang w:val="en-US"/>
              </w:rPr>
              <w:t>Russian</w:t>
            </w:r>
          </w:p>
          <w:p w14:paraId="1B7A5E20" w14:textId="17F8D6D9" w:rsidR="00A34789" w:rsidRPr="00A34789" w:rsidRDefault="00A34789" w:rsidP="00A34789">
            <w:pPr>
              <w:spacing w:line="240" w:lineRule="exact"/>
              <w:rPr>
                <w:lang w:val="en-US"/>
              </w:rPr>
            </w:pPr>
            <w:r w:rsidRPr="00A34789">
              <w:rPr>
                <w:lang w:val="en-US"/>
              </w:rPr>
              <w:t>Original: English</w:t>
            </w:r>
          </w:p>
        </w:tc>
      </w:tr>
    </w:tbl>
    <w:p w14:paraId="10A4BF76" w14:textId="77777777" w:rsidR="00A34789" w:rsidRPr="00A34789" w:rsidRDefault="00A34789" w:rsidP="00A34789">
      <w:pPr>
        <w:spacing w:before="120"/>
        <w:rPr>
          <w:b/>
          <w:bCs/>
          <w:color w:val="000000" w:themeColor="text1"/>
          <w:sz w:val="24"/>
          <w:szCs w:val="24"/>
        </w:rPr>
      </w:pPr>
      <w:r w:rsidRPr="00A34789">
        <w:rPr>
          <w:b/>
          <w:bCs/>
          <w:sz w:val="24"/>
          <w:szCs w:val="24"/>
        </w:rPr>
        <w:t>Комитет по насильственным исчезновениям</w:t>
      </w:r>
    </w:p>
    <w:p w14:paraId="1B51C5A5" w14:textId="77777777" w:rsidR="00A34789" w:rsidRPr="0083002F" w:rsidRDefault="00A34789" w:rsidP="00A34789">
      <w:pPr>
        <w:pStyle w:val="HChG"/>
      </w:pPr>
      <w:r>
        <w:tab/>
      </w:r>
      <w:r>
        <w:tab/>
      </w:r>
      <w:r>
        <w:rPr>
          <w:bCs/>
        </w:rPr>
        <w:t>Доклад о просьбах о принятии срочных мер, представленных в соответствии со статьей 30 Конвенции</w:t>
      </w:r>
      <w:r w:rsidRPr="00621E4B">
        <w:rPr>
          <w:b w:val="0"/>
          <w:bCs/>
          <w:sz w:val="20"/>
        </w:rPr>
        <w:footnoteReference w:customMarkFollows="1" w:id="1"/>
        <w:t>*</w:t>
      </w:r>
    </w:p>
    <w:p w14:paraId="2B181220" w14:textId="28F478F7" w:rsidR="00A34789" w:rsidRPr="0083002F" w:rsidRDefault="00A34789" w:rsidP="00A34789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57C1E87" w14:textId="0AF22941" w:rsidR="00A34789" w:rsidRPr="0083002F" w:rsidRDefault="00A34789" w:rsidP="00A34789">
      <w:pPr>
        <w:pStyle w:val="SingleTxtG"/>
      </w:pPr>
      <w:r>
        <w:t>1.</w:t>
      </w:r>
      <w:r>
        <w:tab/>
        <w:t>В соответствии с правилами 57 и 58 правил процедуры Комитета все просьбы о принятии срочных мер, представляемые на его рассмотрение в соответствии со статьей</w:t>
      </w:r>
      <w:r>
        <w:rPr>
          <w:lang w:val="en-US"/>
        </w:rPr>
        <w:t> </w:t>
      </w:r>
      <w:r>
        <w:t>30 Конвенции, должны доводиться до сведения Комитета. В настоящем докладе кратко изложены основные вопросы, затронутые в связи с просьбами о принятии срочных мер, полученными Комитетом в соответствии со статьей 30 Конвенции, и рекомендации Комитета, которые он направил соответствующим государствам-участникам в нотах о регистрации этих просьб и принятии по ним мер после двадцать второй сессии.</w:t>
      </w:r>
      <w:bookmarkStart w:id="0" w:name="_Hlk109051135"/>
      <w:bookmarkStart w:id="1" w:name="_Hlk109051126"/>
      <w:bookmarkEnd w:id="0"/>
      <w:bookmarkEnd w:id="1"/>
    </w:p>
    <w:p w14:paraId="15AC1722" w14:textId="072567C7" w:rsidR="00A34789" w:rsidRPr="0083002F" w:rsidRDefault="00A34789" w:rsidP="00A34789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Просьбы о принятии срочных мер, полученные после двадцать второй сессии Комитета</w:t>
      </w:r>
    </w:p>
    <w:p w14:paraId="06003105" w14:textId="7D5EB6CE" w:rsidR="00A34789" w:rsidRPr="0083002F" w:rsidRDefault="00A34789" w:rsidP="00A34789">
      <w:pPr>
        <w:pStyle w:val="SingleTxtG"/>
      </w:pPr>
      <w:r>
        <w:t>2.</w:t>
      </w:r>
      <w:r>
        <w:tab/>
        <w:t>В докладе о просьбах о принятии срочных мер, утвержденном на его двадцать второй сессии</w:t>
      </w:r>
      <w:r w:rsidR="00B77F5E" w:rsidRPr="00A34789">
        <w:rPr>
          <w:rStyle w:val="aa"/>
        </w:rPr>
        <w:footnoteReference w:id="2"/>
      </w:r>
      <w:r>
        <w:t>, Комитет изложил принятые им решения и отмеченные тенденции по 1491 просьбе о принятии срочных мер, зарегистрированной до 8 апреля 2022 года. За</w:t>
      </w:r>
      <w:r>
        <w:rPr>
          <w:lang w:val="en-US"/>
        </w:rPr>
        <w:t> </w:t>
      </w:r>
      <w:r>
        <w:t>период, истекший с этой даты по 23 сентября 2022 года, Комитет получил 49 новых просьб о принятии срочных мер, из которых 46 была зарегистрирована. Одна не содержала достаточной информации для установления фактов. Вторая просьба не была зарегистрирована, поскольку, по мнению Комитета, в ней не шла речь о случае исчезновения согласно определению Конвенции. Третья просьба не была зарегистрирована, поскольку предполагаемое исчезновение не было доведено до сведения компетентных органов соответствующего государства-участника. Сорок шесть новых зарегистрированных просьб касались исчезновений в Ираке, Марокко, Мексике и Украине.</w:t>
      </w:r>
      <w:bookmarkStart w:id="2" w:name="_Hlk109051294"/>
      <w:bookmarkEnd w:id="2"/>
    </w:p>
    <w:p w14:paraId="50655319" w14:textId="77777777" w:rsidR="00A34789" w:rsidRPr="0083002F" w:rsidRDefault="00A34789" w:rsidP="00A34789">
      <w:pPr>
        <w:pStyle w:val="SingleTxtG"/>
      </w:pPr>
      <w:r>
        <w:t>3.</w:t>
      </w:r>
      <w:r>
        <w:tab/>
        <w:t>По состоянию на 23 сентября 2022 года Комитет зарегистрировал в общей сложности 1537 просьб о принятии срочных мер, как это показано в таблице. В период с 1 января по 23 сентября 2022 года Комитет направил 48 нот, относящихся к зарегистрированным просьбам о принятии срочных мер, для контроля за выполнением его рекомендаций, касающихся поиска и расследования случаев исчезновения.</w:t>
      </w:r>
    </w:p>
    <w:p w14:paraId="5A31CE75" w14:textId="397F44F2" w:rsidR="00A34789" w:rsidRPr="0083002F" w:rsidRDefault="00A34789" w:rsidP="00A34789">
      <w:pPr>
        <w:pStyle w:val="H23G"/>
        <w:spacing w:after="240"/>
      </w:pPr>
      <w:r>
        <w:lastRenderedPageBreak/>
        <w:tab/>
      </w:r>
      <w:r>
        <w:tab/>
      </w:r>
      <w:r>
        <w:rPr>
          <w:bCs/>
        </w:rPr>
        <w:t>Просьбы о принятии срочных мер, зарегистрированные до 23 сентября 2022</w:t>
      </w:r>
      <w:r>
        <w:rPr>
          <w:bCs/>
          <w:lang w:val="en-US"/>
        </w:rPr>
        <w:t> </w:t>
      </w:r>
      <w:r>
        <w:rPr>
          <w:bCs/>
        </w:rPr>
        <w:t>года, в разбивке по государствам-участникам и по годам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15"/>
        <w:gridCol w:w="571"/>
      </w:tblGrid>
      <w:tr w:rsidR="00A34789" w:rsidRPr="00A34789" w14:paraId="574670E1" w14:textId="77777777" w:rsidTr="00A34789">
        <w:trPr>
          <w:tblHeader/>
        </w:trPr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3CA3951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Государство-участник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005B7F6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2012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66F228C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2013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08D27F4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2014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242A657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2015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1F42441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2016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3E1FCAD9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2017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64B5BCC6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2018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17DEE2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2019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4DCE4D9B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2020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E84146A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2021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C100FEF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2022</w:t>
            </w:r>
            <w:r w:rsidRPr="00A34789">
              <w:rPr>
                <w:rFonts w:cs="Times New Roman"/>
                <w:i/>
                <w:sz w:val="16"/>
                <w:vertAlign w:val="superscript"/>
              </w:rPr>
              <w:t>a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F400D2D" w14:textId="77777777" w:rsidR="00A34789" w:rsidRPr="00A34789" w:rsidRDefault="00A34789" w:rsidP="00A34789">
            <w:pPr>
              <w:suppressAutoHyphens w:val="0"/>
              <w:spacing w:before="80" w:after="80" w:line="200" w:lineRule="exact"/>
              <w:ind w:left="28"/>
              <w:jc w:val="right"/>
              <w:rPr>
                <w:rFonts w:cs="Times New Roman"/>
                <w:i/>
                <w:sz w:val="16"/>
              </w:rPr>
            </w:pPr>
            <w:r w:rsidRPr="00A34789">
              <w:rPr>
                <w:rFonts w:cs="Times New Roman"/>
                <w:i/>
                <w:sz w:val="16"/>
              </w:rPr>
              <w:t>Итого</w:t>
            </w:r>
          </w:p>
        </w:tc>
      </w:tr>
      <w:tr w:rsidR="00A34789" w:rsidRPr="00A34789" w14:paraId="16D5C015" w14:textId="77777777" w:rsidTr="00A34789"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  <w:hideMark/>
          </w:tcPr>
          <w:p w14:paraId="4465598E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Аргентина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F29730D" w14:textId="078A9BF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742FAB16" w14:textId="382568F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3C36473" w14:textId="09DEC63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9F17A8D" w14:textId="7D52B74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FF746D8" w14:textId="0FFAB80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C659B3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1008984" w14:textId="46CE5F1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5CA83C3B" w14:textId="4F1801E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3D1B94E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662B2F5D" w14:textId="1D7630C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21C4E265" w14:textId="1F260A2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tcBorders>
              <w:top w:val="single" w:sz="12" w:space="0" w:color="auto"/>
            </w:tcBorders>
            <w:shd w:val="clear" w:color="auto" w:fill="auto"/>
            <w:vAlign w:val="bottom"/>
            <w:hideMark/>
          </w:tcPr>
          <w:p w14:paraId="192E0DD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</w:tr>
      <w:tr w:rsidR="00A34789" w:rsidRPr="00A34789" w14:paraId="1F439AFD" w14:textId="77777777" w:rsidTr="00A34789">
        <w:tc>
          <w:tcPr>
            <w:tcW w:w="1134" w:type="dxa"/>
            <w:shd w:val="clear" w:color="auto" w:fill="auto"/>
            <w:hideMark/>
          </w:tcPr>
          <w:p w14:paraId="2136AA5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Армения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93194BC" w14:textId="563C409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E23D4EE" w14:textId="03EF9A6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FAC5FC4" w14:textId="118242E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2E2A99C" w14:textId="0B4BCD2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C91A37C" w14:textId="28B7DE6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398F6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D3F6DEF" w14:textId="58CDD16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5694BE8" w14:textId="67E7EBB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391D433" w14:textId="1AA5D38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C86AF53" w14:textId="518A5F6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600D44D" w14:textId="4E5E38C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38DD5CF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42934BC4" w14:textId="77777777" w:rsidTr="00A34789">
        <w:tc>
          <w:tcPr>
            <w:tcW w:w="1134" w:type="dxa"/>
            <w:shd w:val="clear" w:color="auto" w:fill="auto"/>
            <w:hideMark/>
          </w:tcPr>
          <w:p w14:paraId="7F9DA509" w14:textId="6284C038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 xml:space="preserve">Боливия (Многонациональное </w:t>
            </w:r>
            <w:r>
              <w:rPr>
                <w:rFonts w:cs="Times New Roman"/>
                <w:sz w:val="18"/>
              </w:rPr>
              <w:br/>
            </w:r>
            <w:r w:rsidRPr="00A34789">
              <w:rPr>
                <w:rFonts w:cs="Times New Roman"/>
                <w:sz w:val="18"/>
              </w:rPr>
              <w:t>Государство)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DD15543" w14:textId="0A05414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2C0C315" w14:textId="4B872EE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808CB00" w14:textId="690A71C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460BF0E" w14:textId="6E8C197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E8E3FE6" w14:textId="0F600C1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361CCC" w14:textId="2FA8ED9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0FB6119" w14:textId="158A1ED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6C8F59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68390C8" w14:textId="5422825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0560F2A" w14:textId="29AF43B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090952E" w14:textId="22E301A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15B7ADC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5F5DEB1A" w14:textId="77777777" w:rsidTr="00A34789">
        <w:tc>
          <w:tcPr>
            <w:tcW w:w="1134" w:type="dxa"/>
            <w:shd w:val="clear" w:color="auto" w:fill="auto"/>
            <w:hideMark/>
          </w:tcPr>
          <w:p w14:paraId="27CE842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Бразилия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8B1BAB8" w14:textId="2764E1D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554EECD" w14:textId="073EFB9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659ECA9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2D90674" w14:textId="7FB1CEA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AD9821C" w14:textId="5DCE557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5612A49" w14:textId="7561F06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BA0229E" w14:textId="54CC5A9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95CB0B0" w14:textId="37D3DF5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3F306A3" w14:textId="615BDD8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D52659E" w14:textId="018945E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D114667" w14:textId="174A4A4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6AC6956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5D4228A1" w14:textId="77777777" w:rsidTr="00A34789">
        <w:tc>
          <w:tcPr>
            <w:tcW w:w="1134" w:type="dxa"/>
            <w:shd w:val="clear" w:color="auto" w:fill="auto"/>
            <w:hideMark/>
          </w:tcPr>
          <w:p w14:paraId="3111334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Буркина-Фасо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BE883FA" w14:textId="1EC6DD0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21C0A94" w14:textId="6439F7E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8CE93E1" w14:textId="5303282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80BD67D" w14:textId="3E89471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9303249" w14:textId="4190CEF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905C8D3" w14:textId="1DC6A4B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DF62A3C" w14:textId="5CFA4A7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7BF02A3" w14:textId="0A0ED83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5D4DB9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1F9086D" w14:textId="3396AC7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9C4E589" w14:textId="06F64A4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31A68B7E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1762F3A9" w14:textId="77777777" w:rsidTr="00A34789">
        <w:tc>
          <w:tcPr>
            <w:tcW w:w="1134" w:type="dxa"/>
            <w:shd w:val="clear" w:color="auto" w:fill="auto"/>
            <w:hideMark/>
          </w:tcPr>
          <w:p w14:paraId="4E1D89B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Камбоджа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3A3562" w14:textId="12745CF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A1ED800" w14:textId="7EEE618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C516B5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A8ECAE2" w14:textId="02408B5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30A0C61" w14:textId="3C5D802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389BBA1" w14:textId="7FAEF33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5EFF9E4" w14:textId="6B4E508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252509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AEB2DA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B43A70D" w14:textId="06C1EED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D6C84D2" w14:textId="469A991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77306A1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</w:t>
            </w:r>
          </w:p>
        </w:tc>
      </w:tr>
      <w:tr w:rsidR="00A34789" w:rsidRPr="00A34789" w14:paraId="32A3086E" w14:textId="77777777" w:rsidTr="00A34789">
        <w:tc>
          <w:tcPr>
            <w:tcW w:w="1134" w:type="dxa"/>
            <w:shd w:val="clear" w:color="auto" w:fill="auto"/>
            <w:hideMark/>
          </w:tcPr>
          <w:p w14:paraId="4A2A653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Колумбия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77B0D55" w14:textId="30A8A9E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6BB61D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DA5B83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99915E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0E95B56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361E31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D518B9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9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C6546E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45CAE2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2910F0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153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1F9DCED" w14:textId="615BFBE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499D4D1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179</w:t>
            </w:r>
          </w:p>
        </w:tc>
      </w:tr>
      <w:tr w:rsidR="00A34789" w:rsidRPr="00A34789" w14:paraId="7BFE318D" w14:textId="77777777" w:rsidTr="00A34789">
        <w:tc>
          <w:tcPr>
            <w:tcW w:w="1134" w:type="dxa"/>
            <w:shd w:val="clear" w:color="auto" w:fill="auto"/>
            <w:hideMark/>
          </w:tcPr>
          <w:p w14:paraId="338729B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Куба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35855CD" w14:textId="0B3EC1A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EE09122" w14:textId="6201C17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82CA244" w14:textId="6F8074A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359C72D" w14:textId="06C9A82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63AACDE" w14:textId="368372F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40677DF" w14:textId="43C6AA3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7317AD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042088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04E2A70" w14:textId="5BE864B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1BEED2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188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49C71D7" w14:textId="6322B0A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60C8374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192</w:t>
            </w:r>
          </w:p>
        </w:tc>
      </w:tr>
      <w:tr w:rsidR="00A34789" w:rsidRPr="00A34789" w14:paraId="4BFFC10E" w14:textId="77777777" w:rsidTr="00A34789">
        <w:tc>
          <w:tcPr>
            <w:tcW w:w="1134" w:type="dxa"/>
            <w:shd w:val="clear" w:color="auto" w:fill="auto"/>
            <w:hideMark/>
          </w:tcPr>
          <w:p w14:paraId="61BFF15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Гондурас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B9AB861" w14:textId="09DC2DB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9A01AF0" w14:textId="31928AE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E36176B" w14:textId="174D8CC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C2D407B" w14:textId="79692D9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F0F9C02" w14:textId="28D40BE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4E0ACCD" w14:textId="565A65E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A52178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14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A5D74D4" w14:textId="6675078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57BA3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9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6908C1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25BA865" w14:textId="552BCA5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21581A9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25</w:t>
            </w:r>
          </w:p>
        </w:tc>
      </w:tr>
      <w:tr w:rsidR="00A34789" w:rsidRPr="00A34789" w14:paraId="1FDE2246" w14:textId="77777777" w:rsidTr="00A34789">
        <w:tc>
          <w:tcPr>
            <w:tcW w:w="1134" w:type="dxa"/>
            <w:shd w:val="clear" w:color="auto" w:fill="auto"/>
            <w:hideMark/>
          </w:tcPr>
          <w:p w14:paraId="2D9E1F8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Ирак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62BADDF" w14:textId="16A6328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4BA1036" w14:textId="49C0579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10CDD6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596A6F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F8F1BF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030468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70E1EE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50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3C5564C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226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48C602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103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8526B86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CF3D0F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22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60A4730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554</w:t>
            </w:r>
          </w:p>
        </w:tc>
      </w:tr>
      <w:tr w:rsidR="00A34789" w:rsidRPr="00A34789" w14:paraId="5C16A329" w14:textId="77777777" w:rsidTr="00A34789">
        <w:tc>
          <w:tcPr>
            <w:tcW w:w="1134" w:type="dxa"/>
            <w:shd w:val="clear" w:color="auto" w:fill="auto"/>
            <w:hideMark/>
          </w:tcPr>
          <w:p w14:paraId="27D5908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Казахстан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7164E41" w14:textId="3217D8A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DC4EAD5" w14:textId="2F44BA0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671B157" w14:textId="2ADFD72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2AD26C8" w14:textId="280A518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7B587C6" w14:textId="2FB74B9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A26647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DE9D3AC" w14:textId="17EED41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E6A332B" w14:textId="1FE3D2C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B39CF9D" w14:textId="4C0F6CB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3DE8F74" w14:textId="7893092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C3231AC" w14:textId="312E086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2CA8A03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</w:tr>
      <w:tr w:rsidR="00A34789" w:rsidRPr="00A34789" w14:paraId="2B54C753" w14:textId="77777777" w:rsidTr="00A34789">
        <w:tc>
          <w:tcPr>
            <w:tcW w:w="1134" w:type="dxa"/>
            <w:shd w:val="clear" w:color="auto" w:fill="auto"/>
            <w:hideMark/>
          </w:tcPr>
          <w:p w14:paraId="6B7E458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Литва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63EC3AE" w14:textId="234E93D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0E5D07E" w14:textId="153477B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B7C22ED" w14:textId="34359A9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454BDEE" w14:textId="385DD03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073984" w14:textId="60F7EF4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363F90" w14:textId="578B263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E316383" w14:textId="3BE30F6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7C36E29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F65DF00" w14:textId="5D760A4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2290779" w14:textId="72BD514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B108C30" w14:textId="4CCF3E3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74DF087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</w:tr>
      <w:tr w:rsidR="00A34789" w:rsidRPr="00A34789" w14:paraId="4A26ECA8" w14:textId="77777777" w:rsidTr="00A34789">
        <w:tc>
          <w:tcPr>
            <w:tcW w:w="1134" w:type="dxa"/>
            <w:shd w:val="clear" w:color="auto" w:fill="auto"/>
            <w:hideMark/>
          </w:tcPr>
          <w:p w14:paraId="6E6F8BF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Мали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85AB577" w14:textId="36B1A42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AF06B93" w14:textId="431554E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45BBBF8" w14:textId="3F762FD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470391" w14:textId="2F9405A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560AFC9" w14:textId="15D2406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9449141" w14:textId="3977C30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6853F48" w14:textId="7331A64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0D990BD" w14:textId="445F959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592657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C4C93D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0D1D0F1" w14:textId="41ADB0E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1C497C0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12</w:t>
            </w:r>
          </w:p>
        </w:tc>
      </w:tr>
      <w:tr w:rsidR="00A34789" w:rsidRPr="00A34789" w14:paraId="11380186" w14:textId="77777777" w:rsidTr="00A34789">
        <w:tc>
          <w:tcPr>
            <w:tcW w:w="1134" w:type="dxa"/>
            <w:shd w:val="clear" w:color="auto" w:fill="auto"/>
            <w:hideMark/>
          </w:tcPr>
          <w:p w14:paraId="5251CF0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Мавритания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77F61BC" w14:textId="7BDDF63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CD53340" w14:textId="6B2A590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A1C02CD" w14:textId="2BED9BC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FA46989" w14:textId="55DA0C7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1717860" w14:textId="3395A07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923B8E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79D222" w14:textId="70DFD8D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7F41BC" w14:textId="224695C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309ABE7" w14:textId="16E9F5A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5149842" w14:textId="040663A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221DF8F" w14:textId="2E693B9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188A6B0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2A78A067" w14:textId="77777777" w:rsidTr="00A34789">
        <w:tc>
          <w:tcPr>
            <w:tcW w:w="1134" w:type="dxa"/>
            <w:shd w:val="clear" w:color="auto" w:fill="auto"/>
            <w:hideMark/>
          </w:tcPr>
          <w:p w14:paraId="2C9F245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Мексика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041A2A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108B47C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600C34C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43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6513B09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166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552AED9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58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00A87DC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F0AD24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D31889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10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052F07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57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8DEC6C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60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57C0B05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49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22BF930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525</w:t>
            </w:r>
          </w:p>
        </w:tc>
      </w:tr>
      <w:tr w:rsidR="00A34789" w:rsidRPr="00A34789" w14:paraId="01C4A6F4" w14:textId="77777777" w:rsidTr="00A34789">
        <w:tc>
          <w:tcPr>
            <w:tcW w:w="1134" w:type="dxa"/>
            <w:shd w:val="clear" w:color="auto" w:fill="auto"/>
            <w:hideMark/>
          </w:tcPr>
          <w:p w14:paraId="70AE6AFA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Марокко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E4AF7AC" w14:textId="6C36860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D0C6F41" w14:textId="24F170B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114EE7F" w14:textId="392231E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B0E6ED4" w14:textId="48B47CA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3BE9C0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2755AD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B29D154" w14:textId="04A59F9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E504F57" w14:textId="4F7897E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00B5EA" w14:textId="45A7DC9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84FAED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3F3705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0D293AE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7</w:t>
            </w:r>
          </w:p>
        </w:tc>
      </w:tr>
      <w:tr w:rsidR="00A34789" w:rsidRPr="00A34789" w14:paraId="5D453ACE" w14:textId="77777777" w:rsidTr="00A34789">
        <w:tc>
          <w:tcPr>
            <w:tcW w:w="1134" w:type="dxa"/>
            <w:shd w:val="clear" w:color="auto" w:fill="auto"/>
            <w:hideMark/>
          </w:tcPr>
          <w:p w14:paraId="7045909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Нигер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7C9DD29" w14:textId="67EC435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6363DB1" w14:textId="5A9FE9C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9E99A4C" w14:textId="737E503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1D13E23" w14:textId="4D8BFD5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349872E" w14:textId="6949854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6D3A79B" w14:textId="01C5BE5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0D1D27B" w14:textId="429BE87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C84851C" w14:textId="06D6C60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2F3678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ED67BA8" w14:textId="47C5989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552B3EB" w14:textId="47E02D0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00CD410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4B3825AD" w14:textId="77777777" w:rsidTr="00A34789">
        <w:tc>
          <w:tcPr>
            <w:tcW w:w="1134" w:type="dxa"/>
            <w:shd w:val="clear" w:color="auto" w:fill="auto"/>
            <w:hideMark/>
          </w:tcPr>
          <w:p w14:paraId="43EDDBA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Оман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711AEA1" w14:textId="2DF1474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C65191A" w14:textId="413C14B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D80C047" w14:textId="6FF7958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F5D48B8" w14:textId="2B22B99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8BBAE75" w14:textId="1A1D083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320A2D6" w14:textId="75D9E7A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613A788" w14:textId="78DE0EB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B0F0AAA" w14:textId="445EC4E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B18D1B5" w14:textId="186AD79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231DE3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E26355F" w14:textId="0B6C247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1ADA7E9E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75EB03A1" w14:textId="77777777" w:rsidTr="00A34789">
        <w:tc>
          <w:tcPr>
            <w:tcW w:w="1134" w:type="dxa"/>
            <w:shd w:val="clear" w:color="auto" w:fill="auto"/>
            <w:hideMark/>
          </w:tcPr>
          <w:p w14:paraId="440A331E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Парагвай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657D47F" w14:textId="3F21321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7FFABC" w14:textId="58B3464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C2B5AC" w14:textId="058C0C0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C043E2" w14:textId="5B672B4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4F8E8A6" w14:textId="4DF32F0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C01F951" w14:textId="60B51E0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2C6875B" w14:textId="1A137D8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5439815" w14:textId="10DAC84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D2E385E" w14:textId="0A2C079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13546B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3E6A8C7" w14:textId="16EB64D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72E5D36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05399EAD" w14:textId="77777777" w:rsidTr="00A34789">
        <w:tc>
          <w:tcPr>
            <w:tcW w:w="1134" w:type="dxa"/>
            <w:shd w:val="clear" w:color="auto" w:fill="auto"/>
            <w:hideMark/>
          </w:tcPr>
          <w:p w14:paraId="53F73E2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Перу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F1787ED" w14:textId="7053A4C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4C66650" w14:textId="3EB1E45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A4FF562" w14:textId="4A86B94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885A723" w14:textId="0765DBD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A69D131" w14:textId="332B949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88B18B8" w14:textId="763F1BF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B403577" w14:textId="72D1B98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9500248" w14:textId="544FD74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D7434F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14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1F982D" w14:textId="02F0081B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D1DF100" w14:textId="67EE385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00B39A78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14</w:t>
            </w:r>
          </w:p>
        </w:tc>
      </w:tr>
      <w:tr w:rsidR="00A34789" w:rsidRPr="00A34789" w14:paraId="0FE445BD" w14:textId="77777777" w:rsidTr="00A34789">
        <w:tc>
          <w:tcPr>
            <w:tcW w:w="1134" w:type="dxa"/>
            <w:shd w:val="clear" w:color="auto" w:fill="auto"/>
            <w:hideMark/>
          </w:tcPr>
          <w:p w14:paraId="0E89055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Шри-Ланка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99F1D01" w14:textId="691B0EE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82878A0" w14:textId="5F0F23E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3A86632" w14:textId="55EA924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655E5C" w14:textId="0AC309D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1E1D339" w14:textId="4111409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F712FCF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4440D03" w14:textId="2CE94CD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1B40CD3" w14:textId="37433C8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35CC13C" w14:textId="39C59D0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86DF8AE" w14:textId="7D6A283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DEA1BE8" w14:textId="64520EB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093D4DF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5B599793" w14:textId="77777777" w:rsidTr="00A34789">
        <w:tc>
          <w:tcPr>
            <w:tcW w:w="1134" w:type="dxa"/>
            <w:shd w:val="clear" w:color="auto" w:fill="auto"/>
            <w:hideMark/>
          </w:tcPr>
          <w:p w14:paraId="43540AB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Словакия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A2B40DC" w14:textId="6F82CBD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863E481" w14:textId="3EB4D98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B42059F" w14:textId="644A3D4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EDEA004" w14:textId="7FA2859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DADB204" w14:textId="528C3E2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B9300E5" w14:textId="0116055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19628EF" w14:textId="0E38912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8AD2733" w14:textId="5BB9455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5C5A937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F98D14" w14:textId="7306B70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A619E7" w14:textId="3280775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393C5A1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25D1CF8C" w14:textId="77777777" w:rsidTr="00A34789">
        <w:tc>
          <w:tcPr>
            <w:tcW w:w="1134" w:type="dxa"/>
            <w:shd w:val="clear" w:color="auto" w:fill="auto"/>
            <w:hideMark/>
          </w:tcPr>
          <w:p w14:paraId="1718C41D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Судан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C283A9E" w14:textId="7131F1B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E5D8E13" w14:textId="7A4E728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6203E1B" w14:textId="4AB37ED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DFB4510" w14:textId="56FEDC9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B953394" w14:textId="780C60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5E89A85" w14:textId="0E8049E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77CAD6B" w14:textId="0B39943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515B830" w14:textId="2D4EDC5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D47ECDD" w14:textId="5F1A952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B56DBE8" w14:textId="0D8B1CD6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  <w:r w:rsidRPr="00A34789">
              <w:rPr>
                <w:rFonts w:cs="Times New Roman"/>
                <w:sz w:val="18"/>
              </w:rPr>
              <w:t xml:space="preserve"> 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E3F5CC6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6FD6FDC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A34789" w:rsidRPr="00A34789" w14:paraId="277201BD" w14:textId="77777777" w:rsidTr="00A34789">
        <w:tc>
          <w:tcPr>
            <w:tcW w:w="1134" w:type="dxa"/>
            <w:shd w:val="clear" w:color="auto" w:fill="auto"/>
            <w:hideMark/>
          </w:tcPr>
          <w:p w14:paraId="7D14003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Того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358BCA3" w14:textId="58876E0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E49627F" w14:textId="73C8107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054A58F" w14:textId="06152EF4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A604FDE" w14:textId="09EDA85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BE4C739" w14:textId="4268073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22BBABCD" w14:textId="4236E8F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4BAA600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2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77F0F43" w14:textId="23F6562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40795F3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B45E38C" w14:textId="0B1D16C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337384C" w14:textId="4C455B9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4877653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</w:tr>
      <w:tr w:rsidR="00A34789" w:rsidRPr="00A34789" w14:paraId="49ABB906" w14:textId="77777777" w:rsidTr="00A34789">
        <w:tc>
          <w:tcPr>
            <w:tcW w:w="1134" w:type="dxa"/>
            <w:shd w:val="clear" w:color="auto" w:fill="auto"/>
            <w:hideMark/>
          </w:tcPr>
          <w:p w14:paraId="5BB96994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Тунис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3143C43" w14:textId="15E9BE01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A58CCF3" w14:textId="61D6AA60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BBB74CB" w14:textId="2463E8B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117C8CE1" w14:textId="7DD2AF2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72355466" w14:textId="2EC28D2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02F3C3E5" w14:textId="5F43D92D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CAEDEF6" w14:textId="282AAED9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3BAC7B1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2FB8F53" w14:textId="110D848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67B65F28" w14:textId="19A2C3B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shd w:val="clear" w:color="auto" w:fill="auto"/>
            <w:vAlign w:val="bottom"/>
            <w:hideMark/>
          </w:tcPr>
          <w:p w14:paraId="5A6D72F9" w14:textId="1FB45D6F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71" w:type="dxa"/>
            <w:shd w:val="clear" w:color="auto" w:fill="auto"/>
            <w:vAlign w:val="bottom"/>
            <w:hideMark/>
          </w:tcPr>
          <w:p w14:paraId="33E09472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1</w:t>
            </w:r>
          </w:p>
        </w:tc>
      </w:tr>
      <w:tr w:rsidR="009573F6" w:rsidRPr="00A34789" w14:paraId="2F376E47" w14:textId="77777777" w:rsidTr="009573F6"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BE5EC53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Украина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A8217E" w14:textId="3F6CB382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19A37C" w14:textId="5AA9D855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9A1952C" w14:textId="7BA73938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E4C3FA" w14:textId="30A1674C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13F2590" w14:textId="3C26BC4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90D3AF" w14:textId="2CDAC31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15E0A1" w14:textId="205E816E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357444D" w14:textId="3B8EAEEA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5E40036" w14:textId="051887A3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E8E0F9" w14:textId="4D3A4F0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>
              <w:rPr>
                <w:rFonts w:cs="Times New Roman"/>
                <w:sz w:val="18"/>
              </w:rPr>
              <w:t>–</w:t>
            </w:r>
          </w:p>
        </w:tc>
        <w:tc>
          <w:tcPr>
            <w:tcW w:w="51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0B83A1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  <w:tc>
          <w:tcPr>
            <w:tcW w:w="57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C582CB" w14:textId="77777777" w:rsidR="00A34789" w:rsidRPr="00A34789" w:rsidRDefault="00A34789" w:rsidP="00A34789">
            <w:pPr>
              <w:suppressAutoHyphens w:val="0"/>
              <w:spacing w:before="40" w:after="40" w:line="220" w:lineRule="exact"/>
              <w:jc w:val="right"/>
              <w:rPr>
                <w:rFonts w:cs="Times New Roman"/>
                <w:sz w:val="18"/>
              </w:rPr>
            </w:pPr>
            <w:r w:rsidRPr="00A34789">
              <w:rPr>
                <w:rFonts w:cs="Times New Roman"/>
                <w:sz w:val="18"/>
              </w:rPr>
              <w:t>3</w:t>
            </w:r>
          </w:p>
        </w:tc>
      </w:tr>
      <w:tr w:rsidR="009573F6" w:rsidRPr="009573F6" w14:paraId="075BDCCB" w14:textId="77777777" w:rsidTr="009573F6"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hideMark/>
          </w:tcPr>
          <w:p w14:paraId="7C8E6D09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ind w:left="283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Итого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7EF9EAE7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5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4B58AD7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5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39C3BBC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51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AC8F23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211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5FC0483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85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0045E46B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86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45893A6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118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24F251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248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1570D950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192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54D8D7C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459</w:t>
            </w:r>
          </w:p>
        </w:tc>
        <w:tc>
          <w:tcPr>
            <w:tcW w:w="5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2B398319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77</w:t>
            </w:r>
          </w:p>
        </w:tc>
        <w:tc>
          <w:tcPr>
            <w:tcW w:w="5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14:paraId="586720A2" w14:textId="77777777" w:rsidR="00A34789" w:rsidRPr="009573F6" w:rsidRDefault="00A34789" w:rsidP="009573F6">
            <w:pPr>
              <w:suppressAutoHyphens w:val="0"/>
              <w:spacing w:before="80" w:after="80" w:line="220" w:lineRule="exact"/>
              <w:jc w:val="right"/>
              <w:rPr>
                <w:rFonts w:cs="Times New Roman"/>
                <w:b/>
                <w:sz w:val="18"/>
              </w:rPr>
            </w:pPr>
            <w:r w:rsidRPr="009573F6">
              <w:rPr>
                <w:rFonts w:cs="Times New Roman"/>
                <w:b/>
                <w:sz w:val="18"/>
              </w:rPr>
              <w:t>1 537</w:t>
            </w:r>
          </w:p>
        </w:tc>
      </w:tr>
    </w:tbl>
    <w:p w14:paraId="6A320779" w14:textId="6BD6FA62" w:rsidR="00A34789" w:rsidRPr="00A34789" w:rsidRDefault="00A34789" w:rsidP="00A34789">
      <w:pPr>
        <w:spacing w:before="120" w:line="220" w:lineRule="exact"/>
        <w:ind w:left="1134" w:right="1134" w:firstLine="142"/>
        <w:rPr>
          <w:sz w:val="18"/>
          <w:szCs w:val="18"/>
        </w:rPr>
      </w:pPr>
      <w:r w:rsidRPr="00A34789">
        <w:rPr>
          <w:i/>
          <w:iCs/>
          <w:sz w:val="18"/>
          <w:szCs w:val="18"/>
          <w:vertAlign w:val="superscript"/>
        </w:rPr>
        <w:t>а</w:t>
      </w:r>
      <w:r w:rsidRPr="00A34789">
        <w:rPr>
          <w:sz w:val="18"/>
          <w:szCs w:val="18"/>
          <w:vertAlign w:val="superscript"/>
        </w:rPr>
        <w:t xml:space="preserve"> </w:t>
      </w:r>
      <w:r w:rsidR="00F54CE1">
        <w:rPr>
          <w:sz w:val="18"/>
          <w:szCs w:val="18"/>
          <w:vertAlign w:val="superscript"/>
          <w:lang w:val="en-US"/>
        </w:rPr>
        <w:t xml:space="preserve"> </w:t>
      </w:r>
      <w:r w:rsidRPr="00A34789">
        <w:rPr>
          <w:sz w:val="18"/>
          <w:szCs w:val="18"/>
        </w:rPr>
        <w:t>До 23 сентября 2022 года.</w:t>
      </w:r>
    </w:p>
    <w:p w14:paraId="1C55A1D9" w14:textId="6DBCB456" w:rsidR="00A34789" w:rsidRPr="0083002F" w:rsidRDefault="00A34789" w:rsidP="00A34789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Срочные меры, действие которых истекло, прекращено, продолжается или временно приостановлено в целях защиты лиц, в отношении которых были приняты временные меры</w:t>
      </w:r>
    </w:p>
    <w:p w14:paraId="1C2EC319" w14:textId="77777777" w:rsidR="00A34789" w:rsidRPr="0083002F" w:rsidRDefault="00A34789" w:rsidP="00A34789">
      <w:pPr>
        <w:pStyle w:val="SingleTxtG"/>
      </w:pPr>
      <w:r>
        <w:t>4.</w:t>
      </w:r>
      <w:r>
        <w:tab/>
        <w:t>В соответствии с критериями, принятыми Комитетом на его восьмой и двадцатой сессиях:</w:t>
      </w:r>
    </w:p>
    <w:p w14:paraId="48FF5193" w14:textId="2EC7950E" w:rsidR="00A34789" w:rsidRPr="0083002F" w:rsidRDefault="00A34789" w:rsidP="00A34789">
      <w:pPr>
        <w:pStyle w:val="SingleTxtG"/>
      </w:pPr>
      <w:r>
        <w:tab/>
        <w:t>a)</w:t>
      </w:r>
      <w:r>
        <w:tab/>
        <w:t xml:space="preserve">действие срочных мер истекает, когда исчезнувшее лицо найдено, но </w:t>
      </w:r>
      <w:r w:rsidR="009573F6">
        <w:br/>
      </w:r>
      <w:r>
        <w:t>по-прежнему содержится под стражей; принимается именно такая мера, поскольку данное лицо находится в особенно уязвимом положении и может вновь подвергнуться насильственному исчезновению и оказаться вне защиты закона;</w:t>
      </w:r>
    </w:p>
    <w:p w14:paraId="05E956C9" w14:textId="0F6A6794" w:rsidR="00A34789" w:rsidRPr="0083002F" w:rsidRDefault="00A34789" w:rsidP="00A34789">
      <w:pPr>
        <w:pStyle w:val="SingleTxtG"/>
      </w:pPr>
      <w:r>
        <w:lastRenderedPageBreak/>
        <w:tab/>
        <w:t>b)</w:t>
      </w:r>
      <w:r>
        <w:tab/>
        <w:t>действие срочных мер прекращается, когда исчезнувшее лицо найдено на свободе либо найдено и освобождено, либо найдено мертвым, а его родственники и/или авторы просьбы не оспаривают этих фактов;</w:t>
      </w:r>
    </w:p>
    <w:p w14:paraId="63B32373" w14:textId="00144F3E" w:rsidR="00A34789" w:rsidRPr="0083002F" w:rsidRDefault="00A34789" w:rsidP="00A34789">
      <w:pPr>
        <w:pStyle w:val="SingleTxtG"/>
      </w:pPr>
      <w:r>
        <w:tab/>
        <w:t>c)</w:t>
      </w:r>
      <w:r>
        <w:tab/>
        <w:t>действие срочных мер и последующих мер Комитета временно приостанавливается, когда автор просьбы о принятии срочных мер потерял связь с родственниками исчезнувшего лица и больше не может предоставлять дополнительную информацию; временно приостановленное действие срочных мер может быть возобновлено, если автор сообщит Комитету о возобновлении связи с этими родственниками.</w:t>
      </w:r>
    </w:p>
    <w:p w14:paraId="6A63E916" w14:textId="39AE0C35" w:rsidR="00A34789" w:rsidRPr="0083002F" w:rsidRDefault="00A34789" w:rsidP="00A34789">
      <w:pPr>
        <w:pStyle w:val="SingleTxtG"/>
      </w:pPr>
      <w:r>
        <w:t>5.</w:t>
      </w:r>
      <w:r>
        <w:tab/>
        <w:t>По состоянию на 23 сентября 2022 года Комитет прекратил действие срочных мер по 392 делам, признал истекшим их действие по 34 делам и временно отложил их действие по 103 делам. В общей сложности продолжалось осуществление срочных мер по 1008 делам.</w:t>
      </w:r>
    </w:p>
    <w:p w14:paraId="15F1E9EE" w14:textId="3550BB2F" w:rsidR="00A34789" w:rsidRPr="0083002F" w:rsidRDefault="00A34789" w:rsidP="00A34789">
      <w:pPr>
        <w:pStyle w:val="SingleTxtG"/>
      </w:pPr>
      <w:r>
        <w:t>6.</w:t>
      </w:r>
      <w:r>
        <w:tab/>
        <w:t>Комитет приветствует тот факт, что к настоящему времени обнаружено 428</w:t>
      </w:r>
      <w:r>
        <w:rPr>
          <w:lang w:val="en-US"/>
        </w:rPr>
        <w:t> </w:t>
      </w:r>
      <w:r>
        <w:t>исчезнувших лиц. Он особенно приветствует тот факт, что соответствующие лица были найдены живыми по 406 делам. В этой связи Комитет хотел бы отметить положительные результаты по зарегистрированным в отчетный период просьбам о принятии срочных мер в отношении случаев в на Кубе, в Мексике и Марокко.</w:t>
      </w:r>
    </w:p>
    <w:p w14:paraId="7CA80961" w14:textId="7529BE8E" w:rsidR="00A34789" w:rsidRPr="0083002F" w:rsidRDefault="00A34789" w:rsidP="00A34789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События после двадцать второй сессии (до 23 сентября 2022 года)</w:t>
      </w:r>
    </w:p>
    <w:p w14:paraId="557CB7BD" w14:textId="77777777" w:rsidR="00A34789" w:rsidRPr="0083002F" w:rsidRDefault="00A34789" w:rsidP="00A34789">
      <w:pPr>
        <w:pStyle w:val="SingleTxtG"/>
      </w:pPr>
      <w:r>
        <w:t>7.</w:t>
      </w:r>
      <w:r>
        <w:tab/>
        <w:t>На протяжении всей процедуры принятия срочных мер Комитет непрерывно поддерживает связь с государствами-участниками через их постоянные представительства, а также с авторами просьб о принятии срочных мер. Комитет также сотрудничает с Управлением Верховного комиссара Организации Объединенных Наций по правам человека и другими отделениями Организации Объединенных Наций на местах, которые передают информацию о делах и отслеживают выполнение рекомендаций Комитета.</w:t>
      </w:r>
    </w:p>
    <w:p w14:paraId="2CA19DE9" w14:textId="77777777" w:rsidR="00A34789" w:rsidRPr="0083002F" w:rsidRDefault="00A34789" w:rsidP="00A34789">
      <w:pPr>
        <w:pStyle w:val="SingleTxtG"/>
      </w:pPr>
      <w:r>
        <w:t>8.</w:t>
      </w:r>
      <w:r>
        <w:tab/>
        <w:t>Не претендуя на исчерпывающий анализ всей информации, полученной в рамках процедуры принятия срочных мер, в следующих ниже пунктах содержится описание общих и конкретных проблем, тенденций и событий в ряде государств-участников в рассматриваемый период.</w:t>
      </w:r>
    </w:p>
    <w:p w14:paraId="4F33BBBA" w14:textId="5D804E89" w:rsidR="00A34789" w:rsidRPr="0083002F" w:rsidRDefault="00A34789" w:rsidP="00A34789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тенденции, которые наблюдались в ходе рассматриваемого периода</w:t>
      </w:r>
    </w:p>
    <w:p w14:paraId="0EB59E5F" w14:textId="7A3AE78D" w:rsidR="00A34789" w:rsidRPr="0083002F" w:rsidRDefault="00A34789" w:rsidP="00A34789">
      <w:pPr>
        <w:pStyle w:val="SingleTxtG"/>
      </w:pPr>
      <w:r>
        <w:t>9.</w:t>
      </w:r>
      <w:r>
        <w:tab/>
        <w:t>Информация, полученная в рамках процедуры принятия срочных мер, подтверждает тенденции, выявленные ранее в докладах, принятых Комитетом в период с одиннадцатой по двадцать вторую сессию</w:t>
      </w:r>
      <w:r w:rsidR="009573F6" w:rsidRPr="00A34789">
        <w:rPr>
          <w:rStyle w:val="aa"/>
        </w:rPr>
        <w:footnoteReference w:id="3"/>
      </w:r>
      <w:r>
        <w:t>, и иллюстрирует новые тенденции, описанные в нижеследующих пунктах.</w:t>
      </w:r>
    </w:p>
    <w:p w14:paraId="68896725" w14:textId="1E51CED7" w:rsidR="00A34789" w:rsidRPr="0083002F" w:rsidRDefault="00A34789" w:rsidP="00A34789">
      <w:pPr>
        <w:pStyle w:val="H23G"/>
      </w:pPr>
      <w:r>
        <w:rPr>
          <w:bCs/>
        </w:rPr>
        <w:tab/>
        <w:t>a)</w:t>
      </w:r>
      <w:r>
        <w:tab/>
      </w:r>
      <w:r>
        <w:rPr>
          <w:bCs/>
        </w:rPr>
        <w:t>Отсутствие сотрудничества с Комитетом</w:t>
      </w:r>
    </w:p>
    <w:p w14:paraId="7A46DEF7" w14:textId="6934D081" w:rsidR="00A34789" w:rsidRPr="0083002F" w:rsidRDefault="00A34789" w:rsidP="00A34789">
      <w:pPr>
        <w:pStyle w:val="SingleTxtG"/>
      </w:pPr>
      <w:r>
        <w:t>10.</w:t>
      </w:r>
      <w:r>
        <w:tab/>
        <w:t>Комитет обеспокоен отсутствием сотрудничества со стороны государств-участников, которые не отвечают на просьбы о принятии срочных мер или не выполняют рекомендации Комитета. Комитет напоминает, что в соответствии с пунктом 3 статьи 30 Конвенции государства-участники обязаны информировать Комитет в установленный срок о мерах, принятых для обнаружения и защиты разыскиваемого лица в соответствии с Конвенцией, и, согласно пункту 9 статьи 26 Конвенции, — сотрудничать с Комитетом и оказывать содействие его членам в осуществлении их мандата.</w:t>
      </w:r>
    </w:p>
    <w:p w14:paraId="0BE4927C" w14:textId="77777777" w:rsidR="00A34789" w:rsidRPr="0083002F" w:rsidRDefault="00A34789" w:rsidP="00A34789">
      <w:pPr>
        <w:pStyle w:val="SingleTxtG"/>
      </w:pPr>
      <w:r>
        <w:t>11.</w:t>
      </w:r>
      <w:r>
        <w:tab/>
        <w:t xml:space="preserve">Особую обеспокоенность Комитета продолжает вызывать тот факт, что Ирак по-прежнему не ответил на большинство зарегистрированных просьб о принятии срочных мер в связи со случаями исчезновений, которые произошли на его территории, и не выполнил рекомендации, касающиеся принятия мер для поиска и </w:t>
      </w:r>
      <w:r>
        <w:lastRenderedPageBreak/>
        <w:t>расследования. Комитет отметил такое несоблюдение Ираком своих обязательств по статье 30 Конвенции в своих пяти прошлых докладах, представленных Генеральной Ассамблее</w:t>
      </w:r>
      <w:r w:rsidRPr="00A34789">
        <w:rPr>
          <w:rStyle w:val="aa"/>
        </w:rPr>
        <w:footnoteReference w:id="4"/>
      </w:r>
      <w:r>
        <w:t xml:space="preserve">. </w:t>
      </w:r>
    </w:p>
    <w:p w14:paraId="5AD45020" w14:textId="1F391858" w:rsidR="00A34789" w:rsidRPr="0083002F" w:rsidRDefault="00A34789" w:rsidP="00A34789">
      <w:pPr>
        <w:pStyle w:val="SingleTxtG"/>
      </w:pPr>
      <w:r>
        <w:t>12.</w:t>
      </w:r>
      <w:r>
        <w:tab/>
        <w:t>В тех случаях, когда заинтересованные государства-участники или авторы просьб о принятии срочных мер не предоставляют дополнительной информации в сроки, установленные Комитетом, Комитет направляет до четырех напоминаний. В</w:t>
      </w:r>
      <w:r>
        <w:rPr>
          <w:lang w:val="en-US"/>
        </w:rPr>
        <w:t> </w:t>
      </w:r>
      <w:r>
        <w:t>своем последнем напоминании Комитет указывает, что он может принять решение предать гласности эту ситуацию в своем докладе о принятии срочных мер на его следующей сессии и в следующем докладе Генеральной Ассамблее.</w:t>
      </w:r>
    </w:p>
    <w:p w14:paraId="1E12B47E" w14:textId="61D3C745" w:rsidR="00A34789" w:rsidRPr="0083002F" w:rsidRDefault="00A34789" w:rsidP="00A34789">
      <w:pPr>
        <w:pStyle w:val="SingleTxtG"/>
      </w:pPr>
      <w:r>
        <w:t>13.</w:t>
      </w:r>
      <w:r>
        <w:tab/>
        <w:t>По состоянию на 23 сентября 2022 года Комитет направил последние напоминания и не получил ответа от соответствующих государств-участников в отношении 430 просьб о принятии срочных мер: 368 просьб в отношении Ирака, 61</w:t>
      </w:r>
      <w:r>
        <w:rPr>
          <w:lang w:val="en-US"/>
        </w:rPr>
        <w:t> </w:t>
      </w:r>
      <w:r>
        <w:t xml:space="preserve">просьбы в отношении Мексики и 1 просьбы в отношении Мали. </w:t>
      </w:r>
    </w:p>
    <w:p w14:paraId="4EA30995" w14:textId="77777777" w:rsidR="00A34789" w:rsidRPr="0083002F" w:rsidRDefault="00A34789" w:rsidP="00A34789">
      <w:pPr>
        <w:pStyle w:val="SingleTxtG"/>
      </w:pPr>
      <w:r>
        <w:t>14.</w:t>
      </w:r>
      <w:r>
        <w:tab/>
        <w:t>Комитет также обеспокоен отсутствием в некоторых случаях ответов от авторов просьб о принятии срочных мер. В случаях, когда авторы не отвечают после того, как государство-участник представило замечания в отношении мер, принятых для поиска и расследования, которые затем были препровождены авторам для комментариев, Комитет направляет авторам до четырех напоминаний.</w:t>
      </w:r>
    </w:p>
    <w:p w14:paraId="5FB381BA" w14:textId="4CC8CF99" w:rsidR="00A34789" w:rsidRPr="0072232D" w:rsidRDefault="00A34789" w:rsidP="00A34789">
      <w:pPr>
        <w:pStyle w:val="SingleTxtG"/>
      </w:pPr>
      <w:r>
        <w:t>15.</w:t>
      </w:r>
      <w:r>
        <w:tab/>
        <w:t xml:space="preserve">По состоянию на 23 сентября 2022 года Комитет направил последние напоминания и не получил ответа от соответствующих авторов в отношении 99 просьб о принятии срочных мер: 77 просьб касались Мексики, </w:t>
      </w:r>
      <w:r w:rsidR="00F85646">
        <w:t xml:space="preserve">13 — Гондураса, </w:t>
      </w:r>
      <w:r>
        <w:t>7 — Колумбии, 1 — Ирака и 1 — Перу</w:t>
      </w:r>
      <w:r w:rsidRPr="006E3D41">
        <w:t>. Отсутствие ответа от авторов просьб о принятии срочных мер не позволяет Комитету отслеживать выполнение его рекомендаций. Комитет напоминает, что авторам следует информировать Комитет в случае утраты ими связи с родственниками исчезнувшего лица, и тогда Комитет приостановит дальнейшие действия по этому делу, либо, если это лицо было найдено, то в этом случае он закроет или прекратит дело (см. пункт 4 выше). Авторам следует информировать Комитет, когда им нечего добавить по поводу розыскных и следственных действий, предпринятых соответствующим государством-участником, с тем чтобы Комитет мог приступить к дальнейшей работе в связи с просьбами о принятии срочных мер на основе информации, предоставленной государством-участником.</w:t>
      </w:r>
    </w:p>
    <w:p w14:paraId="0484AC4B" w14:textId="77777777" w:rsidR="00A34789" w:rsidRPr="0083002F" w:rsidRDefault="00A34789" w:rsidP="00A34789">
      <w:pPr>
        <w:pStyle w:val="SingleTxtG"/>
      </w:pPr>
      <w:r>
        <w:t>16.</w:t>
      </w:r>
      <w:r>
        <w:tab/>
        <w:t>Комитет напоминает, что государства-участники и авторы просьб о принятии срочных мер должны немедленно информировать Комитет, если местонахождение исчезнувшего лица установлено.</w:t>
      </w:r>
    </w:p>
    <w:p w14:paraId="70D2660D" w14:textId="14907FCE" w:rsidR="00A34789" w:rsidRPr="0083002F" w:rsidRDefault="00A34789" w:rsidP="00A34789">
      <w:pPr>
        <w:pStyle w:val="H23G"/>
      </w:pPr>
      <w:r>
        <w:rPr>
          <w:bCs/>
        </w:rPr>
        <w:tab/>
        <w:t>b)</w:t>
      </w:r>
      <w:r>
        <w:tab/>
      </w:r>
      <w:r>
        <w:rPr>
          <w:bCs/>
        </w:rPr>
        <w:t>Отсутствие стратегии, подходящей для каждого случая, и отсутствие координации между процедурами поиска и расследования</w:t>
      </w:r>
    </w:p>
    <w:p w14:paraId="52A1F263" w14:textId="1A2733EB" w:rsidR="00A34789" w:rsidRPr="0083002F" w:rsidRDefault="00A34789" w:rsidP="00A34789">
      <w:pPr>
        <w:pStyle w:val="SingleTxtG"/>
      </w:pPr>
      <w:r>
        <w:t>17.</w:t>
      </w:r>
      <w:r>
        <w:tab/>
        <w:t>В контексте последующих действий в отношении просьб о принятии срочных мер Комитет продолжал выражать обеспокоенность по поводу того, что государства-участники не разработали и не реализовали всеобъемлющей стратегии розыска исчезнувших лиц и расследования их исчезновения в соответствии со статьями 12 и 24 Конвенции. В таких случаях Комитет в прошлом просил соответствующие государства-участники разработать и реализовать стратегию розыска и расследования, которая должна включать план действий и сроки реализации и периодически оцениваться в соответствии с принципом 8 руководящих принципов поиска пропавших без вести лиц</w:t>
      </w:r>
      <w:r w:rsidRPr="00A34789">
        <w:rPr>
          <w:rStyle w:val="aa"/>
        </w:rPr>
        <w:footnoteReference w:id="5"/>
      </w:r>
      <w:r>
        <w:t xml:space="preserve">. Однако в большинстве подобных случаев государства-участники продолжали сообщать об изолированных и нескоординированных действиях по розыску и расследованию, свидетельствующих об отсутствии </w:t>
      </w:r>
      <w:r w:rsidR="006E3D41">
        <w:br/>
      </w:r>
      <w:r>
        <w:t>какой-либо подобной стратегии, и препятствовали или мешали достижению какого-либо значимого прогресса в установлении местонахождения соответствующих исчезнувших лиц.</w:t>
      </w:r>
    </w:p>
    <w:p w14:paraId="29DCAEEF" w14:textId="0725A059" w:rsidR="00A34789" w:rsidRPr="0083002F" w:rsidRDefault="00A34789" w:rsidP="00A34789">
      <w:pPr>
        <w:pStyle w:val="SingleTxtG"/>
      </w:pPr>
      <w:r>
        <w:lastRenderedPageBreak/>
        <w:t>18.</w:t>
      </w:r>
      <w:r>
        <w:tab/>
        <w:t>На основании информации, полученной от государств-участников, Комитет продолжал отмечать явное отсутствие координации между процедурами розыска и расследования в отношении большинства зарегистрированных просьб о принятии срочных мер. Такое отсутствие координации обычно связано с нежеланием компетентных государственных органов обмениваться информацией и доказательствами, которые они получили при выполнении соответствующих мандатов, что ведет в одних случаях к дублированию работы, а в других — к</w:t>
      </w:r>
      <w:r>
        <w:rPr>
          <w:lang w:val="en-US"/>
        </w:rPr>
        <w:t> </w:t>
      </w:r>
      <w:r>
        <w:t>информационным пробелам, а также к застопориванию процессов розыска и расследования или к ненужным задержкам в определении местонахождения исчезнувших лиц и установлении виновных. В таких случаях Комитет продолжает подчеркивать важность координации между органами, отвечающими за розыск, и органами, отвечающими за расследование, с тем чтобы любая информация, полученная теми или иными органами, могла быть эффективно и оперативно использована другими органами в соответствии с принципом 13 руководящих принципов поиска пропавших без вести лиц.</w:t>
      </w:r>
    </w:p>
    <w:p w14:paraId="122FE10A" w14:textId="6CFF796A" w:rsidR="00A34789" w:rsidRPr="0083002F" w:rsidRDefault="00A34789" w:rsidP="00A34789">
      <w:pPr>
        <w:pStyle w:val="H23G"/>
      </w:pPr>
      <w:r>
        <w:rPr>
          <w:bCs/>
        </w:rPr>
        <w:tab/>
        <w:t>c)</w:t>
      </w:r>
      <w:r>
        <w:tab/>
      </w:r>
      <w:r>
        <w:rPr>
          <w:bCs/>
        </w:rPr>
        <w:t xml:space="preserve">Проблемы, препятствующие действенному участию родственников в розыске </w:t>
      </w:r>
      <w:r w:rsidR="006E3D41">
        <w:rPr>
          <w:bCs/>
        </w:rPr>
        <w:br/>
      </w:r>
      <w:r>
        <w:rPr>
          <w:bCs/>
        </w:rPr>
        <w:t>и расследовании</w:t>
      </w:r>
    </w:p>
    <w:p w14:paraId="51D90AC8" w14:textId="157E2474" w:rsidR="00A34789" w:rsidRPr="0083002F" w:rsidRDefault="00A34789" w:rsidP="00A34789">
      <w:pPr>
        <w:pStyle w:val="SingleTxtG"/>
      </w:pPr>
      <w:r>
        <w:t>19.</w:t>
      </w:r>
      <w:r>
        <w:tab/>
        <w:t>В течение рассматриваемого периода Комитет получил ряд сообщений о препятствиях, с которыми сталкиваются родственники исчезнувших лиц в плане эффективного участия в розыске и расследовании, включая отсутствие информации о мерах, принятых соответствующими органами в ходе поиска и расследования, и о достигнутых результатах.</w:t>
      </w:r>
    </w:p>
    <w:p w14:paraId="0E7F85CF" w14:textId="15CF8E4B" w:rsidR="00A34789" w:rsidRPr="0083002F" w:rsidRDefault="00A34789" w:rsidP="00A34789">
      <w:pPr>
        <w:pStyle w:val="H23G"/>
      </w:pPr>
      <w:r>
        <w:rPr>
          <w:bCs/>
        </w:rPr>
        <w:tab/>
        <w:t>d)</w:t>
      </w:r>
      <w:r>
        <w:tab/>
      </w:r>
      <w:r>
        <w:rPr>
          <w:bCs/>
        </w:rPr>
        <w:t>Отсутствие дифференцированного подхода</w:t>
      </w:r>
    </w:p>
    <w:p w14:paraId="4D3CFFEF" w14:textId="77777777" w:rsidR="00A34789" w:rsidRPr="0083002F" w:rsidRDefault="00A34789" w:rsidP="00A34789">
      <w:pPr>
        <w:pStyle w:val="SingleTxtG"/>
      </w:pPr>
      <w:r>
        <w:t>20.</w:t>
      </w:r>
      <w:r>
        <w:tab/>
        <w:t>Комитет напоминает, что поиск пропавших без вести лиц, находящихся в уязвимом положении, требует наличия специальных процедур, опыта и знаний для удовлетворения особых потребностей таких лиц. В отношении просьб о принятии срочных мер, касающихся женщин, в том числе женщин-транссексуалов, Комитет систематически просил, чтобы все этапы процедуры розыска проводились с учетом гендерных аспектов специально обученными сотрудниками, включая женский персонал. Аналогичным образом Комитет просил применять дифференцированный подход в случаях исчезновения детей, в том числе соблюдая принцип обеспечения наилучших интересов ребенка на всех этапах процедуры розыска. Несмотря на эти просьбы, Комитет до настоящего времени не получил от соответствующих государств-участников никакой информации о том, как эти рекомендации выполнялись на практике.</w:t>
      </w:r>
    </w:p>
    <w:p w14:paraId="38335455" w14:textId="5692A1EB" w:rsidR="00A34789" w:rsidRPr="0083002F" w:rsidRDefault="00A34789" w:rsidP="00A34789">
      <w:pPr>
        <w:pStyle w:val="H23G"/>
      </w:pPr>
      <w:r>
        <w:rPr>
          <w:bCs/>
        </w:rPr>
        <w:tab/>
        <w:t>e)</w:t>
      </w:r>
      <w:r>
        <w:tab/>
      </w:r>
      <w:r>
        <w:rPr>
          <w:bCs/>
        </w:rPr>
        <w:t>Правозащитники</w:t>
      </w:r>
    </w:p>
    <w:p w14:paraId="243718EC" w14:textId="77777777" w:rsidR="00A34789" w:rsidRPr="0083002F" w:rsidRDefault="00A34789" w:rsidP="00A34789">
      <w:pPr>
        <w:pStyle w:val="SingleTxtG"/>
      </w:pPr>
      <w:r>
        <w:t>21.</w:t>
      </w:r>
      <w:r>
        <w:tab/>
        <w:t>В течение отчетного периода Комитет регистрировал новые просьбы о принятии срочных мер в отношении случаев предполагаемого исчезновения правозащитников и осуществлял в связи с ними последующие действия. Комитет обращался к соответствующим государствам-участникам с просьбой принимать во внимание деятельность правозащитников в качестве возможного мотива исчезновения, с тем чтобы придать больший вес версиям обвинения и активизировать поисковые мероприятия. Когда правозащитники, их представители или адвокаты жертв просили в подобных случаях принять меры защиты, Комитет обращался к соответствующим государствам-участникам с просьбой обеспечить, чтобы работа бенефициаров, направленная на установление истины, восстановление справедливости и возмещение ущерба, учитывалась при оценке риска и определении соответствующих мер защиты.</w:t>
      </w:r>
    </w:p>
    <w:p w14:paraId="70C3D99E" w14:textId="525AA9EF" w:rsidR="00A34789" w:rsidRPr="0083002F" w:rsidRDefault="00A34789" w:rsidP="00A34789">
      <w:pPr>
        <w:pStyle w:val="H23G"/>
      </w:pPr>
      <w:r>
        <w:rPr>
          <w:bCs/>
        </w:rPr>
        <w:tab/>
        <w:t>f)</w:t>
      </w:r>
      <w:r>
        <w:tab/>
      </w:r>
      <w:r>
        <w:rPr>
          <w:bCs/>
        </w:rPr>
        <w:t>Исчезновение женщин</w:t>
      </w:r>
    </w:p>
    <w:p w14:paraId="248071F8" w14:textId="57158130" w:rsidR="00A34789" w:rsidRPr="0083002F" w:rsidRDefault="00A34789" w:rsidP="00A34789">
      <w:pPr>
        <w:pStyle w:val="SingleTxtG"/>
      </w:pPr>
      <w:r>
        <w:t>22.</w:t>
      </w:r>
      <w:r>
        <w:tab/>
        <w:t xml:space="preserve">В рассматриваемый период Комитет регистрировал растущее число просьб о принятии срочных мер в связи со случаями исчезновения женщин. В частности, Комитет получил сообщения об исчезновении в Мексике женщины, ставшей жертвой бытового насилия, причем в этом деле имеются признаки того, что она могла быть </w:t>
      </w:r>
      <w:r>
        <w:lastRenderedPageBreak/>
        <w:t>убита. Комитет напомнил, что</w:t>
      </w:r>
      <w:r w:rsidR="006E3D41">
        <w:t>,</w:t>
      </w:r>
      <w:r>
        <w:t xml:space="preserve"> даже если нарушение изначально не было напрямую присвоено государству-участнику, оно все равно может нести за него международно-правовую ответственность по причине недостаточной добросовестности в предотвращении нарушения или в устранении его последствий в соответствии с требованиями международного права, в частности Конвенции</w:t>
      </w:r>
      <w:r w:rsidRPr="00A34789">
        <w:rPr>
          <w:rStyle w:val="aa"/>
        </w:rPr>
        <w:footnoteReference w:id="6"/>
      </w:r>
      <w:r>
        <w:t>. Этот сценарий может применяться в случаях убийства женщин, особенно учитывая, что виновные в таких преступлениях в стране часто остаются безнаказанными и тот факт, что исчезновение женщин и девочек использовалось для сокрытия убийств женщин и других преступлений, связанных с насилием в отношении женщин, таких как сексуальное насилие и торговля людьми</w:t>
      </w:r>
      <w:r w:rsidRPr="00A34789">
        <w:rPr>
          <w:rStyle w:val="aa"/>
        </w:rPr>
        <w:footnoteReference w:id="7"/>
      </w:r>
      <w:r>
        <w:t>.</w:t>
      </w:r>
    </w:p>
    <w:p w14:paraId="6EA0FC66" w14:textId="7B360F6F" w:rsidR="00A34789" w:rsidRPr="0083002F" w:rsidRDefault="00A34789" w:rsidP="00A34789">
      <w:pPr>
        <w:pStyle w:val="H23G"/>
      </w:pPr>
      <w:r>
        <w:rPr>
          <w:bCs/>
        </w:rPr>
        <w:tab/>
        <w:t>g)</w:t>
      </w:r>
      <w:r>
        <w:tab/>
      </w:r>
      <w:r>
        <w:rPr>
          <w:bCs/>
        </w:rPr>
        <w:t>Репрессии</w:t>
      </w:r>
    </w:p>
    <w:p w14:paraId="30FFD5EF" w14:textId="77777777" w:rsidR="00A34789" w:rsidRPr="0083002F" w:rsidRDefault="00A34789" w:rsidP="00A34789">
      <w:pPr>
        <w:pStyle w:val="SingleTxtG"/>
      </w:pPr>
      <w:r>
        <w:t>23.</w:t>
      </w:r>
      <w:r>
        <w:tab/>
        <w:t>Комитет обеспокоен сообщениями, полученными от авторов просьб о принятии срочных мер, о репрессиях, которые обычно включают угрозы в адрес родственников исчезнувших лиц и их преследование, с тем чтобы отговорить их от участия в процессах поиска и расследования или их инициирования. На рассмотрении Комитета в настоящий момент находятся 292 открытых дела, в связи с которыми Комитет обратился с просьбой к соответствующим государствам-участникам принять меры по защите жизни и обеспечению неприкосновенности соответствующих лиц и позволить им продолжить розыскную деятельность, не подвергаясь насилию, запугиваниям и притеснению, в соответствии с обязательствами государств-участников по статье 24 Конвенции и в свете принципа 14 руководящих принципов поиска пропавших без вести лиц. Комитет также просил соответствующие государства-участники обеспечить принятие таких мер с предварительного согласия лиц, нуждающихся в защите, при возможности их пересмотра по просьбе последних. Из 292 просьб о принятии срочных мер, в которых Комитет просил принять меры защиты, 243 касались исчезновений в Мексике.</w:t>
      </w:r>
    </w:p>
    <w:p w14:paraId="61BEF57C" w14:textId="77777777" w:rsidR="00A34789" w:rsidRPr="0083002F" w:rsidRDefault="00A34789" w:rsidP="00A34789">
      <w:pPr>
        <w:pStyle w:val="SingleTxtG"/>
      </w:pPr>
      <w:r>
        <w:t>24.</w:t>
      </w:r>
      <w:r>
        <w:tab/>
        <w:t>В одном случае, связанном с исчезновением в Марокко, исчезнувший человек был обнаружен в тюрьме. Однако Комитет получил от авторов просьбы о принятии срочных мер информацию о том, что родственники этого лица подверглись угрозам после того, как они установили его местонахождение и посетили его в тюрьме. Учитывая тот факт, что Комитет против пыток недавно зарегистрировал индивидуальное сообщение (№ 1136/2022), поданное ранее исчезнувшим лицом в связи с тем обращением, которому он подвергается в заключении, и запросил принятие временных мер в этой связи, а также в целях координации действий между различными договорными органами, Комитет предложил авторам просьбы о принятии срочных мер поднять вопрос о репрессиях в его деле, рассматриваемом Комитетом против пыток.</w:t>
      </w:r>
    </w:p>
    <w:p w14:paraId="75DC70B5" w14:textId="63FB1ED1" w:rsidR="00A34789" w:rsidRPr="0083002F" w:rsidRDefault="00A34789" w:rsidP="00A34789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Конкретные тенденции, касающиеся Ирака и Мексики</w:t>
      </w:r>
    </w:p>
    <w:p w14:paraId="24DCC7B7" w14:textId="7D85ABCC" w:rsidR="00A34789" w:rsidRPr="0083002F" w:rsidRDefault="00A34789" w:rsidP="00A34789">
      <w:pPr>
        <w:pStyle w:val="SingleTxtG"/>
      </w:pPr>
      <w:r>
        <w:t>25.</w:t>
      </w:r>
      <w:r>
        <w:tab/>
        <w:t>В рассматриваемый период Ирак и Мексика оставались двумя государствами-участниками, в отношении которых было зарегистрировано наибольшее число просьб о принятии срочных мер, и в настоящее время на них в общей сложности приходится 70</w:t>
      </w:r>
      <w:r w:rsidR="00EE0992">
        <w:t> процентов</w:t>
      </w:r>
      <w:r>
        <w:t xml:space="preserve"> всех зарегистрированных просьб о принятии срочных мер. В то же время </w:t>
      </w:r>
      <w:r w:rsidR="00725F81">
        <w:t>росло</w:t>
      </w:r>
      <w:r>
        <w:t xml:space="preserve"> число просьб, которые Комитет получал в отношении других государств-участников.</w:t>
      </w:r>
    </w:p>
    <w:p w14:paraId="44E689FA" w14:textId="33DA1DC1" w:rsidR="00A34789" w:rsidRPr="0083002F" w:rsidRDefault="00A34789" w:rsidP="00A34789">
      <w:pPr>
        <w:pStyle w:val="H23G"/>
      </w:pPr>
      <w:r>
        <w:rPr>
          <w:bCs/>
        </w:rPr>
        <w:tab/>
        <w:t>a)</w:t>
      </w:r>
      <w:r>
        <w:tab/>
      </w:r>
      <w:r>
        <w:rPr>
          <w:bCs/>
        </w:rPr>
        <w:t>Ирак</w:t>
      </w:r>
    </w:p>
    <w:p w14:paraId="5B481522" w14:textId="2239FDBA" w:rsidR="00A34789" w:rsidRPr="0083002F" w:rsidRDefault="00A34789" w:rsidP="00A34789">
      <w:pPr>
        <w:pStyle w:val="SingleTxtG"/>
      </w:pPr>
      <w:r>
        <w:t>26.</w:t>
      </w:r>
      <w:r>
        <w:tab/>
        <w:t>По состоянию на 23 сентября 2022 года Комитет зарегистрировал в общей сложности 554 дела, связанных с событиями в Ираке, на которые приходится 36</w:t>
      </w:r>
      <w:r w:rsidR="00EE0992">
        <w:t> </w:t>
      </w:r>
      <w:r>
        <w:t>процентов всех просьб о принятии срочных мер, зарегистрированных на данный момент. Комитет крайне обеспокоен тем, что, согласно полученной информации, лишь в 3</w:t>
      </w:r>
      <w:r w:rsidR="00EE0992">
        <w:t>0</w:t>
      </w:r>
      <w:r>
        <w:t xml:space="preserve"> из этих дел было установлено местонахождение исчезнувших лиц, что составляет 5</w:t>
      </w:r>
      <w:r w:rsidR="00EE0992">
        <w:t> процентов</w:t>
      </w:r>
      <w:r>
        <w:t xml:space="preserve"> от всех просьб о принятии срочных мер в связи с событиями в Ираке. </w:t>
      </w:r>
      <w:r>
        <w:lastRenderedPageBreak/>
        <w:t>Комитет по-прежнему обеспокоен тем, что</w:t>
      </w:r>
      <w:r w:rsidR="00EE0992">
        <w:t>,</w:t>
      </w:r>
      <w:r>
        <w:t xml:space="preserve"> даже когда исчезнувшие лица были освобождены из-под стражи, государство-участник не проинформировало об этом Комитет. Комитет выразил обеспокоенность по поводу того, что государство-участник не информировало Комитет о таких изменениях в своих нотах о закрытии или прекращении соответствующих дел, и напомнил государству-участнику о его обязательстве добросовестно сотрудничать с Комитетом, предоставляя оперативную и подробную информацию о мерах, принятых для поиска исчезнувших лиц, и об их местонахождении, когда оно будет установлено.</w:t>
      </w:r>
    </w:p>
    <w:p w14:paraId="775FA6F8" w14:textId="77777777" w:rsidR="00A34789" w:rsidRPr="0083002F" w:rsidRDefault="00A34789" w:rsidP="00A34789">
      <w:pPr>
        <w:pStyle w:val="SingleTxtG"/>
      </w:pPr>
      <w:r>
        <w:t>27.</w:t>
      </w:r>
      <w:r>
        <w:tab/>
        <w:t>Комитет с обеспокоенностью отмечает наличие прямой связи между нежеланием Ирака сотрудничать с процедурой принятия срочных мер в соответствии со статьей 30 Конвенции, как это отмечено в пункте 11 выше, и тревожно малым числом исчезнувших лиц, местонахождение которых удалось установить в Ираке на сегодняшний день.</w:t>
      </w:r>
    </w:p>
    <w:p w14:paraId="2B956E55" w14:textId="77777777" w:rsidR="00A34789" w:rsidRPr="0083002F" w:rsidRDefault="00A34789" w:rsidP="00A34789">
      <w:pPr>
        <w:pStyle w:val="SingleTxtG"/>
      </w:pPr>
      <w:r>
        <w:t>28.</w:t>
      </w:r>
      <w:r>
        <w:tab/>
        <w:t>Когда государство-участник представляло Комитету ответы, что было сделано менее чем в половине зарегистрированных случаев, в них прослеживалась та же тенденция, которую Комитет отметил в своих предыдущих докладах, а именно: государство-участник не предоставило никакой информации о мерах, принятых в целях розыска исчезнувших лиц, или о проведении расследования в связи с их предполагаемым насильственным исчезновением. В этих случаях Комитет напомнил государству-участнику, что его непринятие мер и непредоставление конкретной информации идет вразрез со статьей 12 Конвенции, согласно которой государства-участники обязаны оперативно и беспристрастно рассмотреть утверждение, безотлагательно провести тщательное и беспристрастное расследование и принять необходимые меры для предотвращения и наказания действий, препятствующих проведению расследования.</w:t>
      </w:r>
    </w:p>
    <w:p w14:paraId="1EB67EA2" w14:textId="77777777" w:rsidR="00A34789" w:rsidRPr="0083002F" w:rsidRDefault="00A34789" w:rsidP="00A34789">
      <w:pPr>
        <w:pStyle w:val="SingleTxtG"/>
      </w:pPr>
      <w:r w:rsidRPr="00F25FEC">
        <w:t>29.</w:t>
      </w:r>
      <w:r w:rsidRPr="00F25FEC">
        <w:tab/>
        <w:t>Как отмечалось ранее, государство-участник в ряде случаев по-прежнему утверждало, что исчезнувшие лица были связаны с террористическими группами, не предоставляя при этом какой-либо дополнительной информации или доказательств, касающихся каких-либо конкретных предъявленных уголовных обвинений, начатого судебного разбирательства или выданных ордеров на их арест. В этих случаях Комитет напоминал государству-участнику, что в Конвенции не предусмотрено никаких изъятий из обязательства государства-участника разыскивать исчезнувших лиц и расследовать их исчезновение, независимо от того, кем они являются, или от наличия каких-либо подозрений в отношении их причастности к террористической деятельности. Аналогичным образом Комитет подчеркивал, что доступ к судебной системе и средствам правовой защиты должен быть обеспечен всем лицам, в том числе тем, кого затронули режимы контртеррористических санкций</w:t>
      </w:r>
      <w:r w:rsidRPr="00F25FEC">
        <w:rPr>
          <w:rStyle w:val="aa"/>
        </w:rPr>
        <w:footnoteReference w:id="8"/>
      </w:r>
      <w:r w:rsidRPr="00F25FEC">
        <w:t>. Комитет также просил государство-участника предоставить копии ордеров на арест или любых официальных документов, в которых исчезнувшие лица фигурируют как разыскиваемые иракскими властями, и, если против них были выдвинуты конкретные уголовные обвинения и возбуждены дела, официально уведомить их родственников и представителей и немедленно обеспечить им предусмотренные законом гарантии, с тем чтобы предоставить им возможность подготовить свою защиту, а также защищать и поощрять их право на надлежащее судебное разбирательство.</w:t>
      </w:r>
      <w:r>
        <w:t xml:space="preserve"> </w:t>
      </w:r>
    </w:p>
    <w:p w14:paraId="5A24D8D4" w14:textId="77777777" w:rsidR="00A34789" w:rsidRPr="0083002F" w:rsidRDefault="00A34789" w:rsidP="00A34789">
      <w:pPr>
        <w:pStyle w:val="SingleTxtG"/>
      </w:pPr>
      <w:r>
        <w:t>30.</w:t>
      </w:r>
      <w:r>
        <w:tab/>
        <w:t>Комитет приветствует недавние ответы государства-участника на этот запрос, в которых оно предоставило копии соответствующих ордеров на арест и отметило, что соответствующие лица находятся под стражей. Комитет отмечает, однако, что в некоторых из этих случаев предоставленные ордера на арест были выданы после даты предполагаемого исчезновения, тогда как они должны предшествовать предполагаемому задержанию соответствующих лиц. Комитет обратился к государству-участнику с просьбой объяснить это несоответствие.</w:t>
      </w:r>
    </w:p>
    <w:p w14:paraId="529F1DE6" w14:textId="77777777" w:rsidR="00A34789" w:rsidRPr="0083002F" w:rsidRDefault="00A34789" w:rsidP="00A34789">
      <w:pPr>
        <w:pStyle w:val="SingleTxtG"/>
      </w:pPr>
      <w:r>
        <w:t>31.</w:t>
      </w:r>
      <w:r>
        <w:tab/>
        <w:t xml:space="preserve">Как говорилось в предыдущих докладах, в некоторых случаях государство-участник заявляло в ответ, что родственники исчезнувших лиц не подавали жалоб в соответствующие органы, даже когда на самом деле ими были направлены жалобы в </w:t>
      </w:r>
      <w:r>
        <w:lastRenderedPageBreak/>
        <w:t>несколько административных и судебных органов на национальном уровне. В этих случаях Комитет напоминал о принципе 6 руководящих принципов поиска пропавших без вести лиц, согласно которому обязательство по розыску и установлению местонахождения того или иного лица возникает, как только органам, отвечающим за поиски, становится известно через какие-либо каналы связи о насильственном исчезновении того или иного лица или обнаруживаются свидетельства оного; эти компетентные органы должны незамедлительно и в оперативном порядке по собственной инициативе начинать розыскные действия, даже если не было подано никакой официальной жалобы или просьбы;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лица; и в случае возникновения сомнений в существовании недобровольного исчезновения поиск также должен быть начат незамедлительно.</w:t>
      </w:r>
    </w:p>
    <w:p w14:paraId="3D4AD513" w14:textId="54794743" w:rsidR="00A34789" w:rsidRPr="0083002F" w:rsidRDefault="00A34789" w:rsidP="00A34789">
      <w:pPr>
        <w:pStyle w:val="SingleTxtG"/>
      </w:pPr>
      <w:r>
        <w:t>32.</w:t>
      </w:r>
      <w:r>
        <w:tab/>
        <w:t>Как и во время двух предыдущих отчетных периодов</w:t>
      </w:r>
      <w:r w:rsidR="00F25FEC" w:rsidRPr="00A34789">
        <w:rPr>
          <w:rStyle w:val="aa"/>
        </w:rPr>
        <w:footnoteReference w:id="9"/>
      </w:r>
      <w:r>
        <w:t>, Комитет продолжал получать ряд новых просьб о принятии срочных мер в связи с исчезновением людей в 2017 году. Поступили сообщения о том, что, когда иракские силы безопасности собирались войти в район Хадар в мухафазе Найнава, около 50 суннитских семей бежали на своих автомобилях в сторону деревни Олеба. По сообщениям, связанные с иракскими силами безопасности ополченцы задержали мужчин из этих семей, завязали им глаза, заковали в наручники и увезли в сторону перекрестка в районе Хадар. Комитет получил также ряд новых просьб о принятии срочных мер в связи с исчезновением людей в 2015 году в контексте военных операций Сил народного ополчения против ИГИЛ, в результате которых произошло перемещение семей. По</w:t>
      </w:r>
      <w:r>
        <w:rPr>
          <w:lang w:val="en-US"/>
        </w:rPr>
        <w:t> </w:t>
      </w:r>
      <w:r>
        <w:t>имеющейся у Комитета информации, Силы народного ополчения задержали мужчин, которые так и не были возвращены в свои семьи. В каждом из этих случаев Комитет просил государство-участника подтвердить, содержатся ли исчезнувшие лица в каком-либо официальном или неофициальном месте лишения свободы, и если да, то гарантировать им возможность общения и свиданий со своими родственниками, адвокатами или любыми другими лицами по их выбору в соответствии с пунктом 2 d) статьи 17 Конвенции, а также проинформировать Комитет о любых выдвинутых против них обвинениях и возбужденных в отношении них делах. Комитет по-прежнему ожидает от государства-участника информацию по этому вопросу.</w:t>
      </w:r>
    </w:p>
    <w:p w14:paraId="7ADD0F8B" w14:textId="1EB73E78" w:rsidR="00A34789" w:rsidRPr="0083002F" w:rsidRDefault="00A34789" w:rsidP="00A34789">
      <w:pPr>
        <w:pStyle w:val="SingleTxtG"/>
      </w:pPr>
      <w:r>
        <w:t>33.</w:t>
      </w:r>
      <w:r>
        <w:tab/>
        <w:t xml:space="preserve">В случае одной просьбы о принятии срочных мер (№ 813/2020), поданной в связи с исчезновением человека, который поддержал демонстрантов на площади Тахрир в Багдаде в октябре 2019 года, государство-участник сообщило Комитету, что отец исчезнувшего подал иск в соответствующий следственный суд, обвинив двух предполагаемых виновных в похищении его сына. Согласно государству-участнику, судебные органы Ирака установили, что это был случай похищения, а не насильственного исчезновения. В последней ноте, касающейся последующих действий, Комитет </w:t>
      </w:r>
      <w:r w:rsidR="00725F81">
        <w:t>напомнил</w:t>
      </w:r>
      <w:r>
        <w:t xml:space="preserve"> государству-участнику, что, согласно статье 2 Конвенции, насильственным исчезновением считается арест, задержание, похищение или лишение свободы в любой другой форме представителями государства или же лицами или группами лиц, действующими с разрешения, при поддержке или с согласия государства, при последующем отказе признать факт лишения свободы или сокрытии данных о судьбе или местонахождении исчезнувшего лица, вследствие чего это лицо было оставлено без защиты закона. Комитет напомнил о предыдущей ноте, в которой он уже информировал государство-участник о том, что исчезнувший человек подвергался угрозам в связи с поддержкой им участников демонстраций на площади Тахрир и что в день его исчезновения на площади Тахрир произошли столкновения между ополчением — Сарайя аль-Салам — и демонстрантами. После этих событий жертва пропала без вести. Комитет проинформировал государство-участник о том, что после исчезновения человека его семья безрезультатно искала его в больницах и центрах содержания под стражей и подала жалобы в полицию и суд. Семье неофициально сообщили, что он содержится под стражей в тюрьме аэропорта </w:t>
      </w:r>
      <w:r w:rsidR="00725F81">
        <w:br/>
      </w:r>
      <w:r>
        <w:t xml:space="preserve">Аль-Мутана в Багдаде, но администрация тюрьмы отрицала факт его нахождения в тюрьме. Поэтому Комитет повторил, что исчезновение в описанных условиях </w:t>
      </w:r>
      <w:r>
        <w:lastRenderedPageBreak/>
        <w:t>квалифицируется как предполагаемое насильственное исчезновение согласно статье 2 Конвенции и что государство-участник должно предоставить информацию для опровержения этого утверждения, используя результаты соответствующих национальных расследований.</w:t>
      </w:r>
    </w:p>
    <w:p w14:paraId="0DAA38F1" w14:textId="621CA5E9" w:rsidR="00A34789" w:rsidRPr="0083002F" w:rsidRDefault="00725F81" w:rsidP="00A34789">
      <w:pPr>
        <w:pStyle w:val="H23G"/>
      </w:pPr>
      <w:r>
        <w:rPr>
          <w:bCs/>
        </w:rPr>
        <w:tab/>
      </w:r>
      <w:r w:rsidR="00A34789">
        <w:rPr>
          <w:bCs/>
        </w:rPr>
        <w:t>b)</w:t>
      </w:r>
      <w:r w:rsidR="00A34789">
        <w:tab/>
      </w:r>
      <w:r w:rsidR="00A34789">
        <w:rPr>
          <w:bCs/>
        </w:rPr>
        <w:t>Мексика</w:t>
      </w:r>
    </w:p>
    <w:p w14:paraId="56572953" w14:textId="76E44866" w:rsidR="00A34789" w:rsidRPr="0083002F" w:rsidRDefault="00A34789" w:rsidP="00A34789">
      <w:pPr>
        <w:pStyle w:val="SingleTxtG"/>
      </w:pPr>
      <w:r>
        <w:t>34.</w:t>
      </w:r>
      <w:r>
        <w:tab/>
        <w:t>По состоянию на 23 сентября 2022 года Комитет зарегистрировал в общей сложности 525 дел, связанных с событиями в Мексике, на которые приходится 33</w:t>
      </w:r>
      <w:r w:rsidR="00725F81">
        <w:t> </w:t>
      </w:r>
      <w:r>
        <w:t>процента всех просьб о принятии срочных мер, зарегистрированных на данный момент. Из этих 525 дел 48 были закрыты, так как исчезнувшие лица были найдены на свободе или найдены и освобождены, 101 дело было приостановлено, так как авторы просьб потеряли связь с родственниками исчезнувших лиц и больше не могли предоставлять последующую информацию, и 376 дел остаются открытыми.</w:t>
      </w:r>
    </w:p>
    <w:p w14:paraId="68D942B2" w14:textId="77777777" w:rsidR="00A34789" w:rsidRPr="0083002F" w:rsidRDefault="00A34789" w:rsidP="00A34789">
      <w:pPr>
        <w:pStyle w:val="SingleTxtG"/>
      </w:pPr>
      <w:r>
        <w:t>35.</w:t>
      </w:r>
      <w:r>
        <w:tab/>
        <w:t>Как и в предыдущие отчетные периоды, Комитет продолжал наблюдать общее отсутствие координации между различными органами, отвечающими за розыск и расследование, в том числе в отношении определения их соответствующих ролей и обязанностей, а также обмена информацией о предпринятых действиях и достигнутых результатах, что в ряде случаев приводило к дублированию деятельности. В таких случаях Комитет с озабоченностью отмечал, что принятые меры представляются изолированными и что официальные действия некоторых учреждений не свидетельствуют о комплексной, эффективной и скоординированной стратегии ведения розыска и расследования. Он рекомендовал, в частности, обеспечить координацию действий между органами, проводящими расследования на федеральном уровне и уровне штатов, включая четкое определение их соответствующих функций.</w:t>
      </w:r>
    </w:p>
    <w:p w14:paraId="71E095EE" w14:textId="77777777" w:rsidR="00A34789" w:rsidRPr="0083002F" w:rsidRDefault="00A34789" w:rsidP="00A34789">
      <w:pPr>
        <w:pStyle w:val="SingleTxtG"/>
      </w:pPr>
      <w:r>
        <w:t>36.</w:t>
      </w:r>
      <w:r>
        <w:tab/>
        <w:t>В некоторых случаях государство-участник утверждало, что приняло скоординированную и всеобъемлющую стратегию ведения розыска. Однако Комитет отметил, что на практике власти, ответственные за поиски, принимали формальные меры, лишь запрашивая информацию у других учреждений, не контролировали исполнение этих запросов, не утверждали плана ведения розыска либо не следовали положениям национального протокола поиска исчезнувших лиц. Комитет также обратил внимание на неоправданные задержки в принятии официальных мер по розыску, иногда длившиеся до года после открытия розыскного и следственного дела.</w:t>
      </w:r>
    </w:p>
    <w:p w14:paraId="4FE4C18C" w14:textId="2EBA63D9" w:rsidR="00A34789" w:rsidRPr="0083002F" w:rsidRDefault="00A34789" w:rsidP="00A34789">
      <w:pPr>
        <w:pStyle w:val="SingleTxtG"/>
      </w:pPr>
      <w:r>
        <w:t>37.</w:t>
      </w:r>
      <w:r>
        <w:tab/>
        <w:t>Авторы часто утверждали, что органы штатов прямо или косвенно причастны к событиям, связанным с исчезновениями, и что усилия по проведению розыска и расследования прекращены. В таких случаях Комитет обращал внимание государства-участника на важность создания механизмов обеспечения подотчетности государственных должностных лиц, отвечающих за проведение розыска и расследования, и просил государство-участник расследовать утверждения о том, что такие должностные лица препятствовали работе, в соответствии со статьей 12 Конвенции и в свете принципа 15 руководящих принципов поиска пропавших без вести лиц. В некоторых случаях, когда утверждалось, что местные следственные органы были причастны к исчезновению, Комитет рекомендовал государству-участнику рассмотреть возможность передачи розыска и расследования в ведение федеральных властей.</w:t>
      </w:r>
    </w:p>
    <w:p w14:paraId="15E1FBE4" w14:textId="77777777" w:rsidR="00A34789" w:rsidRPr="0083002F" w:rsidRDefault="00A34789" w:rsidP="00A34789">
      <w:pPr>
        <w:pStyle w:val="SingleTxtG"/>
      </w:pPr>
      <w:r>
        <w:t>38.</w:t>
      </w:r>
      <w:r>
        <w:tab/>
        <w:t xml:space="preserve">В нескольких случаях, касающихся Мексики, Комитет получил информацию о том, что нехватка ресурсов и потенциала в некоторых местных и федеральных учреждениях привела к ситуации, когда с инициативой по проведению поиска исчезнувшего лица и расследованию исчезновения должны выступать родственники, которые должны предлагать места для поисковой деятельности, запрашивать и предлагать меры прокурорского реагирования и выдвигать гипотезы для расследования. В этих случаях Комитет напоминал, что основная ответственность за прояснение факта исчезновения и выполнение рекомендаций Комитета в отношении просьб о принятии срочных мер лежит на государственных органах в соответствии со статьей 30 Конвенции. Комитет напомнил государству-участнику, что его Верховный </w:t>
      </w:r>
      <w:r>
        <w:lastRenderedPageBreak/>
        <w:t>суд признал обязательный характер рекомендаций Комитета, сформулированных в контексте процедуры незамедлительных действий в соответствии со статьей 30</w:t>
      </w:r>
      <w:r w:rsidRPr="00A34789">
        <w:rPr>
          <w:rStyle w:val="aa"/>
        </w:rPr>
        <w:footnoteReference w:id="10"/>
      </w:r>
      <w:r>
        <w:t>.</w:t>
      </w:r>
    </w:p>
    <w:p w14:paraId="1989201D" w14:textId="6F38EC95" w:rsidR="00A34789" w:rsidRPr="0083002F" w:rsidRDefault="00A34789" w:rsidP="00A34789">
      <w:pPr>
        <w:pStyle w:val="SingleTxtG"/>
      </w:pPr>
      <w:r>
        <w:t>39.</w:t>
      </w:r>
      <w:r>
        <w:tab/>
        <w:t>Авторы продолжали ссылаться на трудности, с которыми сталкиваются родственники исчезнувших лиц при получении доступа к поддержке, на которую они имеют право по национальному законодательству и в соответствии с положениями пункта 6 статьи 24 Конвенции. В каждом таком случае Комитет указывал государству-участнику на меры, которые необходимо принять в зависимости от конкретных потребностей родственников исчезнувшего лица, например, в отношении доступа к питанию, образованию, жилью или медицинским услугам. Комитет также напоминал об обязанности компетентных органов государства-участника информировать родственников исчезнувшего лица о содержании, объеме и сроках оказания поддержки, на получение которой от этих органов они имеют право. Комитет просил государство-участник обеспечить, чтобы положение и потребности получателей такой поддержки на местном или на федеральном уровне должным образом учитывались Исполнительным комитетом по оказанию поддержки жертвам при составлении и пересмотре планов оказания поддержки.</w:t>
      </w:r>
    </w:p>
    <w:p w14:paraId="3CA1BA8C" w14:textId="602C2F93" w:rsidR="00A34789" w:rsidRPr="0083002F" w:rsidRDefault="00725F81" w:rsidP="00A34789">
      <w:pPr>
        <w:pStyle w:val="H23G"/>
      </w:pPr>
      <w:r>
        <w:rPr>
          <w:bCs/>
        </w:rPr>
        <w:tab/>
      </w:r>
      <w:r w:rsidR="00A34789">
        <w:rPr>
          <w:bCs/>
        </w:rPr>
        <w:t>3.</w:t>
      </w:r>
      <w:r w:rsidR="00A34789">
        <w:tab/>
      </w:r>
      <w:r w:rsidR="00A34789">
        <w:rPr>
          <w:bCs/>
        </w:rPr>
        <w:t>События на Кубе, в Омане и Украине</w:t>
      </w:r>
    </w:p>
    <w:p w14:paraId="237E67AD" w14:textId="1A2A11EA" w:rsidR="00A34789" w:rsidRPr="0083002F" w:rsidRDefault="00725F81" w:rsidP="00A34789">
      <w:pPr>
        <w:pStyle w:val="H23G"/>
      </w:pPr>
      <w:r>
        <w:rPr>
          <w:bCs/>
        </w:rPr>
        <w:tab/>
      </w:r>
      <w:r w:rsidR="00A34789">
        <w:rPr>
          <w:bCs/>
        </w:rPr>
        <w:t>a)</w:t>
      </w:r>
      <w:r w:rsidR="00A34789">
        <w:tab/>
      </w:r>
      <w:r w:rsidR="00A34789">
        <w:rPr>
          <w:bCs/>
        </w:rPr>
        <w:t>Случаи исчезновения людей в контексте проведения демонстраций на Кубе</w:t>
      </w:r>
    </w:p>
    <w:p w14:paraId="435C1105" w14:textId="77777777" w:rsidR="00A34789" w:rsidRPr="0083002F" w:rsidRDefault="00A34789" w:rsidP="00A34789">
      <w:pPr>
        <w:pStyle w:val="SingleTxtG"/>
      </w:pPr>
      <w:r>
        <w:t>40.</w:t>
      </w:r>
      <w:r>
        <w:tab/>
        <w:t>В 2021 году Комитет зарегистрировал 187 дел, связанных с социальными протестами, которые начались на Кубе 11 июля 2021 года. Просьбы о принятии срочных мер касались демонстрантов, которые предположительно были задержаны силами безопасности и в отношении которых представители сил безопасности впоследствии отказывали родственникам в предоставлении информации об их местонахождении. Комитет напоминал, что отсутствие регистрации задержания лица, даже когда по срокам задержание является кратковременным, и последующий отказ признать факт лишения свободы или сообщить данные о местонахождении исчезнувшего лица, выводят такое лицо из-под защиты закона и представляют собой насильственное исчезновение согласно статье 2 Конвенции</w:t>
      </w:r>
      <w:r w:rsidRPr="00A34789">
        <w:rPr>
          <w:rStyle w:val="aa"/>
        </w:rPr>
        <w:footnoteReference w:id="11"/>
      </w:r>
      <w:r>
        <w:t>.</w:t>
      </w:r>
    </w:p>
    <w:p w14:paraId="3E05B6FF" w14:textId="75D9011E" w:rsidR="00A34789" w:rsidRPr="0083002F" w:rsidRDefault="00A34789" w:rsidP="00A34789">
      <w:pPr>
        <w:pStyle w:val="SingleTxtG"/>
      </w:pPr>
      <w:r>
        <w:t>41.</w:t>
      </w:r>
      <w:r>
        <w:tab/>
        <w:t xml:space="preserve">После получения от государства-участника информации по конкретным делам Комитет постановил закрыть 142 дела, поскольку исчезнувшие люди уже были освобождены из-под стражи либо помещены под домашний арест, либо, в меньшинстве случаев, поскольку авторы не смогли оспорить информацию, предоставленную государством-участником, и предоставить какую-либо дополнительную информацию, позволяющую предположить, что эти лица </w:t>
      </w:r>
      <w:r w:rsidR="007E17D5">
        <w:br/>
      </w:r>
      <w:r>
        <w:t xml:space="preserve">по-прежнему являются исчезнувшими. Комитет также постановил прекратить рассмотрение 18 дел, поскольку местонахождение исчезнувших лиц было подтверждено, но они по-прежнему находились под стражей. Комитет постановил оставить остальные 27 дел открытыми и запросить у государства-участника дополнительную информацию. Комитет выразил обеспокоенность в связи с неоднократными утверждениями о содержании протестующих под стражей без связи с внешним миром, в некоторых случаях в течение срока до нескольких месяцев, и напомнил, что такая практика, которая может привести к насильственному исчезновению, должна носить исключительный характер, чтобы избежать причинения вреда жизни или неприкосновенности задержанного лица и защитить расследования. Комитет напомнил в этой связи, что в соответствии с пунктом 2 d) статьи 17 Конвенции государства-участники обязаны гарантировать, чтобы любому лицу, лишенному свободы, разрешались контакты с его семьей, адвокатом или любым другим лицом по его выбору и свидания с ними исключительно с учетом условий, установленных законом, а если речь идет об иностранце — контакты с консульскими </w:t>
      </w:r>
      <w:r>
        <w:lastRenderedPageBreak/>
        <w:t>органами в соответствии с применимыми нормами международного права. Комитет получил запрошенную дополнительную информацию от государства-участника и направил ее авторам для комментариев, и в настоящее время ожидает ответа авторов, прежде чем продолжить последующую работу по 27 делам, которые остаются открытыми.</w:t>
      </w:r>
    </w:p>
    <w:p w14:paraId="7C4A27BB" w14:textId="5414D3B8" w:rsidR="00A34789" w:rsidRPr="0083002F" w:rsidRDefault="00725F81" w:rsidP="00A34789">
      <w:pPr>
        <w:pStyle w:val="H23G"/>
      </w:pPr>
      <w:r>
        <w:rPr>
          <w:bCs/>
        </w:rPr>
        <w:tab/>
      </w:r>
      <w:r w:rsidR="00A34789">
        <w:rPr>
          <w:bCs/>
        </w:rPr>
        <w:t>b)</w:t>
      </w:r>
      <w:r w:rsidR="00A34789">
        <w:tab/>
      </w:r>
      <w:r w:rsidR="00A34789">
        <w:rPr>
          <w:bCs/>
        </w:rPr>
        <w:t>Исчезновение трудящегося-мигранта, занятого в качестве домашней прислуги в</w:t>
      </w:r>
      <w:r>
        <w:rPr>
          <w:bCs/>
        </w:rPr>
        <w:t> </w:t>
      </w:r>
      <w:r w:rsidR="00A34789">
        <w:rPr>
          <w:bCs/>
        </w:rPr>
        <w:t>Омане</w:t>
      </w:r>
    </w:p>
    <w:p w14:paraId="43E31BA2" w14:textId="4C4EBFB5" w:rsidR="00A34789" w:rsidRPr="0083002F" w:rsidRDefault="00A34789" w:rsidP="00A34789">
      <w:pPr>
        <w:pStyle w:val="SingleTxtG"/>
      </w:pPr>
      <w:r>
        <w:t>42.</w:t>
      </w:r>
      <w:r>
        <w:tab/>
        <w:t xml:space="preserve">Комитет продолжал следить за ситуацией с исчезновением шриланкийского рабочего-мигранта в Омане. Согласно информации, предоставленной авторами запроса о принятии срочных мер, жертва прибыла в Объединенные Арабские Эмираты по гостевой визе и была незаконно переправлена агентством по трудоустройству в Оман, где, предположительно, подверглась жестокому обращению со стороны спонсора и исчезла. Хотя Комитет </w:t>
      </w:r>
      <w:r w:rsidR="00725F81">
        <w:t>приветствует</w:t>
      </w:r>
      <w:r>
        <w:t xml:space="preserve"> новые реформы в отношении трудящихся-мигрантов в Омане, в том числе отмену системы </w:t>
      </w:r>
      <w:r w:rsidR="007E17D5">
        <w:t>«</w:t>
      </w:r>
      <w:r>
        <w:t>сертификатов об отсутствии возражений</w:t>
      </w:r>
      <w:r w:rsidR="007E17D5">
        <w:t>»</w:t>
      </w:r>
      <w:r>
        <w:t>, в результате чего у работников появилась возможность переходить от одного работодателя к другому, он отметил, что реформы вступили в силу после исчезновения и что, согласно полученной информации, жертва находилась под стражей в полиции Омана до своего исчезновения. Комитет напомнил о важности</w:t>
      </w:r>
      <w:r w:rsidR="00725F81">
        <w:t xml:space="preserve"> </w:t>
      </w:r>
      <w:r>
        <w:t>сотрудничества между всеми государствами, имеющими отношение к исчезновению</w:t>
      </w:r>
      <w:r w:rsidR="00725F81">
        <w:t> </w:t>
      </w:r>
      <w:r>
        <w:t>— в данном случае между территориальным государством и государством, гражданином которого является жертва, — с тем чтобы обеспечить максимальную степень взаимной помощи в розыске исчезнувшего лица и взаимной правовой помощи в соответствии со статьями 14 и 15 Конвенции.</w:t>
      </w:r>
      <w:bookmarkStart w:id="3" w:name="_Hlk109052641"/>
      <w:bookmarkEnd w:id="3"/>
    </w:p>
    <w:p w14:paraId="7AA7E280" w14:textId="3E0B1EFF" w:rsidR="00A34789" w:rsidRPr="0083002F" w:rsidRDefault="00725F81" w:rsidP="00A34789">
      <w:pPr>
        <w:pStyle w:val="H23G"/>
      </w:pPr>
      <w:r>
        <w:rPr>
          <w:bCs/>
        </w:rPr>
        <w:tab/>
      </w:r>
      <w:r w:rsidR="00A34789">
        <w:rPr>
          <w:bCs/>
        </w:rPr>
        <w:t>c)</w:t>
      </w:r>
      <w:r w:rsidR="00A34789">
        <w:tab/>
      </w:r>
      <w:r w:rsidR="00A34789">
        <w:rPr>
          <w:bCs/>
        </w:rPr>
        <w:t>Случаи исчезновения в Украине</w:t>
      </w:r>
    </w:p>
    <w:p w14:paraId="15A941BD" w14:textId="7398DA5B" w:rsidR="00A34789" w:rsidRPr="0083002F" w:rsidRDefault="00A34789" w:rsidP="00A34789">
      <w:pPr>
        <w:pStyle w:val="SingleTxtG"/>
      </w:pPr>
      <w:r>
        <w:t>43.</w:t>
      </w:r>
      <w:r>
        <w:tab/>
        <w:t>В рассматриваемый период Комитет зарегистрировал третью просьбу о принятии срочных мер в связи с исчезновением в Доне</w:t>
      </w:r>
      <w:r w:rsidR="00725F81">
        <w:t>ц</w:t>
      </w:r>
      <w:r>
        <w:t>кой области в Украине. Согласно информации, полученной Комитетом, предполагаемая жертва была задержана неизвестными людьми, которые были вооружены автоматическим оружием и одеты в военную форму, и, как сообщается, была доставлена в город Бахмут в Донецкой области — на территорию, все еще находящуюся под контролем украинских воинских формирований. Учитывая срочность и серьезность ситуации, Комитет в соответствии со статьей 30 Конвенции просил государство-участник принять незамедлительные меры к розыску, установлению местонахождения и защите исчезнувшего лица. Комитет ожидает ответ государства-участника по этому вопросу.</w:t>
      </w:r>
    </w:p>
    <w:p w14:paraId="194B9F3E" w14:textId="00AACB27" w:rsidR="00A34789" w:rsidRPr="0083002F" w:rsidRDefault="00725F81" w:rsidP="00A34789">
      <w:pPr>
        <w:pStyle w:val="H1G"/>
      </w:pPr>
      <w:r>
        <w:rPr>
          <w:bCs/>
        </w:rPr>
        <w:tab/>
      </w:r>
      <w:r w:rsidR="00A34789">
        <w:rPr>
          <w:bCs/>
        </w:rPr>
        <w:t>E.</w:t>
      </w:r>
      <w:r w:rsidR="00A34789">
        <w:tab/>
      </w:r>
      <w:r w:rsidR="00A34789">
        <w:rPr>
          <w:bCs/>
        </w:rPr>
        <w:t>Решения, принятые Комитетом на его двадцать третьей сессии</w:t>
      </w:r>
    </w:p>
    <w:p w14:paraId="0528CE1E" w14:textId="77777777" w:rsidR="00A34789" w:rsidRPr="0083002F" w:rsidRDefault="00A34789" w:rsidP="00A34789">
      <w:pPr>
        <w:pStyle w:val="SingleTxtG"/>
      </w:pPr>
      <w:r>
        <w:t>44.</w:t>
      </w:r>
      <w:r>
        <w:tab/>
        <w:t>Комитет постановил, что во всех случаях, когда местонахождение исчезнувшего лица было установлено, он будет в своей ноте о закрытии дела информировать авторов просьбы о принятии срочных мер о том, что они могут подать индивидуальное сообщение в связи с обязательством государства-участника расследовать исчезновение, если будут соблюдены требования статьи 31 Конвенции. В случаях, когда были запрошены меры защиты, а предполагаемый риск или угроза для бенефициаров сохраняется, Комитет информирует авторов о том, что, если этот риск или угроза связаны с их сотрудничеством с Комитетом, они могут передать дело его докладчику по вопросу о репрессиях.</w:t>
      </w:r>
      <w:bookmarkStart w:id="4" w:name="_Hlk119577733"/>
      <w:bookmarkStart w:id="5" w:name="_Hlk119577911"/>
      <w:bookmarkEnd w:id="4"/>
      <w:bookmarkEnd w:id="5"/>
    </w:p>
    <w:p w14:paraId="6820F732" w14:textId="77777777" w:rsidR="00A34789" w:rsidRDefault="00A34789" w:rsidP="00A34789">
      <w:pPr>
        <w:spacing w:before="240"/>
        <w:jc w:val="center"/>
      </w:pPr>
      <w:r w:rsidRPr="0083002F">
        <w:rPr>
          <w:u w:val="single"/>
        </w:rPr>
        <w:tab/>
      </w:r>
      <w:r w:rsidRPr="0083002F">
        <w:rPr>
          <w:u w:val="single"/>
        </w:rPr>
        <w:tab/>
      </w:r>
      <w:r w:rsidRPr="0083002F">
        <w:rPr>
          <w:u w:val="single"/>
        </w:rPr>
        <w:tab/>
      </w:r>
    </w:p>
    <w:p w14:paraId="31DA0697" w14:textId="55E5B36B" w:rsidR="00381C24" w:rsidRPr="00BC18B2" w:rsidRDefault="00381C24" w:rsidP="008027E5"/>
    <w:sectPr w:rsidR="00381C24" w:rsidRPr="00BC18B2" w:rsidSect="00A3478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BCB0F" w14:textId="77777777" w:rsidR="0003167D" w:rsidRPr="00A312BC" w:rsidRDefault="0003167D" w:rsidP="00A312BC"/>
  </w:endnote>
  <w:endnote w:type="continuationSeparator" w:id="0">
    <w:p w14:paraId="2C2B5627" w14:textId="77777777" w:rsidR="0003167D" w:rsidRPr="00A312BC" w:rsidRDefault="0003167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C913C" w14:textId="4C8C0CF1" w:rsidR="00A34789" w:rsidRPr="00A34789" w:rsidRDefault="00A34789">
    <w:pPr>
      <w:pStyle w:val="a8"/>
    </w:pPr>
    <w:r w:rsidRPr="00A34789">
      <w:rPr>
        <w:b/>
        <w:sz w:val="18"/>
      </w:rPr>
      <w:fldChar w:fldCharType="begin"/>
    </w:r>
    <w:r w:rsidRPr="00A34789">
      <w:rPr>
        <w:b/>
        <w:sz w:val="18"/>
      </w:rPr>
      <w:instrText xml:space="preserve"> PAGE  \* MERGEFORMAT </w:instrText>
    </w:r>
    <w:r w:rsidRPr="00A34789">
      <w:rPr>
        <w:b/>
        <w:sz w:val="18"/>
      </w:rPr>
      <w:fldChar w:fldCharType="separate"/>
    </w:r>
    <w:r w:rsidRPr="00A34789">
      <w:rPr>
        <w:b/>
        <w:noProof/>
        <w:sz w:val="18"/>
      </w:rPr>
      <w:t>2</w:t>
    </w:r>
    <w:r w:rsidRPr="00A34789">
      <w:rPr>
        <w:b/>
        <w:sz w:val="18"/>
      </w:rPr>
      <w:fldChar w:fldCharType="end"/>
    </w:r>
    <w:r>
      <w:rPr>
        <w:b/>
        <w:sz w:val="18"/>
      </w:rPr>
      <w:tab/>
    </w:r>
    <w:r>
      <w:t>GE.22-26201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4902B" w14:textId="54045560" w:rsidR="00A34789" w:rsidRPr="00A34789" w:rsidRDefault="00A34789" w:rsidP="00A34789">
    <w:pPr>
      <w:pStyle w:val="a8"/>
      <w:tabs>
        <w:tab w:val="clear" w:pos="9639"/>
        <w:tab w:val="right" w:pos="9638"/>
      </w:tabs>
      <w:rPr>
        <w:b/>
        <w:sz w:val="18"/>
      </w:rPr>
    </w:pPr>
    <w:r>
      <w:t>GE.22-26201</w:t>
    </w:r>
    <w:r>
      <w:tab/>
    </w:r>
    <w:r w:rsidRPr="00A34789">
      <w:rPr>
        <w:b/>
        <w:sz w:val="18"/>
      </w:rPr>
      <w:fldChar w:fldCharType="begin"/>
    </w:r>
    <w:r w:rsidRPr="00A34789">
      <w:rPr>
        <w:b/>
        <w:sz w:val="18"/>
      </w:rPr>
      <w:instrText xml:space="preserve"> PAGE  \* MERGEFORMAT </w:instrText>
    </w:r>
    <w:r w:rsidRPr="00A34789">
      <w:rPr>
        <w:b/>
        <w:sz w:val="18"/>
      </w:rPr>
      <w:fldChar w:fldCharType="separate"/>
    </w:r>
    <w:r w:rsidRPr="00A34789">
      <w:rPr>
        <w:b/>
        <w:noProof/>
        <w:sz w:val="18"/>
      </w:rPr>
      <w:t>3</w:t>
    </w:r>
    <w:r w:rsidRPr="00A347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DF330" w14:textId="422FA873" w:rsidR="00042B72" w:rsidRPr="00A34789" w:rsidRDefault="00A34789" w:rsidP="00A3478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77DEDAD" wp14:editId="669A76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22-26201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27A0951" wp14:editId="63CDE90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191222  1</w:t>
    </w:r>
    <w:r w:rsidR="00453FD0">
      <w:t>6</w:t>
    </w:r>
    <w:r>
      <w:rPr>
        <w:lang w:val="en-US"/>
      </w:rPr>
      <w:t>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76A87" w14:textId="77777777" w:rsidR="0003167D" w:rsidRPr="001075E9" w:rsidRDefault="0003167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F0125BC" w14:textId="77777777" w:rsidR="0003167D" w:rsidRDefault="0003167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7378BD" w14:textId="48A64C3D" w:rsidR="00A34789" w:rsidRPr="0083002F" w:rsidRDefault="00A34789" w:rsidP="00A34789">
      <w:pPr>
        <w:pStyle w:val="ad"/>
        <w:rPr>
          <w:rStyle w:val="aa"/>
        </w:rPr>
      </w:pPr>
      <w:r>
        <w:tab/>
        <w:t>*</w:t>
      </w:r>
      <w:r>
        <w:tab/>
        <w:t>Принят Комитетом на его</w:t>
      </w:r>
      <w:r w:rsidR="009573F6" w:rsidRPr="009573F6">
        <w:t xml:space="preserve"> </w:t>
      </w:r>
      <w:r w:rsidR="009573F6">
        <w:t>двадцать третей</w:t>
      </w:r>
      <w:r>
        <w:t xml:space="preserve"> сессии (12</w:t>
      </w:r>
      <w:r w:rsidRPr="00A34789">
        <w:t>–</w:t>
      </w:r>
      <w:r>
        <w:t>23 сентября 2022 года).</w:t>
      </w:r>
    </w:p>
  </w:footnote>
  <w:footnote w:id="2">
    <w:p w14:paraId="3597F3E6" w14:textId="77777777" w:rsidR="00B77F5E" w:rsidRPr="00A34789" w:rsidRDefault="00B77F5E" w:rsidP="00B77F5E">
      <w:pPr>
        <w:pStyle w:val="ad"/>
        <w:rPr>
          <w:lang w:val="en-US"/>
        </w:rPr>
      </w:pPr>
      <w:r w:rsidRPr="003A0C35"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</w:r>
      <w:hyperlink r:id="rId1" w:history="1">
        <w:r w:rsidRPr="00A34789">
          <w:rPr>
            <w:rStyle w:val="af1"/>
            <w:lang w:val="en-US"/>
          </w:rPr>
          <w:t>CED/C/22/2</w:t>
        </w:r>
      </w:hyperlink>
      <w:r w:rsidRPr="0083002F">
        <w:rPr>
          <w:lang w:val="en-US"/>
        </w:rPr>
        <w:t>.</w:t>
      </w:r>
    </w:p>
  </w:footnote>
  <w:footnote w:id="3">
    <w:p w14:paraId="40D1FC8A" w14:textId="355D1BAB" w:rsidR="009573F6" w:rsidRPr="00A34789" w:rsidRDefault="009573F6" w:rsidP="009573F6">
      <w:pPr>
        <w:pStyle w:val="ad"/>
        <w:rPr>
          <w:lang w:val="en-US"/>
        </w:rPr>
      </w:pPr>
      <w:r w:rsidRPr="0083002F">
        <w:rPr>
          <w:lang w:val="en-US"/>
        </w:rPr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</w:r>
      <w:hyperlink r:id="rId2" w:history="1">
        <w:r w:rsidRPr="00A34789">
          <w:rPr>
            <w:rStyle w:val="af1"/>
            <w:lang w:val="en-US"/>
          </w:rPr>
          <w:t>CED/C/11/3</w:t>
        </w:r>
      </w:hyperlink>
      <w:r w:rsidRPr="0083002F">
        <w:rPr>
          <w:lang w:val="en-US"/>
        </w:rPr>
        <w:t xml:space="preserve">, </w:t>
      </w:r>
      <w:hyperlink r:id="rId3" w:history="1">
        <w:r w:rsidRPr="00A34789">
          <w:rPr>
            <w:rStyle w:val="af1"/>
            <w:lang w:val="en-US"/>
          </w:rPr>
          <w:t>CED/C/12/2</w:t>
        </w:r>
      </w:hyperlink>
      <w:r w:rsidRPr="0083002F">
        <w:rPr>
          <w:lang w:val="en-US"/>
        </w:rPr>
        <w:t xml:space="preserve">, </w:t>
      </w:r>
      <w:hyperlink r:id="rId4" w:history="1">
        <w:r w:rsidRPr="00A34789">
          <w:rPr>
            <w:rStyle w:val="af1"/>
            <w:lang w:val="en-US"/>
          </w:rPr>
          <w:t>CED/C/13/3</w:t>
        </w:r>
      </w:hyperlink>
      <w:r w:rsidRPr="0083002F">
        <w:rPr>
          <w:lang w:val="en-US"/>
        </w:rPr>
        <w:t xml:space="preserve">, </w:t>
      </w:r>
      <w:hyperlink r:id="rId5" w:history="1">
        <w:r w:rsidRPr="00A34789">
          <w:rPr>
            <w:rStyle w:val="af1"/>
            <w:lang w:val="en-US"/>
          </w:rPr>
          <w:t>CED/C/14/2</w:t>
        </w:r>
      </w:hyperlink>
      <w:r w:rsidRPr="0083002F">
        <w:rPr>
          <w:lang w:val="en-US"/>
        </w:rPr>
        <w:t xml:space="preserve">, </w:t>
      </w:r>
      <w:hyperlink r:id="rId6" w:history="1">
        <w:r w:rsidRPr="00A34789">
          <w:rPr>
            <w:rStyle w:val="af1"/>
            <w:lang w:val="en-US"/>
          </w:rPr>
          <w:t>CED/C/15/3</w:t>
        </w:r>
      </w:hyperlink>
      <w:r w:rsidRPr="0083002F">
        <w:rPr>
          <w:lang w:val="en-US"/>
        </w:rPr>
        <w:t xml:space="preserve">, </w:t>
      </w:r>
      <w:hyperlink r:id="rId7" w:history="1">
        <w:r w:rsidRPr="00A34789">
          <w:rPr>
            <w:rStyle w:val="af1"/>
            <w:lang w:val="en-US"/>
          </w:rPr>
          <w:t>CED/C/16/2</w:t>
        </w:r>
      </w:hyperlink>
      <w:r w:rsidRPr="0083002F">
        <w:rPr>
          <w:lang w:val="en-US"/>
        </w:rPr>
        <w:t xml:space="preserve">, </w:t>
      </w:r>
      <w:hyperlink r:id="rId8" w:history="1">
        <w:r w:rsidRPr="00A34789">
          <w:rPr>
            <w:rStyle w:val="af1"/>
            <w:lang w:val="en-US"/>
          </w:rPr>
          <w:t>CED/C/17/2</w:t>
        </w:r>
      </w:hyperlink>
      <w:r w:rsidRPr="0083002F">
        <w:rPr>
          <w:lang w:val="en-US"/>
        </w:rPr>
        <w:t xml:space="preserve">, </w:t>
      </w:r>
      <w:hyperlink r:id="rId9" w:history="1">
        <w:r w:rsidRPr="00A34789">
          <w:rPr>
            <w:rStyle w:val="af1"/>
            <w:lang w:val="en-US"/>
          </w:rPr>
          <w:t>CED/C/19/2</w:t>
        </w:r>
      </w:hyperlink>
      <w:r w:rsidRPr="0083002F">
        <w:rPr>
          <w:lang w:val="en-US"/>
        </w:rPr>
        <w:t xml:space="preserve">, </w:t>
      </w:r>
      <w:hyperlink r:id="rId10" w:history="1">
        <w:r w:rsidRPr="00A34789">
          <w:rPr>
            <w:rStyle w:val="af1"/>
            <w:lang w:val="en-US"/>
          </w:rPr>
          <w:t>CED/C/20/2</w:t>
        </w:r>
      </w:hyperlink>
      <w:r w:rsidRPr="0083002F">
        <w:rPr>
          <w:lang w:val="en-US"/>
        </w:rPr>
        <w:t xml:space="preserve">, </w:t>
      </w:r>
      <w:hyperlink r:id="rId11" w:history="1">
        <w:r w:rsidRPr="00A34789">
          <w:rPr>
            <w:rStyle w:val="af1"/>
            <w:lang w:val="en-US"/>
          </w:rPr>
          <w:t>CED/C/21/2</w:t>
        </w:r>
      </w:hyperlink>
      <w:r w:rsidRPr="0083002F">
        <w:rPr>
          <w:lang w:val="en-US"/>
        </w:rPr>
        <w:t xml:space="preserve"> </w:t>
      </w:r>
      <w:r>
        <w:t>и</w:t>
      </w:r>
      <w:r w:rsidRPr="0083002F">
        <w:rPr>
          <w:lang w:val="en-US"/>
        </w:rPr>
        <w:t xml:space="preserve"> </w:t>
      </w:r>
      <w:hyperlink r:id="rId12" w:history="1">
        <w:r w:rsidRPr="00A34789">
          <w:rPr>
            <w:rStyle w:val="af1"/>
            <w:lang w:val="en-US"/>
          </w:rPr>
          <w:t>CED/C/22/2</w:t>
        </w:r>
      </w:hyperlink>
      <w:r w:rsidRPr="0083002F">
        <w:rPr>
          <w:lang w:val="en-US"/>
        </w:rPr>
        <w:t>.</w:t>
      </w:r>
    </w:p>
  </w:footnote>
  <w:footnote w:id="4">
    <w:p w14:paraId="3DBA5EA2" w14:textId="101E5F60" w:rsidR="00A34789" w:rsidRPr="00A34789" w:rsidRDefault="00A34789" w:rsidP="00A34789">
      <w:pPr>
        <w:pStyle w:val="ad"/>
        <w:rPr>
          <w:lang w:val="en-US"/>
        </w:rPr>
      </w:pPr>
      <w:r w:rsidRPr="0083002F">
        <w:rPr>
          <w:lang w:val="en-US"/>
        </w:rPr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</w:r>
      <w:hyperlink r:id="rId13" w:history="1">
        <w:r w:rsidRPr="00A34789">
          <w:rPr>
            <w:rStyle w:val="af1"/>
            <w:lang w:val="en-US"/>
          </w:rPr>
          <w:t>A/73/56</w:t>
        </w:r>
      </w:hyperlink>
      <w:r w:rsidRPr="0083002F">
        <w:rPr>
          <w:lang w:val="en-US"/>
        </w:rPr>
        <w:t xml:space="preserve">, </w:t>
      </w:r>
      <w:hyperlink r:id="rId14" w:history="1">
        <w:r w:rsidRPr="00A34789">
          <w:rPr>
            <w:rStyle w:val="af1"/>
            <w:lang w:val="en-US"/>
          </w:rPr>
          <w:t>A/74/56</w:t>
        </w:r>
      </w:hyperlink>
      <w:r w:rsidRPr="0083002F">
        <w:rPr>
          <w:lang w:val="en-US"/>
        </w:rPr>
        <w:t xml:space="preserve">, </w:t>
      </w:r>
      <w:hyperlink r:id="rId15" w:history="1">
        <w:r w:rsidRPr="00A34789">
          <w:rPr>
            <w:rStyle w:val="af1"/>
            <w:lang w:val="en-US"/>
          </w:rPr>
          <w:t>A/75/56</w:t>
        </w:r>
      </w:hyperlink>
      <w:r w:rsidRPr="0083002F">
        <w:rPr>
          <w:lang w:val="en-US"/>
        </w:rPr>
        <w:t xml:space="preserve">, </w:t>
      </w:r>
      <w:hyperlink r:id="rId16" w:history="1">
        <w:r w:rsidRPr="00A34789">
          <w:rPr>
            <w:rStyle w:val="af1"/>
            <w:lang w:val="en-US"/>
          </w:rPr>
          <w:t>A/76/56</w:t>
        </w:r>
      </w:hyperlink>
      <w:r w:rsidRPr="0083002F">
        <w:rPr>
          <w:lang w:val="en-US"/>
        </w:rPr>
        <w:t xml:space="preserve"> </w:t>
      </w:r>
      <w:r>
        <w:t>и</w:t>
      </w:r>
      <w:r w:rsidRPr="0083002F">
        <w:rPr>
          <w:lang w:val="en-US"/>
        </w:rPr>
        <w:t xml:space="preserve"> </w:t>
      </w:r>
      <w:hyperlink r:id="rId17" w:history="1">
        <w:r w:rsidRPr="00A34789">
          <w:rPr>
            <w:rStyle w:val="af1"/>
            <w:lang w:val="en-US"/>
          </w:rPr>
          <w:t>A/77/56</w:t>
        </w:r>
      </w:hyperlink>
      <w:r w:rsidRPr="0083002F">
        <w:rPr>
          <w:lang w:val="en-US"/>
        </w:rPr>
        <w:t>.</w:t>
      </w:r>
    </w:p>
  </w:footnote>
  <w:footnote w:id="5">
    <w:p w14:paraId="31CD3C47" w14:textId="3C8FAB82" w:rsidR="00A34789" w:rsidRPr="00A34789" w:rsidRDefault="00A34789" w:rsidP="00A34789">
      <w:pPr>
        <w:pStyle w:val="ad"/>
        <w:rPr>
          <w:lang w:val="en-US"/>
        </w:rPr>
      </w:pPr>
      <w:r w:rsidRPr="0083002F">
        <w:rPr>
          <w:lang w:val="en-US"/>
        </w:rPr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</w:r>
      <w:hyperlink r:id="rId18" w:history="1">
        <w:r w:rsidRPr="00A34789">
          <w:rPr>
            <w:rStyle w:val="af1"/>
            <w:lang w:val="en-US"/>
          </w:rPr>
          <w:t>CED/C/7</w:t>
        </w:r>
      </w:hyperlink>
      <w:r w:rsidRPr="0083002F">
        <w:rPr>
          <w:lang w:val="en-US"/>
        </w:rPr>
        <w:t xml:space="preserve">, </w:t>
      </w:r>
      <w:r>
        <w:t>приложение</w:t>
      </w:r>
      <w:r w:rsidRPr="0083002F">
        <w:rPr>
          <w:lang w:val="en-US"/>
        </w:rPr>
        <w:t>.</w:t>
      </w:r>
    </w:p>
  </w:footnote>
  <w:footnote w:id="6">
    <w:p w14:paraId="298E37F3" w14:textId="264D74B1" w:rsidR="00A34789" w:rsidRPr="0083002F" w:rsidRDefault="00A34789" w:rsidP="00A34789">
      <w:pPr>
        <w:pStyle w:val="ad"/>
      </w:pPr>
      <w:r w:rsidRPr="0083002F">
        <w:rPr>
          <w:lang w:val="en-US"/>
        </w:rPr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</w:r>
      <w:hyperlink r:id="rId19" w:history="1">
        <w:r w:rsidRPr="00EE0992">
          <w:rPr>
            <w:rStyle w:val="af1"/>
            <w:lang w:val="en-US"/>
          </w:rPr>
          <w:t>CED/C/MEX/VR/1 (Findings)</w:t>
        </w:r>
      </w:hyperlink>
      <w:r w:rsidRPr="0083002F">
        <w:rPr>
          <w:lang w:val="en-US"/>
        </w:rPr>
        <w:t xml:space="preserve">, para. </w:t>
      </w:r>
      <w:r>
        <w:t>40.</w:t>
      </w:r>
    </w:p>
  </w:footnote>
  <w:footnote w:id="7">
    <w:p w14:paraId="50053C0B" w14:textId="77777777" w:rsidR="00A34789" w:rsidRPr="0083002F" w:rsidRDefault="00A34789" w:rsidP="00A34789">
      <w:pPr>
        <w:pStyle w:val="ad"/>
      </w:pPr>
      <w:r w:rsidRPr="00934F90">
        <w:tab/>
      </w:r>
      <w:r w:rsidRPr="00A34789">
        <w:rPr>
          <w:rStyle w:val="aa"/>
        </w:rPr>
        <w:footnoteRef/>
      </w:r>
      <w:r>
        <w:tab/>
        <w:t>Там же, п. 14.</w:t>
      </w:r>
    </w:p>
  </w:footnote>
  <w:footnote w:id="8">
    <w:p w14:paraId="73DD58DF" w14:textId="161B322F" w:rsidR="00A34789" w:rsidRPr="0083002F" w:rsidRDefault="00A34789" w:rsidP="00A34789">
      <w:pPr>
        <w:pStyle w:val="ad"/>
      </w:pPr>
      <w:r w:rsidRPr="003A0C35">
        <w:tab/>
      </w:r>
      <w:r w:rsidRPr="00A34789">
        <w:rPr>
          <w:rStyle w:val="aa"/>
        </w:rPr>
        <w:footnoteRef/>
      </w:r>
      <w:r>
        <w:tab/>
      </w:r>
      <w:hyperlink r:id="rId20" w:history="1">
        <w:r w:rsidRPr="00A34789">
          <w:rPr>
            <w:rStyle w:val="af1"/>
          </w:rPr>
          <w:t>A/HRC/40/52</w:t>
        </w:r>
      </w:hyperlink>
      <w:r>
        <w:t>, п</w:t>
      </w:r>
      <w:r w:rsidRPr="00A34789">
        <w:t>.</w:t>
      </w:r>
      <w:r>
        <w:t xml:space="preserve"> 75 g).</w:t>
      </w:r>
    </w:p>
  </w:footnote>
  <w:footnote w:id="9">
    <w:p w14:paraId="4BAFC967" w14:textId="77777777" w:rsidR="00F25FEC" w:rsidRPr="0083002F" w:rsidRDefault="00F25FEC" w:rsidP="00F25FEC">
      <w:pPr>
        <w:pStyle w:val="ad"/>
      </w:pPr>
      <w:r w:rsidRPr="00A5206E">
        <w:tab/>
      </w:r>
      <w:r w:rsidRPr="00A34789">
        <w:rPr>
          <w:rStyle w:val="aa"/>
        </w:rPr>
        <w:footnoteRef/>
      </w:r>
      <w:r>
        <w:tab/>
      </w:r>
      <w:hyperlink r:id="rId21" w:history="1">
        <w:r w:rsidRPr="00A34789">
          <w:rPr>
            <w:rStyle w:val="af1"/>
          </w:rPr>
          <w:t>CED/C/21/2</w:t>
        </w:r>
      </w:hyperlink>
      <w:r>
        <w:t>, п</w:t>
      </w:r>
      <w:r w:rsidRPr="00A34789">
        <w:t>.</w:t>
      </w:r>
      <w:r>
        <w:t xml:space="preserve"> 22, и </w:t>
      </w:r>
      <w:hyperlink r:id="rId22" w:history="1">
        <w:r w:rsidRPr="00A34789">
          <w:rPr>
            <w:rStyle w:val="af1"/>
          </w:rPr>
          <w:t>CED/C/22/2</w:t>
        </w:r>
      </w:hyperlink>
      <w:r>
        <w:t>, п</w:t>
      </w:r>
      <w:r w:rsidRPr="00A34789">
        <w:t>.</w:t>
      </w:r>
      <w:r>
        <w:t xml:space="preserve"> 26.</w:t>
      </w:r>
    </w:p>
  </w:footnote>
  <w:footnote w:id="10">
    <w:p w14:paraId="66180EDF" w14:textId="2F536108" w:rsidR="00A34789" w:rsidRPr="0083002F" w:rsidRDefault="00A34789" w:rsidP="00A34789">
      <w:pPr>
        <w:pStyle w:val="ad"/>
      </w:pPr>
      <w:r w:rsidRPr="00E40F12">
        <w:tab/>
      </w:r>
      <w:r w:rsidRPr="00A34789">
        <w:rPr>
          <w:rStyle w:val="aa"/>
        </w:rPr>
        <w:footnoteRef/>
      </w:r>
      <w:r w:rsidRPr="0083002F">
        <w:rPr>
          <w:lang w:val="en-US"/>
        </w:rPr>
        <w:tab/>
        <w:t xml:space="preserve">Supreme Court, Amparo Appeal No. 1077/2019, Judgment, 16 June 2021, para. </w:t>
      </w:r>
      <w:r>
        <w:t>122. Доступно (на</w:t>
      </w:r>
      <w:r w:rsidR="00725F81">
        <w:t> </w:t>
      </w:r>
      <w:r>
        <w:t xml:space="preserve">испанском языке) на сайте </w:t>
      </w:r>
      <w:hyperlink r:id="rId23" w:history="1">
        <w:r w:rsidR="00725F81" w:rsidRPr="006B7D87">
          <w:rPr>
            <w:rStyle w:val="af1"/>
          </w:rPr>
          <w:t>https://www.idheas.org.mx/wp-content/uploads/2021/07/VERSION-PUBLICA.pdf</w:t>
        </w:r>
      </w:hyperlink>
      <w:r>
        <w:t>.</w:t>
      </w:r>
    </w:p>
  </w:footnote>
  <w:footnote w:id="11">
    <w:p w14:paraId="43FF6A10" w14:textId="4CDF53D3" w:rsidR="00A34789" w:rsidRPr="00A34789" w:rsidRDefault="00A34789" w:rsidP="00A34789">
      <w:pPr>
        <w:pStyle w:val="ad"/>
        <w:rPr>
          <w:lang w:val="en-US"/>
        </w:rPr>
      </w:pPr>
      <w:r w:rsidRPr="003A0C35">
        <w:tab/>
      </w:r>
      <w:r w:rsidRPr="00A34789">
        <w:rPr>
          <w:rStyle w:val="aa"/>
        </w:rPr>
        <w:footnoteRef/>
      </w:r>
      <w:r>
        <w:tab/>
        <w:t xml:space="preserve">См. совместное заявление Комитета и Рабочей группы по насильственным или недобровольным исчезновениям, 26 августа 2016 года. </w:t>
      </w:r>
      <w:r w:rsidRPr="0083002F">
        <w:rPr>
          <w:lang w:val="en-US"/>
        </w:rPr>
        <w:t xml:space="preserve">URL: </w:t>
      </w:r>
      <w:hyperlink r:id="rId24" w:history="1">
        <w:r w:rsidR="00725F81" w:rsidRPr="006B7D87">
          <w:rPr>
            <w:rStyle w:val="af1"/>
            <w:lang w:val="en-US"/>
          </w:rPr>
          <w:t>www.ohchr.org/EN/NewsEvents/Pages/DisplayNews.aspx?NewsID=20416&amp;LangID=E</w:t>
        </w:r>
      </w:hyperlink>
      <w:r w:rsidRPr="0083002F">
        <w:rPr>
          <w:lang w:val="en-U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4E67" w14:textId="1E1A313A" w:rsidR="00A34789" w:rsidRPr="00A34789" w:rsidRDefault="00E0092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CED/C/23/2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360FA" w14:textId="29BB5428" w:rsidR="00A34789" w:rsidRPr="00A34789" w:rsidRDefault="00E00920" w:rsidP="00A34789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CED/C/23/2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97999009">
    <w:abstractNumId w:val="16"/>
  </w:num>
  <w:num w:numId="2" w16cid:durableId="1347755502">
    <w:abstractNumId w:val="11"/>
  </w:num>
  <w:num w:numId="3" w16cid:durableId="1565137326">
    <w:abstractNumId w:val="10"/>
  </w:num>
  <w:num w:numId="4" w16cid:durableId="2113434356">
    <w:abstractNumId w:val="17"/>
  </w:num>
  <w:num w:numId="5" w16cid:durableId="1739018231">
    <w:abstractNumId w:val="13"/>
  </w:num>
  <w:num w:numId="6" w16cid:durableId="1634866781">
    <w:abstractNumId w:val="8"/>
  </w:num>
  <w:num w:numId="7" w16cid:durableId="888418026">
    <w:abstractNumId w:val="3"/>
  </w:num>
  <w:num w:numId="8" w16cid:durableId="849560415">
    <w:abstractNumId w:val="2"/>
  </w:num>
  <w:num w:numId="9" w16cid:durableId="1669793448">
    <w:abstractNumId w:val="1"/>
  </w:num>
  <w:num w:numId="10" w16cid:durableId="951479725">
    <w:abstractNumId w:val="0"/>
  </w:num>
  <w:num w:numId="11" w16cid:durableId="804348908">
    <w:abstractNumId w:val="9"/>
  </w:num>
  <w:num w:numId="12" w16cid:durableId="1199851641">
    <w:abstractNumId w:val="7"/>
  </w:num>
  <w:num w:numId="13" w16cid:durableId="805122817">
    <w:abstractNumId w:val="6"/>
  </w:num>
  <w:num w:numId="14" w16cid:durableId="217791740">
    <w:abstractNumId w:val="5"/>
  </w:num>
  <w:num w:numId="15" w16cid:durableId="593517843">
    <w:abstractNumId w:val="4"/>
  </w:num>
  <w:num w:numId="16" w16cid:durableId="111483404">
    <w:abstractNumId w:val="15"/>
  </w:num>
  <w:num w:numId="17" w16cid:durableId="1558862248">
    <w:abstractNumId w:val="12"/>
  </w:num>
  <w:num w:numId="18" w16cid:durableId="798835898">
    <w:abstractNumId w:val="14"/>
  </w:num>
  <w:num w:numId="19" w16cid:durableId="1997147081">
    <w:abstractNumId w:val="15"/>
  </w:num>
  <w:num w:numId="20" w16cid:durableId="409159479">
    <w:abstractNumId w:val="12"/>
  </w:num>
  <w:num w:numId="21" w16cid:durableId="85314879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67D"/>
    <w:rsid w:val="0003167D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578C"/>
    <w:rsid w:val="00407B78"/>
    <w:rsid w:val="00424203"/>
    <w:rsid w:val="00452493"/>
    <w:rsid w:val="00453FD0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E3D41"/>
    <w:rsid w:val="006F35EE"/>
    <w:rsid w:val="007021FF"/>
    <w:rsid w:val="00712895"/>
    <w:rsid w:val="0072232D"/>
    <w:rsid w:val="00725545"/>
    <w:rsid w:val="00725F81"/>
    <w:rsid w:val="00757357"/>
    <w:rsid w:val="007601E9"/>
    <w:rsid w:val="00775C7B"/>
    <w:rsid w:val="007E17D5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573F6"/>
    <w:rsid w:val="009608F3"/>
    <w:rsid w:val="009A24AC"/>
    <w:rsid w:val="009D7657"/>
    <w:rsid w:val="00A14DA8"/>
    <w:rsid w:val="00A15D34"/>
    <w:rsid w:val="00A312BC"/>
    <w:rsid w:val="00A34789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77F5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00920"/>
    <w:rsid w:val="00E61978"/>
    <w:rsid w:val="00E73F76"/>
    <w:rsid w:val="00EA2C9F"/>
    <w:rsid w:val="00EA420E"/>
    <w:rsid w:val="00ED0BDA"/>
    <w:rsid w:val="00EE0992"/>
    <w:rsid w:val="00EF1360"/>
    <w:rsid w:val="00EF3220"/>
    <w:rsid w:val="00F25FEC"/>
    <w:rsid w:val="00F41C74"/>
    <w:rsid w:val="00F43903"/>
    <w:rsid w:val="00F54CE1"/>
    <w:rsid w:val="00F85646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F47D6B"/>
  <w15:docId w15:val="{BE42DEE4-9483-45BE-AF1C-3A780CC67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34789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34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/C/17/2" TargetMode="External"/><Relationship Id="rId13" Type="http://schemas.openxmlformats.org/officeDocument/2006/relationships/hyperlink" Target="http://undocs.org/ru/A/73/56" TargetMode="External"/><Relationship Id="rId18" Type="http://schemas.openxmlformats.org/officeDocument/2006/relationships/hyperlink" Target="http://undocs.org/ru/CED/C/7" TargetMode="External"/><Relationship Id="rId3" Type="http://schemas.openxmlformats.org/officeDocument/2006/relationships/hyperlink" Target="http://undocs.org/ru/CED/C/12/2" TargetMode="External"/><Relationship Id="rId21" Type="http://schemas.openxmlformats.org/officeDocument/2006/relationships/hyperlink" Target="http://undocs.org/ru/CED/C/21/2" TargetMode="External"/><Relationship Id="rId7" Type="http://schemas.openxmlformats.org/officeDocument/2006/relationships/hyperlink" Target="http://undocs.org/ru/CED/C/16/2" TargetMode="External"/><Relationship Id="rId12" Type="http://schemas.openxmlformats.org/officeDocument/2006/relationships/hyperlink" Target="http://undocs.org/ru/CED/C/22/2" TargetMode="External"/><Relationship Id="rId17" Type="http://schemas.openxmlformats.org/officeDocument/2006/relationships/hyperlink" Target="http://undocs.org/ru/A/77/56" TargetMode="External"/><Relationship Id="rId2" Type="http://schemas.openxmlformats.org/officeDocument/2006/relationships/hyperlink" Target="http://undocs.org/en/CED/C/11/3" TargetMode="External"/><Relationship Id="rId16" Type="http://schemas.openxmlformats.org/officeDocument/2006/relationships/hyperlink" Target="http://undocs.org/ru/A/76/56" TargetMode="External"/><Relationship Id="rId20" Type="http://schemas.openxmlformats.org/officeDocument/2006/relationships/hyperlink" Target="http://undocs.org/ru/A/HRC/40/52" TargetMode="External"/><Relationship Id="rId1" Type="http://schemas.openxmlformats.org/officeDocument/2006/relationships/hyperlink" Target="http://undocs.org/ru/CED/C/22/2" TargetMode="External"/><Relationship Id="rId6" Type="http://schemas.openxmlformats.org/officeDocument/2006/relationships/hyperlink" Target="http://undocs.org/ru/CED/C/15/3" TargetMode="External"/><Relationship Id="rId11" Type="http://schemas.openxmlformats.org/officeDocument/2006/relationships/hyperlink" Target="http://undocs.org/ru/CED/C/21/2" TargetMode="External"/><Relationship Id="rId24" Type="http://schemas.openxmlformats.org/officeDocument/2006/relationships/hyperlink" Target="http://www.ohchr.org/EN/NewsEvents/Pages/DisplayNews.aspx?NewsID=20416&amp;LangID=E" TargetMode="External"/><Relationship Id="rId5" Type="http://schemas.openxmlformats.org/officeDocument/2006/relationships/hyperlink" Target="http://undocs.org/ru/CED/C/14/2" TargetMode="External"/><Relationship Id="rId15" Type="http://schemas.openxmlformats.org/officeDocument/2006/relationships/hyperlink" Target="http://undocs.org/ru/A/75/56" TargetMode="External"/><Relationship Id="rId23" Type="http://schemas.openxmlformats.org/officeDocument/2006/relationships/hyperlink" Target="https://www.idheas.org.mx/wp-content/uploads/2021/07/VERSION-PUBLICA.pdf" TargetMode="External"/><Relationship Id="rId10" Type="http://schemas.openxmlformats.org/officeDocument/2006/relationships/hyperlink" Target="http://undocs.org/ru/CED/C/20/2" TargetMode="External"/><Relationship Id="rId19" Type="http://schemas.openxmlformats.org/officeDocument/2006/relationships/hyperlink" Target="https://documents-dds-ny.un.org/doc/UNDOC/GEN/G22/342/99/PDF/G2234299.pdf?OpenElement" TargetMode="External"/><Relationship Id="rId4" Type="http://schemas.openxmlformats.org/officeDocument/2006/relationships/hyperlink" Target="http://undocs.org/ru/CED/C/13/3" TargetMode="External"/><Relationship Id="rId9" Type="http://schemas.openxmlformats.org/officeDocument/2006/relationships/hyperlink" Target="http://undocs.org/ru/CED/C/19/2" TargetMode="External"/><Relationship Id="rId14" Type="http://schemas.openxmlformats.org/officeDocument/2006/relationships/hyperlink" Target="http://undocs.org/ru/A/74/56" TargetMode="External"/><Relationship Id="rId22" Type="http://schemas.openxmlformats.org/officeDocument/2006/relationships/hyperlink" Target="http://undocs.org/ru/CED/C/22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11</Pages>
  <Words>4788</Words>
  <Characters>31401</Characters>
  <Application>Microsoft Office Word</Application>
  <DocSecurity>0</DocSecurity>
  <Lines>883</Lines>
  <Paragraphs>220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CED/C/23/2</vt:lpstr>
      <vt:lpstr>A/</vt:lpstr>
      <vt:lpstr>A/</vt:lpstr>
    </vt:vector>
  </TitlesOfParts>
  <Company>DCM</Company>
  <LinksUpToDate>false</LinksUpToDate>
  <CharactersWithSpaces>36013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CED/C/23/2</dc:title>
  <dc:subject/>
  <dc:creator>Anna BLAGODATSKIKH</dc:creator>
  <cp:keywords/>
  <cp:lastModifiedBy>Anna Blagodatskikh</cp:lastModifiedBy>
  <cp:revision>3</cp:revision>
  <cp:lastPrinted>2023-02-16T07:24:00Z</cp:lastPrinted>
  <dcterms:created xsi:type="dcterms:W3CDTF">2023-02-16T07:24:00Z</dcterms:created>
  <dcterms:modified xsi:type="dcterms:W3CDTF">2023-02-16T07:25:00Z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