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14F3" w:rsidRDefault="000214F3" w:rsidP="000214F3">
      <w:pPr>
        <w:spacing w:line="60" w:lineRule="exact"/>
        <w:rPr>
          <w:sz w:val="6"/>
        </w:rPr>
        <w:sectPr w:rsidR="000214F3" w:rsidSect="000214F3">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Pr>
        <w:commentReference w:id="0"/>
      </w:r>
    </w:p>
    <w:p w:rsidR="000214F3" w:rsidRDefault="000214F3" w:rsidP="000214F3">
      <w:pPr>
        <w:spacing w:line="60" w:lineRule="exact"/>
        <w:rPr>
          <w:rFonts w:hint="eastAsia"/>
          <w:sz w:val="6"/>
        </w:rPr>
      </w:pPr>
    </w:p>
    <w:p w:rsidR="00A87A1C" w:rsidRDefault="00A87A1C" w:rsidP="006220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0" w:after="80"/>
        <w:ind w:left="1264" w:right="1259" w:hanging="1264"/>
        <w:rPr>
          <w:rFonts w:hint="eastAsia"/>
        </w:rPr>
      </w:pPr>
      <w:r>
        <w:rPr>
          <w:rFonts w:hint="eastAsia"/>
        </w:rPr>
        <w:t>消除对妇女歧视委员会</w:t>
      </w:r>
    </w:p>
    <w:p w:rsidR="00A87A1C" w:rsidRPr="006220F7" w:rsidRDefault="00A87A1C" w:rsidP="006220F7">
      <w:pPr>
        <w:pStyle w:val="SingleTxt"/>
        <w:spacing w:after="80"/>
        <w:ind w:left="0"/>
        <w:rPr>
          <w:rFonts w:ascii="SimHei" w:eastAsia="SimHei" w:hint="eastAsia"/>
          <w:color w:val="FF0000"/>
        </w:rPr>
      </w:pPr>
      <w:r w:rsidRPr="006220F7">
        <w:rPr>
          <w:rFonts w:ascii="SimHei" w:eastAsia="SimHei" w:hint="eastAsia"/>
          <w:color w:val="FF0000"/>
        </w:rPr>
        <w:t>会前工作组</w:t>
      </w:r>
    </w:p>
    <w:p w:rsidR="00A87A1C" w:rsidRPr="006220F7" w:rsidRDefault="00A87A1C" w:rsidP="006220F7">
      <w:pPr>
        <w:pStyle w:val="SingleTxt"/>
        <w:spacing w:after="80"/>
        <w:ind w:left="0"/>
        <w:rPr>
          <w:rFonts w:ascii="SimHei" w:eastAsia="SimHei" w:hint="eastAsia"/>
          <w:color w:val="FF0000"/>
        </w:rPr>
      </w:pPr>
      <w:r w:rsidRPr="006220F7">
        <w:rPr>
          <w:rFonts w:ascii="SimHei" w:eastAsia="SimHei" w:hint="eastAsia"/>
          <w:color w:val="FF0000"/>
        </w:rPr>
        <w:t>第三十四届会议</w:t>
      </w:r>
    </w:p>
    <w:p w:rsidR="00A87A1C" w:rsidRDefault="00A87A1C" w:rsidP="006220F7">
      <w:pPr>
        <w:pStyle w:val="SingleTxt"/>
        <w:spacing w:after="80"/>
        <w:ind w:left="0"/>
        <w:rPr>
          <w:rFonts w:hint="eastAsia"/>
        </w:rPr>
      </w:pPr>
      <w:r>
        <w:rPr>
          <w:rFonts w:hint="eastAsia"/>
        </w:rPr>
        <w:t>2006年1月16日至2月3日</w:t>
      </w:r>
    </w:p>
    <w:p w:rsidR="00A87A1C" w:rsidRDefault="00A87A1C" w:rsidP="00A87A1C">
      <w:pPr>
        <w:pStyle w:val="SingleTxt"/>
      </w:pPr>
    </w:p>
    <w:p w:rsidR="00A87A1C" w:rsidRDefault="006220F7" w:rsidP="006220F7">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A87A1C">
        <w:rPr>
          <w:rFonts w:hint="eastAsia"/>
        </w:rPr>
        <w:t>就审议报告提出的事项和问题清单</w:t>
      </w:r>
    </w:p>
    <w:p w:rsidR="00A87A1C" w:rsidRDefault="006220F7" w:rsidP="006220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A87A1C">
        <w:rPr>
          <w:rFonts w:hint="eastAsia"/>
        </w:rPr>
        <w:t>前南斯拉夫的马其顿共和国</w:t>
      </w:r>
    </w:p>
    <w:p w:rsidR="00A87A1C" w:rsidRPr="006220F7" w:rsidRDefault="00A87A1C" w:rsidP="00A87A1C">
      <w:pPr>
        <w:pStyle w:val="SingleTxt"/>
        <w:rPr>
          <w:rFonts w:ascii="SimHei" w:eastAsia="SimHei" w:hint="eastAsia"/>
          <w:color w:val="FF0000"/>
        </w:rPr>
      </w:pPr>
      <w:r w:rsidRPr="006220F7">
        <w:rPr>
          <w:rFonts w:ascii="SimHei" w:eastAsia="SimHei" w:hint="eastAsia"/>
          <w:color w:val="FF0000"/>
        </w:rPr>
        <w:t>导言</w:t>
      </w:r>
    </w:p>
    <w:p w:rsidR="00A87A1C" w:rsidRDefault="00A87A1C" w:rsidP="006220F7">
      <w:pPr>
        <w:pStyle w:val="SingleTxt"/>
        <w:spacing w:line="340" w:lineRule="exact"/>
      </w:pPr>
      <w:r>
        <w:rPr>
          <w:rFonts w:hint="eastAsia"/>
        </w:rPr>
        <w:tab/>
        <w:t>会前工作组审查了前南斯拉夫的马其顿共和国的初次、第二次和第三次合并定期报告(CEDAW/C/MKD/1-3)。</w:t>
      </w:r>
    </w:p>
    <w:p w:rsidR="00A87A1C" w:rsidRPr="006220F7" w:rsidRDefault="00A87A1C" w:rsidP="006220F7">
      <w:pPr>
        <w:pStyle w:val="SingleTxt"/>
        <w:spacing w:line="340" w:lineRule="exact"/>
        <w:rPr>
          <w:rFonts w:ascii="SimHei" w:eastAsia="SimHei" w:hint="eastAsia"/>
          <w:color w:val="FF0000"/>
        </w:rPr>
      </w:pPr>
      <w:r w:rsidRPr="006220F7">
        <w:rPr>
          <w:rFonts w:ascii="SimHei" w:eastAsia="SimHei" w:hint="eastAsia"/>
          <w:color w:val="FF0000"/>
        </w:rPr>
        <w:t>第1和第2条</w:t>
      </w:r>
    </w:p>
    <w:p w:rsidR="00A87A1C" w:rsidRPr="006220F7" w:rsidRDefault="00A87A1C" w:rsidP="006220F7">
      <w:pPr>
        <w:pStyle w:val="SingleTxt"/>
        <w:spacing w:line="340" w:lineRule="exact"/>
        <w:rPr>
          <w:rFonts w:hint="eastAsia"/>
          <w:spacing w:val="6"/>
          <w:szCs w:val="21"/>
        </w:rPr>
      </w:pPr>
      <w:r>
        <w:rPr>
          <w:rFonts w:hint="eastAsia"/>
        </w:rPr>
        <w:t>1.</w:t>
      </w:r>
      <w:r>
        <w:rPr>
          <w:rFonts w:hint="eastAsia"/>
        </w:rPr>
        <w:tab/>
        <w:t>报告指出(第11、13页），男女平等的原则已经纳入《宪法》第9条以及对</w:t>
      </w:r>
      <w:r w:rsidRPr="006220F7">
        <w:rPr>
          <w:rFonts w:hint="eastAsia"/>
          <w:spacing w:val="6"/>
          <w:szCs w:val="21"/>
        </w:rPr>
        <w:t>妇女地位具有特殊重要性的一些法律，如《继承法》和《家庭法》，而《就业法》则没有包括“直接涉及性别平等”的规定。政府是否打算对国内立法进行审查，包括通过关于性别平等的具体法律，以确保全面遵守《公约》的各项规定？</w:t>
      </w:r>
    </w:p>
    <w:p w:rsidR="00A87A1C" w:rsidRDefault="00A87A1C" w:rsidP="006220F7">
      <w:pPr>
        <w:pStyle w:val="SingleTxt"/>
        <w:spacing w:line="340" w:lineRule="exact"/>
        <w:rPr>
          <w:rFonts w:hint="eastAsia"/>
        </w:rPr>
      </w:pPr>
      <w:r>
        <w:rPr>
          <w:rFonts w:hint="eastAsia"/>
        </w:rPr>
        <w:t>2.</w:t>
      </w:r>
      <w:r>
        <w:rPr>
          <w:rFonts w:hint="eastAsia"/>
        </w:rPr>
        <w:tab/>
        <w:t>报告指出(第28页），宪法法院数据显示，提出歧视申诉的妇女比例很低。报告还说(第30页），包括妇女在内的前南斯拉夫的马其顿共和国公民，“在自由和权利受到侵犯时，未能充分利用现有的机制和法律手段来寻求保护。这主要是因为对得到保障的自由和权利，以及对它们的保护方法没有足够的认识”。请解释政府采取了何种措施，以让妇女了解其权利和要求这些权利的手段。在这方面，请具体说明《全国行动计划》中所包括以及报告(第32页）中所述的哪些活动已经落实。</w:t>
      </w:r>
    </w:p>
    <w:p w:rsidR="00A87A1C" w:rsidRPr="006220F7" w:rsidRDefault="00A87A1C" w:rsidP="00A87A1C">
      <w:pPr>
        <w:pStyle w:val="SingleTxt"/>
        <w:rPr>
          <w:rFonts w:ascii="SimHei" w:eastAsia="SimHei" w:hint="eastAsia"/>
          <w:color w:val="FF0000"/>
        </w:rPr>
      </w:pPr>
      <w:r w:rsidRPr="006220F7">
        <w:rPr>
          <w:rFonts w:ascii="SimHei" w:eastAsia="SimHei" w:hint="eastAsia"/>
          <w:color w:val="FF0000"/>
        </w:rPr>
        <w:t>第3条</w:t>
      </w:r>
    </w:p>
    <w:p w:rsidR="00A87A1C" w:rsidRDefault="00A87A1C" w:rsidP="00A87A1C">
      <w:pPr>
        <w:pStyle w:val="SingleTxt"/>
      </w:pPr>
      <w:r>
        <w:rPr>
          <w:rFonts w:hint="eastAsia"/>
        </w:rPr>
        <w:t>3.</w:t>
      </w:r>
      <w:r>
        <w:rPr>
          <w:rFonts w:hint="eastAsia"/>
        </w:rPr>
        <w:tab/>
        <w:t>报告指出(第32页），“1997年1月在劳动和社会政策部设立了性别平等促进小组”，并指出，“不过，国家预算中定义的特别经费仍没有落实，小组中只有一名全日制雇员。请说明政府采取了何种步骤，向该促进性别平等小组提供足够的人力和财力，并授予其开展工作的权威。请具体说明该小组如何可发挥作用，促进政府各部门实施《公约》。</w:t>
      </w:r>
    </w:p>
    <w:p w:rsidR="00A87A1C" w:rsidRPr="006220F7" w:rsidRDefault="00A87A1C" w:rsidP="00A87A1C">
      <w:pPr>
        <w:pStyle w:val="SingleTxt"/>
        <w:rPr>
          <w:rFonts w:ascii="SimHei" w:eastAsia="SimHei" w:hint="eastAsia"/>
          <w:color w:val="FF0000"/>
        </w:rPr>
      </w:pPr>
      <w:r w:rsidRPr="006220F7">
        <w:rPr>
          <w:rFonts w:ascii="SimHei" w:eastAsia="SimHei" w:hint="eastAsia"/>
          <w:color w:val="FF0000"/>
        </w:rPr>
        <w:t>第4条</w:t>
      </w:r>
    </w:p>
    <w:p w:rsidR="00A87A1C" w:rsidRDefault="00A87A1C" w:rsidP="00A87A1C">
      <w:pPr>
        <w:pStyle w:val="SingleTxt"/>
        <w:rPr>
          <w:rFonts w:hint="eastAsia"/>
        </w:rPr>
      </w:pPr>
      <w:r>
        <w:rPr>
          <w:rFonts w:hint="eastAsia"/>
        </w:rPr>
        <w:t>4.</w:t>
      </w:r>
      <w:r>
        <w:rPr>
          <w:rFonts w:hint="eastAsia"/>
        </w:rPr>
        <w:tab/>
        <w:t>报告指出(第34</w:t>
      </w:r>
      <w:r w:rsidR="00DE5E8B">
        <w:rPr>
          <w:rFonts w:hint="eastAsia"/>
        </w:rPr>
        <w:t>页</w:t>
      </w:r>
      <w:r>
        <w:rPr>
          <w:rFonts w:hint="eastAsia"/>
        </w:rPr>
        <w:t>），前南斯拉夫的马其顿共和国当前“无论是对实际增进平等或是对在国家一级制定临时性特别措施（积极的行动），都没有正式的政策”。请说明，除了“在候选人名单中男女代表分别至少占30</w:t>
      </w:r>
      <w:r w:rsidR="00641B56">
        <w:rPr>
          <w:rFonts w:hint="eastAsia"/>
        </w:rPr>
        <w:t>％</w:t>
      </w:r>
      <w:r>
        <w:rPr>
          <w:rFonts w:hint="eastAsia"/>
        </w:rPr>
        <w:t>”外，政府是否正在采取步骤，根据《公约》第4条第1款和委员会的一般性建议25，颁布临时性特别措施。</w:t>
      </w:r>
    </w:p>
    <w:p w:rsidR="00A87A1C" w:rsidRPr="00695B26" w:rsidRDefault="00A87A1C" w:rsidP="00A87A1C">
      <w:pPr>
        <w:pStyle w:val="SingleTxt"/>
        <w:rPr>
          <w:rFonts w:ascii="SimHei" w:eastAsia="SimHei" w:hint="eastAsia"/>
          <w:color w:val="FF0000"/>
        </w:rPr>
      </w:pPr>
      <w:r w:rsidRPr="00695B26">
        <w:rPr>
          <w:rFonts w:ascii="SimHei" w:eastAsia="SimHei" w:hint="eastAsia"/>
          <w:color w:val="FF0000"/>
        </w:rPr>
        <w:t>第5条</w:t>
      </w:r>
    </w:p>
    <w:p w:rsidR="00A87A1C" w:rsidRDefault="00A87A1C" w:rsidP="00A87A1C">
      <w:pPr>
        <w:pStyle w:val="SingleTxt"/>
        <w:rPr>
          <w:rFonts w:hint="eastAsia"/>
        </w:rPr>
      </w:pPr>
      <w:r>
        <w:rPr>
          <w:rFonts w:hint="eastAsia"/>
        </w:rPr>
        <w:t>5.</w:t>
      </w:r>
      <w:r>
        <w:rPr>
          <w:rFonts w:hint="eastAsia"/>
        </w:rPr>
        <w:tab/>
        <w:t>报告指出(第35页），“对妇女的传统观念仍然存在”，说明性别差异的本质已根深蒂固地［让妇女］占据了不利的位置，它也突出显示了“在家庭关系和更宽泛的领域中旧时代对男子和妇女不同角色的划分”。除了说明妇女在媒体的代表状况，报告很少提供关于性别陈规定型观念的影响情况及其对歧视妇女和使妇女处于永久不利地位的影响。请说明性别陈规定型观念的所有形式和顽固程度，以及为改变歧视性文化观念所采取的措施，包括促进男女在家庭和社会中分担责任。</w:t>
      </w:r>
    </w:p>
    <w:p w:rsidR="00A87A1C" w:rsidRDefault="00A87A1C" w:rsidP="00A87A1C">
      <w:pPr>
        <w:pStyle w:val="SingleTxt"/>
        <w:rPr>
          <w:rFonts w:hint="eastAsia"/>
        </w:rPr>
      </w:pPr>
      <w:r>
        <w:rPr>
          <w:rFonts w:hint="eastAsia"/>
        </w:rPr>
        <w:t>6.</w:t>
      </w:r>
      <w:r>
        <w:rPr>
          <w:rFonts w:hint="eastAsia"/>
        </w:rPr>
        <w:tab/>
        <w:t>报告指出(第17页），家庭暴力普遍存在于前南斯拉夫的马其顿共和国，这“是众所周知的事实，尽管很少在公开场合提及这一事实。众所周知的还有，马其顿的文化准则不鼓励将家庭暴力曝光，而将其解释为‘自家的私事’”。报告还说(第18页），《前南斯拉夫的马其顿共和国刑法典》“不将对妇女的暴力专列为一项罪行加以制裁。政府正在采取什么措施，包括立法措施，以预防和制裁家庭暴力，鼓励报告这类情况，并提高妇女对其权利的了解，让她们能够得到法律援助，并增加公共官员的能力，以向家庭暴力受害者提供对性别问题有敏感认识的支助？</w:t>
      </w:r>
    </w:p>
    <w:p w:rsidR="00A87A1C" w:rsidRDefault="00A87A1C" w:rsidP="00A87A1C">
      <w:pPr>
        <w:pStyle w:val="SingleTxt"/>
        <w:rPr>
          <w:rFonts w:hint="eastAsia"/>
        </w:rPr>
      </w:pPr>
      <w:r>
        <w:rPr>
          <w:rFonts w:hint="eastAsia"/>
        </w:rPr>
        <w:t>7.</w:t>
      </w:r>
      <w:r>
        <w:rPr>
          <w:rFonts w:hint="eastAsia"/>
        </w:rPr>
        <w:tab/>
        <w:t>报告指出(第18页），“婚内强奸控告已列入1996年的《刑法典》。不过，适用于这一类犯罪的诉讼程序需在私下控告的基础上启动，不像其他类型的强奸案，罪犯是其他人而不是配偶，那样就将启动正式诉讼程序”。采取了何种措施来促进妇女报告婚内强奸案？请详细说明提出私下控告的程序，提供关于在多大程度上使用这一程序的数据，并说明是否向受害者提供了法律援助。</w:t>
      </w:r>
    </w:p>
    <w:p w:rsidR="00A87A1C" w:rsidRDefault="00A87A1C" w:rsidP="00A87A1C">
      <w:pPr>
        <w:pStyle w:val="SingleTxt"/>
        <w:rPr>
          <w:rFonts w:hint="eastAsia"/>
        </w:rPr>
      </w:pPr>
      <w:r>
        <w:rPr>
          <w:rFonts w:hint="eastAsia"/>
        </w:rPr>
        <w:t>8.</w:t>
      </w:r>
      <w:r>
        <w:rPr>
          <w:rFonts w:hint="eastAsia"/>
        </w:rPr>
        <w:tab/>
        <w:t>报告指出，缺乏向暴力受害者妇女提供的服务。作出了何种努力来确保暴力受害者得到必要的支助，包括心理和医疗帮助以及有合适的地方居住？</w:t>
      </w:r>
    </w:p>
    <w:p w:rsidR="00A87A1C" w:rsidRDefault="00A87A1C" w:rsidP="00A87A1C">
      <w:pPr>
        <w:pStyle w:val="SingleTxt"/>
        <w:rPr>
          <w:rFonts w:hint="eastAsia"/>
        </w:rPr>
      </w:pPr>
      <w:r>
        <w:rPr>
          <w:rFonts w:hint="eastAsia"/>
        </w:rPr>
        <w:t>9.</w:t>
      </w:r>
      <w:r>
        <w:rPr>
          <w:rFonts w:hint="eastAsia"/>
        </w:rPr>
        <w:tab/>
        <w:t>请说明采取了何种措施来收集、分析和使用关于对妇女所有形式的暴力并以性别和族裔区分的数据和统计数字？</w:t>
      </w:r>
    </w:p>
    <w:p w:rsidR="00A87A1C" w:rsidRPr="00695B26" w:rsidRDefault="00A87A1C" w:rsidP="00A87A1C">
      <w:pPr>
        <w:pStyle w:val="SingleTxt"/>
        <w:rPr>
          <w:rFonts w:ascii="SimHei" w:eastAsia="SimHei" w:hint="eastAsia"/>
          <w:color w:val="FF0000"/>
        </w:rPr>
      </w:pPr>
      <w:r w:rsidRPr="00695B26">
        <w:rPr>
          <w:rFonts w:ascii="SimHei" w:eastAsia="SimHei" w:hint="eastAsia"/>
          <w:color w:val="FF0000"/>
        </w:rPr>
        <w:t>第6条</w:t>
      </w:r>
    </w:p>
    <w:p w:rsidR="00A87A1C" w:rsidRDefault="00A87A1C" w:rsidP="00A87A1C">
      <w:pPr>
        <w:pStyle w:val="SingleTxt"/>
      </w:pPr>
      <w:r>
        <w:rPr>
          <w:rFonts w:hint="eastAsia"/>
        </w:rPr>
        <w:t>10.</w:t>
      </w:r>
      <w:r>
        <w:rPr>
          <w:rFonts w:hint="eastAsia"/>
        </w:rPr>
        <w:tab/>
        <w:t>报告指出（第45页），前南斯拉夫的马其顿共和国政府与国际移徙组织合作，“对人口贩卖活动的受害者，进行身份鉴定、提供适当的照顾、遣返和安排团聚”。请说明政府是否颁布了证人保护法，以保护人口贩运活动的妇女受害者，特别请说明贩运人口活动受害者是否遭到罚款和/或递解出境。</w:t>
      </w:r>
    </w:p>
    <w:p w:rsidR="00A87A1C" w:rsidRDefault="00A87A1C" w:rsidP="00A87A1C">
      <w:pPr>
        <w:pStyle w:val="SingleTxt"/>
        <w:rPr>
          <w:rFonts w:hint="eastAsia"/>
        </w:rPr>
      </w:pPr>
      <w:r>
        <w:rPr>
          <w:rFonts w:hint="eastAsia"/>
        </w:rPr>
        <w:t>11.</w:t>
      </w:r>
      <w:r>
        <w:rPr>
          <w:rFonts w:hint="eastAsia"/>
        </w:rPr>
        <w:tab/>
        <w:t>请提供包括统计数据在内的关于卖淫现象的资讯，并说明为解决这一问题的根源所采取的措施，以防止对妇女和女孩的性剥削，提高对卖淫的健康和安全危险的认识，并确保妓女的保护、恢复和重返社会。</w:t>
      </w:r>
    </w:p>
    <w:p w:rsidR="00A87A1C" w:rsidRPr="00695B26" w:rsidRDefault="00A87A1C" w:rsidP="00A87A1C">
      <w:pPr>
        <w:pStyle w:val="SingleTxt"/>
        <w:rPr>
          <w:rFonts w:ascii="SimHei" w:eastAsia="SimHei" w:hint="eastAsia"/>
          <w:color w:val="FF0000"/>
        </w:rPr>
      </w:pPr>
      <w:r w:rsidRPr="00695B26">
        <w:rPr>
          <w:rFonts w:ascii="SimHei" w:eastAsia="SimHei" w:hint="eastAsia"/>
          <w:color w:val="FF0000"/>
        </w:rPr>
        <w:t>第7条</w:t>
      </w:r>
    </w:p>
    <w:p w:rsidR="00A87A1C" w:rsidRDefault="00A87A1C" w:rsidP="00A87A1C">
      <w:pPr>
        <w:pStyle w:val="SingleTxt"/>
        <w:rPr>
          <w:rFonts w:hint="eastAsia"/>
        </w:rPr>
      </w:pPr>
      <w:r>
        <w:rPr>
          <w:rFonts w:hint="eastAsia"/>
        </w:rPr>
        <w:t>12.</w:t>
      </w:r>
      <w:r>
        <w:rPr>
          <w:rFonts w:hint="eastAsia"/>
        </w:rPr>
        <w:tab/>
        <w:t>报告指出(第127至129页），在2002年议会选举中，选出的120名议员中仅有21名妇女；在2000</w:t>
      </w:r>
      <w:r w:rsidR="006C4492">
        <w:rPr>
          <w:rFonts w:hint="eastAsia"/>
        </w:rPr>
        <w:t>年地方选举中当选的妇女</w:t>
      </w:r>
      <w:r>
        <w:rPr>
          <w:rFonts w:hint="eastAsia"/>
        </w:rPr>
        <w:t>仅占8.4</w:t>
      </w:r>
      <w:r w:rsidR="00641B56">
        <w:rPr>
          <w:rFonts w:hint="eastAsia"/>
        </w:rPr>
        <w:t>％</w:t>
      </w:r>
      <w:r>
        <w:rPr>
          <w:rFonts w:hint="eastAsia"/>
        </w:rPr>
        <w:t>。报告指出(第51页），为确保提高妇女在政治领域的地位，已制订的选举法，前南斯拉夫的马其顿共和国《议员选举法》第37条［现在］规定，法律要求在候选人名单中男女候选人分别至少占30</w:t>
      </w:r>
      <w:r w:rsidR="00641B56">
        <w:rPr>
          <w:rFonts w:hint="eastAsia"/>
        </w:rPr>
        <w:t>％</w:t>
      </w:r>
      <w:r>
        <w:rPr>
          <w:rFonts w:hint="eastAsia"/>
        </w:rPr>
        <w:t>。请说明上述规定的结果和效果，并说明为增加妇女参与地方选举并成功当选而采取的所有措施。</w:t>
      </w:r>
    </w:p>
    <w:p w:rsidR="00A87A1C" w:rsidRDefault="00A87A1C" w:rsidP="00695B26">
      <w:pPr>
        <w:pStyle w:val="SingleTxt"/>
        <w:spacing w:line="300" w:lineRule="exact"/>
        <w:rPr>
          <w:rFonts w:hint="eastAsia"/>
        </w:rPr>
      </w:pPr>
      <w:r>
        <w:rPr>
          <w:rFonts w:hint="eastAsia"/>
        </w:rPr>
        <w:t>13.</w:t>
      </w:r>
      <w:r>
        <w:rPr>
          <w:rFonts w:hint="eastAsia"/>
        </w:rPr>
        <w:tab/>
        <w:t>报告指出(第51页），“为了达到在这一领域促进性别平等的目的，应强调有必要组成一个包括议会议员和专家在内的性别平等议会特别委员会，其任务是从性别平等的方面分析提交的法案，并以此影响它们的内容”。是否已设立了这样一个委员会？如果已经设立，请详细说明其授权任务、已开展的活动及其影响。</w:t>
      </w:r>
    </w:p>
    <w:p w:rsidR="00A87A1C" w:rsidRDefault="00A87A1C" w:rsidP="00695B26">
      <w:pPr>
        <w:pStyle w:val="SingleTxt"/>
        <w:spacing w:line="300" w:lineRule="exact"/>
        <w:rPr>
          <w:rFonts w:hint="eastAsia"/>
        </w:rPr>
      </w:pPr>
      <w:r>
        <w:rPr>
          <w:rFonts w:hint="eastAsia"/>
        </w:rPr>
        <w:t>14.</w:t>
      </w:r>
      <w:r>
        <w:rPr>
          <w:rFonts w:hint="eastAsia"/>
        </w:rPr>
        <w:tab/>
        <w:t>报告着重指出(第50页），妇女对决策和公共生活的参与有限。政府采取了何种措施，以提高妇女对行政部门管理工作的参与，并提高妇女在较高级法院的代表性。</w:t>
      </w:r>
    </w:p>
    <w:p w:rsidR="00A87A1C" w:rsidRPr="00695B26" w:rsidRDefault="00A87A1C" w:rsidP="00A87A1C">
      <w:pPr>
        <w:pStyle w:val="SingleTxt"/>
        <w:rPr>
          <w:rFonts w:ascii="SimHei" w:eastAsia="SimHei" w:hint="eastAsia"/>
          <w:color w:val="FF0000"/>
        </w:rPr>
      </w:pPr>
      <w:r w:rsidRPr="00695B26">
        <w:rPr>
          <w:rFonts w:ascii="SimHei" w:eastAsia="SimHei" w:hint="eastAsia"/>
          <w:color w:val="FF0000"/>
        </w:rPr>
        <w:t>第8条</w:t>
      </w:r>
    </w:p>
    <w:p w:rsidR="00A87A1C" w:rsidRDefault="00A87A1C" w:rsidP="00A87A1C">
      <w:pPr>
        <w:pStyle w:val="SingleTxt"/>
        <w:rPr>
          <w:rFonts w:hint="eastAsia"/>
        </w:rPr>
      </w:pPr>
      <w:r>
        <w:rPr>
          <w:rFonts w:hint="eastAsia"/>
        </w:rPr>
        <w:t>15.</w:t>
      </w:r>
      <w:r>
        <w:rPr>
          <w:rFonts w:hint="eastAsia"/>
        </w:rPr>
        <w:tab/>
        <w:t>报告指出(第65页），“妇女真正参与国际一级的水平仍然很低”。请说明有何措施来增加在外交部以及外交和领事使团决策职位上的妇女人数？</w:t>
      </w:r>
    </w:p>
    <w:p w:rsidR="00A87A1C" w:rsidRPr="00695B26" w:rsidRDefault="00A87A1C" w:rsidP="00A87A1C">
      <w:pPr>
        <w:pStyle w:val="SingleTxt"/>
        <w:rPr>
          <w:rFonts w:ascii="SimHei" w:eastAsia="SimHei" w:hint="eastAsia"/>
          <w:color w:val="FF0000"/>
        </w:rPr>
      </w:pPr>
      <w:r w:rsidRPr="00695B26">
        <w:rPr>
          <w:rFonts w:ascii="SimHei" w:eastAsia="SimHei" w:hint="eastAsia"/>
          <w:color w:val="FF0000"/>
        </w:rPr>
        <w:t>第10条</w:t>
      </w:r>
    </w:p>
    <w:p w:rsidR="00A87A1C" w:rsidRDefault="00A87A1C" w:rsidP="00A87A1C">
      <w:pPr>
        <w:pStyle w:val="SingleTxt"/>
        <w:rPr>
          <w:rFonts w:hint="eastAsia"/>
        </w:rPr>
      </w:pPr>
      <w:r>
        <w:rPr>
          <w:rFonts w:hint="eastAsia"/>
        </w:rPr>
        <w:t>16.</w:t>
      </w:r>
      <w:r>
        <w:rPr>
          <w:rFonts w:hint="eastAsia"/>
        </w:rPr>
        <w:tab/>
        <w:t>报告指出（第71页），“［2001</w:t>
      </w:r>
      <w:r w:rsidR="00641B56">
        <w:rPr>
          <w:rFonts w:hint="eastAsia"/>
        </w:rPr>
        <w:t>-</w:t>
      </w:r>
      <w:r>
        <w:rPr>
          <w:rFonts w:hint="eastAsia"/>
        </w:rPr>
        <w:t>2002年中学女生］参与率最低的是电子和机械工程，平均大约为7</w:t>
      </w:r>
      <w:r w:rsidR="00641B56">
        <w:rPr>
          <w:rFonts w:hint="eastAsia"/>
        </w:rPr>
        <w:t>％</w:t>
      </w:r>
      <w:r>
        <w:rPr>
          <w:rFonts w:hint="eastAsia"/>
        </w:rPr>
        <w:t>”。政府采取了何种措施来增加女生参与传统上以男生为主的学习领域？</w:t>
      </w:r>
    </w:p>
    <w:p w:rsidR="00A87A1C" w:rsidRDefault="00A87A1C" w:rsidP="00A87A1C">
      <w:pPr>
        <w:pStyle w:val="SingleTxt"/>
        <w:rPr>
          <w:rFonts w:hint="eastAsia"/>
        </w:rPr>
      </w:pPr>
      <w:r>
        <w:rPr>
          <w:rFonts w:hint="eastAsia"/>
        </w:rPr>
        <w:t>17.</w:t>
      </w:r>
      <w:r>
        <w:rPr>
          <w:rFonts w:hint="eastAsia"/>
        </w:rPr>
        <w:tab/>
        <w:t>报告指出（第79页），中学男女生退学率平均居高。请提供按性别和族裔分列的中小学退学率数据；说明学生退学原因；说明为减少女生退学而采取的措施，包括按照第4条第1款和委员会一般性建议25采取的临时性特别措施。</w:t>
      </w:r>
    </w:p>
    <w:p w:rsidR="00A87A1C" w:rsidRPr="00695B26" w:rsidRDefault="00A87A1C" w:rsidP="00A87A1C">
      <w:pPr>
        <w:pStyle w:val="SingleTxt"/>
        <w:rPr>
          <w:rFonts w:ascii="SimHei" w:eastAsia="SimHei" w:hint="eastAsia"/>
          <w:color w:val="FF0000"/>
        </w:rPr>
      </w:pPr>
      <w:r w:rsidRPr="00695B26">
        <w:rPr>
          <w:rFonts w:ascii="SimHei" w:eastAsia="SimHei" w:hint="eastAsia"/>
          <w:color w:val="FF0000"/>
        </w:rPr>
        <w:t>第11条</w:t>
      </w:r>
    </w:p>
    <w:p w:rsidR="00A87A1C" w:rsidRDefault="00A87A1C" w:rsidP="00A87A1C">
      <w:pPr>
        <w:pStyle w:val="SingleTxt"/>
        <w:rPr>
          <w:rFonts w:hint="eastAsia"/>
        </w:rPr>
      </w:pPr>
      <w:r>
        <w:rPr>
          <w:rFonts w:hint="eastAsia"/>
        </w:rPr>
        <w:t>18.</w:t>
      </w:r>
      <w:r>
        <w:rPr>
          <w:rFonts w:hint="eastAsia"/>
        </w:rPr>
        <w:tab/>
        <w:t>报告指出(第13页），贫困对妇女的影响比对男子更为严重，目前仍没有一项旨在找出和根除妇女更为贫困之根源的行动计划。报告指出(第81</w:t>
      </w:r>
      <w:r w:rsidR="00641B56">
        <w:rPr>
          <w:rFonts w:hint="eastAsia"/>
        </w:rPr>
        <w:t>-</w:t>
      </w:r>
      <w:r>
        <w:rPr>
          <w:rFonts w:hint="eastAsia"/>
        </w:rPr>
        <w:t>82页和143</w:t>
      </w:r>
      <w:r w:rsidRPr="00641B56">
        <w:rPr>
          <w:rFonts w:hint="eastAsia"/>
          <w:spacing w:val="-4"/>
          <w:szCs w:val="21"/>
        </w:rPr>
        <w:t>页），妇女失业率为32</w:t>
      </w:r>
      <w:r w:rsidR="00641B56" w:rsidRPr="00641B56">
        <w:rPr>
          <w:rFonts w:hint="eastAsia"/>
          <w:spacing w:val="-4"/>
          <w:szCs w:val="21"/>
        </w:rPr>
        <w:t>％</w:t>
      </w:r>
      <w:r w:rsidRPr="00641B56">
        <w:rPr>
          <w:rFonts w:hint="eastAsia"/>
          <w:spacing w:val="-4"/>
          <w:szCs w:val="21"/>
        </w:rPr>
        <w:t>。报告还指出，69.8</w:t>
      </w:r>
      <w:r w:rsidR="00641B56" w:rsidRPr="00641B56">
        <w:rPr>
          <w:rFonts w:hint="eastAsia"/>
          <w:spacing w:val="-4"/>
          <w:szCs w:val="21"/>
        </w:rPr>
        <w:t>％</w:t>
      </w:r>
      <w:r w:rsidRPr="00641B56">
        <w:rPr>
          <w:rFonts w:hint="eastAsia"/>
          <w:spacing w:val="-4"/>
          <w:szCs w:val="21"/>
        </w:rPr>
        <w:t>的妇女是低收入体力工人，21.8</w:t>
      </w:r>
      <w:r w:rsidR="00641B56" w:rsidRPr="00641B56">
        <w:rPr>
          <w:rFonts w:hint="eastAsia"/>
          <w:spacing w:val="-4"/>
          <w:szCs w:val="21"/>
        </w:rPr>
        <w:t>％</w:t>
      </w:r>
      <w:r w:rsidRPr="00641B56">
        <w:rPr>
          <w:rFonts w:hint="eastAsia"/>
          <w:spacing w:val="-4"/>
          <w:szCs w:val="21"/>
        </w:rPr>
        <w:t>的妇女是无收入的家庭劳动者。第145页的表显示，妇女仍然主要从事教育、</w:t>
      </w:r>
      <w:r>
        <w:rPr>
          <w:rFonts w:hint="eastAsia"/>
        </w:rPr>
        <w:t xml:space="preserve">卫生保健和社会工作。政府作出了何种努力来改善妇女的经济前景，包括帮助妇女兼顾工作和家庭责任的措施以及提供合格的托儿设施？ </w:t>
      </w:r>
    </w:p>
    <w:p w:rsidR="00A87A1C" w:rsidRDefault="00A87A1C" w:rsidP="00A87A1C">
      <w:pPr>
        <w:pStyle w:val="SingleTxt"/>
        <w:rPr>
          <w:rFonts w:hint="eastAsia"/>
        </w:rPr>
      </w:pPr>
      <w:r>
        <w:rPr>
          <w:rFonts w:hint="eastAsia"/>
        </w:rPr>
        <w:t>19.</w:t>
      </w:r>
      <w:r>
        <w:rPr>
          <w:rFonts w:hint="eastAsia"/>
        </w:rPr>
        <w:tab/>
        <w:t>报告指出（第81页），“私营部门提供的就业机会没有被妇女充分利用”。出现上述情况的原因是什么？政府正在采取何种措施来提高妇女能力，以确保妇女能够自我就业，并获得私营部门提供的就业机会？</w:t>
      </w:r>
    </w:p>
    <w:p w:rsidR="00A87A1C" w:rsidRDefault="00641B56" w:rsidP="00A87A1C">
      <w:pPr>
        <w:pStyle w:val="SingleTxt"/>
        <w:rPr>
          <w:rFonts w:hint="eastAsia"/>
        </w:rPr>
      </w:pPr>
      <w:r>
        <w:rPr>
          <w:rFonts w:hint="eastAsia"/>
        </w:rPr>
        <w:t>20.</w:t>
      </w:r>
      <w:r>
        <w:tab/>
      </w:r>
      <w:r w:rsidR="00A87A1C">
        <w:rPr>
          <w:rFonts w:hint="eastAsia"/>
        </w:rPr>
        <w:t>报告在多处提到了对工作场所妇女特别保护的立法(1993年《劳动法》）。是否按照《公约》第11条第3款的要求，对该立法进行任何研究，包括弄清这类保护对妇女参与劳务市场的影响及对其就业机会的影响？</w:t>
      </w:r>
    </w:p>
    <w:p w:rsidR="00A87A1C" w:rsidRDefault="00A87A1C" w:rsidP="00A87A1C">
      <w:pPr>
        <w:pStyle w:val="SingleTxt"/>
        <w:rPr>
          <w:rFonts w:hint="eastAsia"/>
        </w:rPr>
      </w:pPr>
      <w:r>
        <w:rPr>
          <w:rFonts w:hint="eastAsia"/>
        </w:rPr>
        <w:t>21.</w:t>
      </w:r>
      <w:r>
        <w:rPr>
          <w:rFonts w:hint="eastAsia"/>
        </w:rPr>
        <w:tab/>
        <w:t>报告指出（第87页），如果母亲亡故，抛弃了孩子或有合理的理由不能行使这项权利，则孩子的父亲有权享受育儿假。父亲在其他情况下是否有育儿假权利？如果有，请解释并说明请育儿假的父亲比例有多少？</w:t>
      </w:r>
    </w:p>
    <w:p w:rsidR="00A87A1C" w:rsidRDefault="00A87A1C" w:rsidP="00A87A1C">
      <w:pPr>
        <w:pStyle w:val="SingleTxt"/>
        <w:rPr>
          <w:rFonts w:hint="eastAsia"/>
        </w:rPr>
      </w:pPr>
      <w:r>
        <w:rPr>
          <w:rFonts w:hint="eastAsia"/>
        </w:rPr>
        <w:t>22.</w:t>
      </w:r>
      <w:r>
        <w:rPr>
          <w:rFonts w:hint="eastAsia"/>
        </w:rPr>
        <w:tab/>
        <w:t>以妇女为户主的家庭有多少？采取了何种措施来提高低收入女户主的经济能力？</w:t>
      </w:r>
    </w:p>
    <w:p w:rsidR="00A87A1C" w:rsidRDefault="00A87A1C" w:rsidP="00A87A1C">
      <w:pPr>
        <w:pStyle w:val="SingleTxt"/>
        <w:rPr>
          <w:rFonts w:hint="eastAsia"/>
        </w:rPr>
      </w:pPr>
      <w:r>
        <w:rPr>
          <w:rFonts w:hint="eastAsia"/>
        </w:rPr>
        <w:t>23.</w:t>
      </w:r>
      <w:r>
        <w:rPr>
          <w:rFonts w:hint="eastAsia"/>
        </w:rPr>
        <w:tab/>
        <w:t>对弱势妇女和不同族裔妇女所面对的多种形式歧视是否作了任何研究？请提供关于老年、残疾和少数民族妇女等弱势群体的情况；特别是关于阿尔巴尼亚和罗姆妇女、难民和移徙妇女的情况，并说明为提高她们的社会</w:t>
      </w:r>
      <w:r w:rsidR="00641B56">
        <w:rPr>
          <w:rFonts w:hint="eastAsia"/>
        </w:rPr>
        <w:t>-</w:t>
      </w:r>
      <w:r>
        <w:rPr>
          <w:rFonts w:hint="eastAsia"/>
        </w:rPr>
        <w:t xml:space="preserve">经济地位以及确保她们平等获取教育、保健和政治代表权的措施。 </w:t>
      </w:r>
    </w:p>
    <w:p w:rsidR="00A87A1C" w:rsidRPr="00695B26" w:rsidRDefault="00A87A1C" w:rsidP="00A87A1C">
      <w:pPr>
        <w:pStyle w:val="SingleTxt"/>
        <w:rPr>
          <w:rFonts w:ascii="SimHei" w:eastAsia="SimHei" w:hint="eastAsia"/>
          <w:color w:val="FF0000"/>
        </w:rPr>
      </w:pPr>
      <w:r w:rsidRPr="00695B26">
        <w:rPr>
          <w:rFonts w:ascii="SimHei" w:eastAsia="SimHei" w:hint="eastAsia"/>
          <w:color w:val="FF0000"/>
        </w:rPr>
        <w:t>第12条</w:t>
      </w:r>
    </w:p>
    <w:p w:rsidR="00A87A1C" w:rsidRDefault="00A87A1C" w:rsidP="00A87A1C">
      <w:pPr>
        <w:pStyle w:val="SingleTxt"/>
        <w:rPr>
          <w:rFonts w:hint="eastAsia"/>
        </w:rPr>
      </w:pPr>
      <w:r>
        <w:rPr>
          <w:rFonts w:hint="eastAsia"/>
        </w:rPr>
        <w:t>24.</w:t>
      </w:r>
      <w:r>
        <w:rPr>
          <w:rFonts w:hint="eastAsia"/>
        </w:rPr>
        <w:tab/>
        <w:t>报告指出（第93页），前南斯拉夫的马其顿共和国“还未能提供一份长期发展卫生保健的战略性文件”，但马其顿艺术和科学学院正着手准备这一文件。请说明该文件的准备情况。</w:t>
      </w:r>
    </w:p>
    <w:p w:rsidR="00A87A1C" w:rsidRDefault="00A87A1C" w:rsidP="00A87A1C">
      <w:pPr>
        <w:pStyle w:val="SingleTxt"/>
        <w:rPr>
          <w:rFonts w:hint="eastAsia"/>
        </w:rPr>
      </w:pPr>
      <w:r>
        <w:rPr>
          <w:rFonts w:hint="eastAsia"/>
        </w:rPr>
        <w:t>25.</w:t>
      </w:r>
      <w:r>
        <w:rPr>
          <w:rFonts w:hint="eastAsia"/>
        </w:rPr>
        <w:tab/>
        <w:t>报告指出（第100页），堕胎现仍用于控制生育，“这一情况反映在分娩和堕胎的比率指标中。近一时期，平均2.5次分娩就伴有一次堕胎”。采取了何种措施，以确保妇女和男子，包括青少年，能够获得关于生殖保健和家庭计划的信息，并能够利用负担得起的避孕方法？</w:t>
      </w:r>
    </w:p>
    <w:p w:rsidR="00A87A1C" w:rsidRDefault="00A87A1C" w:rsidP="00A87A1C">
      <w:pPr>
        <w:pStyle w:val="SingleTxt"/>
        <w:rPr>
          <w:rFonts w:hint="eastAsia"/>
        </w:rPr>
      </w:pPr>
      <w:r>
        <w:rPr>
          <w:rFonts w:hint="eastAsia"/>
        </w:rPr>
        <w:t>26.</w:t>
      </w:r>
      <w:r>
        <w:rPr>
          <w:rFonts w:hint="eastAsia"/>
        </w:rPr>
        <w:tab/>
        <w:t>请提供按性别和族裔分列的国内艾滋病毒/艾滋病流行情况。还请说明防治艾滋病毒/艾滋病的措施，并说明是否将社会性别观点纳入了这类措施。</w:t>
      </w:r>
    </w:p>
    <w:p w:rsidR="00A87A1C" w:rsidRDefault="00A87A1C" w:rsidP="00A87A1C">
      <w:pPr>
        <w:pStyle w:val="SingleTxt"/>
        <w:rPr>
          <w:rFonts w:hint="eastAsia"/>
        </w:rPr>
      </w:pPr>
      <w:r>
        <w:rPr>
          <w:rFonts w:hint="eastAsia"/>
        </w:rPr>
        <w:t>27.</w:t>
      </w:r>
      <w:r>
        <w:rPr>
          <w:rFonts w:hint="eastAsia"/>
        </w:rPr>
        <w:tab/>
        <w:t>报告没有提供任何关于移徙妇女的情况，包括她们的数量和来源国。报告指出（第103页），“女性移民的健康状况没有得到任何特别的关注。因此，有必要使统计系统包括这一群</w:t>
      </w:r>
      <w:r w:rsidR="006C4492">
        <w:rPr>
          <w:rFonts w:hint="eastAsia"/>
        </w:rPr>
        <w:t>体的数据”。是否采取了步骤来建立这一系统，是否采取了措施来确保</w:t>
      </w:r>
      <w:r>
        <w:rPr>
          <w:rFonts w:hint="eastAsia"/>
        </w:rPr>
        <w:t>移民妇女获得保健服务？</w:t>
      </w:r>
    </w:p>
    <w:p w:rsidR="00A87A1C" w:rsidRPr="00695B26" w:rsidRDefault="00A87A1C" w:rsidP="00A87A1C">
      <w:pPr>
        <w:pStyle w:val="SingleTxt"/>
        <w:rPr>
          <w:rFonts w:ascii="SimHei" w:eastAsia="SimHei" w:hint="eastAsia"/>
          <w:color w:val="FF0000"/>
        </w:rPr>
      </w:pPr>
      <w:r w:rsidRPr="00695B26">
        <w:rPr>
          <w:rFonts w:ascii="SimHei" w:eastAsia="SimHei" w:hint="eastAsia"/>
          <w:color w:val="FF0000"/>
        </w:rPr>
        <w:t>第13条</w:t>
      </w:r>
    </w:p>
    <w:p w:rsidR="00A87A1C" w:rsidRDefault="00A87A1C" w:rsidP="00A87A1C">
      <w:pPr>
        <w:pStyle w:val="SingleTxt"/>
        <w:rPr>
          <w:rFonts w:hint="eastAsia"/>
        </w:rPr>
      </w:pPr>
      <w:r>
        <w:rPr>
          <w:rFonts w:hint="eastAsia"/>
        </w:rPr>
        <w:t>28.</w:t>
      </w:r>
      <w:r>
        <w:rPr>
          <w:rFonts w:hint="eastAsia"/>
        </w:rPr>
        <w:tab/>
        <w:t>报告指出（第106页），前南斯拉夫的马其顿共和国政府在计划的活动中，为了防止歧视和在经济和专业事务中提供性别平衡，提出了：</w:t>
      </w:r>
    </w:p>
    <w:p w:rsidR="00A87A1C" w:rsidRDefault="00A87A1C" w:rsidP="00A87A1C">
      <w:pPr>
        <w:pStyle w:val="SingleTxt"/>
        <w:rPr>
          <w:rFonts w:hint="eastAsia"/>
        </w:rPr>
      </w:pPr>
      <w:r>
        <w:rPr>
          <w:rFonts w:hint="eastAsia"/>
        </w:rPr>
        <w:tab/>
        <w:t>(a)</w:t>
      </w:r>
      <w:r>
        <w:rPr>
          <w:rFonts w:hint="eastAsia"/>
        </w:rPr>
        <w:tab/>
        <w:t>“提供免费或低价的法律服务，以保证妇女平等地得到经济资源和特殊贷款条件的机会，包括年青妇女；</w:t>
      </w:r>
    </w:p>
    <w:p w:rsidR="00A87A1C" w:rsidRDefault="00A87A1C" w:rsidP="00A87A1C">
      <w:pPr>
        <w:pStyle w:val="SingleTxt"/>
        <w:rPr>
          <w:rFonts w:hint="eastAsia"/>
        </w:rPr>
      </w:pPr>
      <w:r>
        <w:rPr>
          <w:rFonts w:hint="eastAsia"/>
        </w:rPr>
        <w:tab/>
        <w:t>(b)</w:t>
      </w:r>
      <w:r>
        <w:rPr>
          <w:rFonts w:hint="eastAsia"/>
        </w:rPr>
        <w:tab/>
        <w:t>“在提供信贷和金融服务的机构的决策过程中，创造机会使妇女参与决策过程，如有可能的话，使她们共同拥有这样的机构。”</w:t>
      </w:r>
    </w:p>
    <w:p w:rsidR="00A87A1C" w:rsidRDefault="00A87A1C" w:rsidP="00A87A1C">
      <w:pPr>
        <w:pStyle w:val="SingleTxt"/>
        <w:rPr>
          <w:rFonts w:hint="eastAsia"/>
        </w:rPr>
      </w:pPr>
      <w:r>
        <w:rPr>
          <w:rFonts w:hint="eastAsia"/>
        </w:rPr>
        <w:t xml:space="preserve">开展上述活动的情况如何？ </w:t>
      </w:r>
    </w:p>
    <w:p w:rsidR="00A87A1C" w:rsidRPr="00695B26" w:rsidRDefault="00A87A1C" w:rsidP="00A87A1C">
      <w:pPr>
        <w:pStyle w:val="SingleTxt"/>
        <w:rPr>
          <w:rFonts w:ascii="SimHei" w:eastAsia="SimHei" w:hint="eastAsia"/>
          <w:color w:val="FF0000"/>
        </w:rPr>
      </w:pPr>
      <w:r w:rsidRPr="00695B26">
        <w:rPr>
          <w:rFonts w:ascii="SimHei" w:eastAsia="SimHei" w:hint="eastAsia"/>
          <w:color w:val="FF0000"/>
        </w:rPr>
        <w:t>第14条</w:t>
      </w:r>
    </w:p>
    <w:p w:rsidR="00A87A1C" w:rsidRDefault="00A87A1C" w:rsidP="00A87A1C">
      <w:pPr>
        <w:pStyle w:val="SingleTxt"/>
        <w:rPr>
          <w:rFonts w:hint="eastAsia"/>
        </w:rPr>
      </w:pPr>
      <w:r>
        <w:rPr>
          <w:rFonts w:hint="eastAsia"/>
        </w:rPr>
        <w:t>29.</w:t>
      </w:r>
      <w:r>
        <w:rPr>
          <w:rFonts w:hint="eastAsia"/>
        </w:rPr>
        <w:tab/>
        <w:t>鉴于40.5</w:t>
      </w:r>
      <w:r w:rsidR="00641B56">
        <w:rPr>
          <w:rFonts w:hint="eastAsia"/>
        </w:rPr>
        <w:t>％</w:t>
      </w:r>
      <w:r>
        <w:rPr>
          <w:rFonts w:hint="eastAsia"/>
        </w:rPr>
        <w:t>的人口生活在农村地区</w:t>
      </w:r>
      <w:r w:rsidR="006C4492">
        <w:rPr>
          <w:rFonts w:hint="eastAsia"/>
        </w:rPr>
        <w:t>，</w:t>
      </w:r>
      <w:r w:rsidRPr="006C4492">
        <w:rPr>
          <w:rFonts w:hint="eastAsia"/>
          <w:vertAlign w:val="superscript"/>
        </w:rPr>
        <w:t>1</w:t>
      </w:r>
      <w:r w:rsidR="006C4492">
        <w:t xml:space="preserve"> </w:t>
      </w:r>
      <w:r>
        <w:rPr>
          <w:rFonts w:hint="eastAsia"/>
        </w:rPr>
        <w:t>请说明政府改善农村妇女状况的所有措施产生的影响，包括使她们获得保健、教育、水和土地，并让她们参与各级决策工作。</w:t>
      </w:r>
    </w:p>
    <w:p w:rsidR="00A87A1C" w:rsidRPr="00695B26" w:rsidRDefault="00A87A1C" w:rsidP="00A87A1C">
      <w:pPr>
        <w:pStyle w:val="SingleTxt"/>
        <w:rPr>
          <w:rFonts w:ascii="SimHei" w:eastAsia="SimHei" w:hint="eastAsia"/>
          <w:color w:val="FF0000"/>
        </w:rPr>
      </w:pPr>
      <w:r w:rsidRPr="00695B26">
        <w:rPr>
          <w:rFonts w:ascii="SimHei" w:eastAsia="SimHei" w:hint="eastAsia"/>
          <w:color w:val="FF0000"/>
        </w:rPr>
        <w:t>第16条</w:t>
      </w:r>
    </w:p>
    <w:p w:rsidR="00A87A1C" w:rsidRDefault="00A87A1C" w:rsidP="00A87A1C">
      <w:pPr>
        <w:pStyle w:val="SingleTxt"/>
      </w:pPr>
      <w:r>
        <w:rPr>
          <w:rFonts w:hint="eastAsia"/>
        </w:rPr>
        <w:t>30.</w:t>
      </w:r>
      <w:r>
        <w:rPr>
          <w:rFonts w:hint="eastAsia"/>
        </w:rPr>
        <w:tab/>
        <w:t>报告指出（第117页），“法律为经济无保障的配偶在离婚后提供了得到供养的机会，如果他/她无实质手段供养自己、无力工作、或者离婚或判决婚姻无效后非自身过错已失去工作五年的话。然而，虽然法院指定了对子女和母亲的供养，但作为父亲的一项义务，这种供养在实际执行中是复杂的”。采取了何种措施以利于实行对子女和母亲的供养？</w:t>
      </w:r>
    </w:p>
    <w:p w:rsidR="00A87A1C" w:rsidRPr="00695B26" w:rsidRDefault="00A87A1C" w:rsidP="00695B26">
      <w:pPr>
        <w:pStyle w:val="SingleTxt"/>
        <w:ind w:left="1054"/>
        <w:rPr>
          <w:rFonts w:ascii="KaiTi_GB2312" w:eastAsia="KaiTi_GB2312" w:hint="eastAsia"/>
          <w:color w:val="0000FF"/>
        </w:rPr>
      </w:pPr>
      <w:r w:rsidRPr="00695B26">
        <w:rPr>
          <w:rFonts w:ascii="KaiTi_GB2312" w:eastAsia="KaiTi_GB2312" w:hint="eastAsia"/>
          <w:color w:val="0000FF"/>
        </w:rPr>
        <w:t>注</w:t>
      </w:r>
    </w:p>
    <w:p w:rsidR="00A87A1C" w:rsidRDefault="00A87A1C" w:rsidP="00695B26">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80"/>
        <w:ind w:left="1264" w:right="1264" w:hanging="576"/>
        <w:jc w:val="both"/>
        <w:rPr>
          <w:rFonts w:hint="eastAsia"/>
        </w:rPr>
      </w:pPr>
      <w:r>
        <w:rPr>
          <w:rFonts w:hint="eastAsia"/>
        </w:rPr>
        <w:tab/>
      </w:r>
      <w:r w:rsidRPr="00695B26">
        <w:rPr>
          <w:rFonts w:hint="eastAsia"/>
          <w:vertAlign w:val="superscript"/>
        </w:rPr>
        <w:t>1</w:t>
      </w:r>
      <w:r>
        <w:rPr>
          <w:rFonts w:hint="eastAsia"/>
        </w:rPr>
        <w:tab/>
        <w:t>截至2003年，前南斯拉夫的马其顿共和国59.5</w:t>
      </w:r>
      <w:r w:rsidR="00641B56">
        <w:rPr>
          <w:rFonts w:hint="eastAsia"/>
        </w:rPr>
        <w:t>％</w:t>
      </w:r>
      <w:r>
        <w:rPr>
          <w:rFonts w:hint="eastAsia"/>
        </w:rPr>
        <w:t>人口生活在农村地区(Trends in Europe and North America, 2005)（联合国出版物，出售品编号：E.05.II.14；见http://www.unece.org/</w:t>
      </w:r>
      <w:r w:rsidR="008B27DB">
        <w:t xml:space="preserve"> </w:t>
      </w:r>
      <w:r>
        <w:rPr>
          <w:rFonts w:hint="eastAsia"/>
        </w:rPr>
        <w:t>stats/trends2005/Welcome.html, 链接：Population/Population in urban areas）。</w:t>
      </w:r>
    </w:p>
    <w:p w:rsidR="001E5ABA" w:rsidRPr="00695B26" w:rsidRDefault="00695B26" w:rsidP="00695B26">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1E5ABA" w:rsidRPr="00695B26" w:rsidSect="000214F3">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0-11T11:38:00Z" w:initials="Start">
    <w:p w:rsidR="008B27DB" w:rsidRDefault="008B27D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separate"/>
      </w:r>
      <w:r>
        <w:rPr>
          <w:noProof/>
        </w:rPr>
        <w:t>Page: 1</w:t>
      </w:r>
      <w:r>
        <w:rPr>
          <w:noProof/>
        </w:rPr>
        <w:br/>
      </w:r>
      <w:r>
        <w:fldChar w:fldCharType="end"/>
      </w:r>
      <w:r>
        <w:rPr>
          <w:rStyle w:val="CommentReference"/>
        </w:rPr>
        <w:annotationRef/>
      </w:r>
      <w:r>
        <w:t>&lt;&lt;ODS JOB NO&gt;&gt;N0545837C&lt;&lt;ODS JOB NO&gt;&gt;</w:t>
      </w:r>
    </w:p>
    <w:p w:rsidR="008B27DB" w:rsidRDefault="008B27DB">
      <w:pPr>
        <w:pStyle w:val="CommentText"/>
      </w:pPr>
      <w:r>
        <w:t>&lt;&lt;ODS DOC SYMBOL1&gt;&gt;CEDAW/C/MKD/Q/1-3&lt;&lt;ODS DOC SYMBOL1&gt;&gt;</w:t>
      </w:r>
    </w:p>
    <w:p w:rsidR="008B27DB" w:rsidRDefault="008B27D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5945" w:rsidRDefault="00AA5945" w:rsidP="000214F3">
      <w:pPr>
        <w:pStyle w:val="Header"/>
      </w:pPr>
      <w:r>
        <w:separator/>
      </w:r>
    </w:p>
  </w:endnote>
  <w:endnote w:type="continuationSeparator" w:id="0">
    <w:p w:rsidR="00AA5945" w:rsidRDefault="00AA5945" w:rsidP="000214F3">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4"/>
      <w:gridCol w:w="5034"/>
    </w:tblGrid>
    <w:tr w:rsidR="008B27DB">
      <w:tblPrEx>
        <w:tblCellMar>
          <w:top w:w="0" w:type="dxa"/>
          <w:bottom w:w="0" w:type="dxa"/>
        </w:tblCellMar>
      </w:tblPrEx>
      <w:tc>
        <w:tcPr>
          <w:tcW w:w="5034" w:type="dxa"/>
          <w:shd w:val="clear" w:color="auto" w:fill="auto"/>
          <w:vAlign w:val="bottom"/>
        </w:tcPr>
        <w:p w:rsidR="008B27DB" w:rsidRPr="000214F3" w:rsidRDefault="008B27DB" w:rsidP="000214F3">
          <w:pPr>
            <w:pStyle w:val="Footer"/>
            <w:jc w:val="left"/>
          </w:pPr>
          <w:r>
            <w:fldChar w:fldCharType="begin"/>
          </w:r>
          <w:r>
            <w:instrText xml:space="preserve"> PAGE  \* MERGEFORMAT </w:instrText>
          </w:r>
          <w:r>
            <w:fldChar w:fldCharType="separate"/>
          </w:r>
          <w:r w:rsidR="009A6AFE">
            <w:t>2</w:t>
          </w:r>
          <w:r>
            <w:fldChar w:fldCharType="end"/>
          </w:r>
        </w:p>
      </w:tc>
      <w:tc>
        <w:tcPr>
          <w:tcW w:w="5034" w:type="dxa"/>
          <w:shd w:val="clear" w:color="auto" w:fill="auto"/>
          <w:vAlign w:val="bottom"/>
        </w:tcPr>
        <w:p w:rsidR="008B27DB" w:rsidRPr="000214F3" w:rsidRDefault="008B27DB" w:rsidP="000214F3">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B032F6">
            <w:rPr>
              <w:b w:val="0"/>
              <w:sz w:val="14"/>
            </w:rPr>
            <w:t>05-45837</w:t>
          </w:r>
          <w:r>
            <w:rPr>
              <w:b w:val="0"/>
              <w:sz w:val="14"/>
            </w:rPr>
            <w:fldChar w:fldCharType="end"/>
          </w:r>
        </w:p>
      </w:tc>
    </w:tr>
  </w:tbl>
  <w:p w:rsidR="008B27DB" w:rsidRPr="000214F3" w:rsidRDefault="008B27DB" w:rsidP="000214F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4"/>
      <w:gridCol w:w="5034"/>
    </w:tblGrid>
    <w:tr w:rsidR="008B27DB">
      <w:tblPrEx>
        <w:tblCellMar>
          <w:top w:w="0" w:type="dxa"/>
          <w:bottom w:w="0" w:type="dxa"/>
        </w:tblCellMar>
      </w:tblPrEx>
      <w:tc>
        <w:tcPr>
          <w:tcW w:w="5034" w:type="dxa"/>
          <w:shd w:val="clear" w:color="auto" w:fill="auto"/>
          <w:vAlign w:val="bottom"/>
        </w:tcPr>
        <w:p w:rsidR="008B27DB" w:rsidRPr="000214F3" w:rsidRDefault="008B27DB" w:rsidP="000214F3">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B032F6">
            <w:rPr>
              <w:b w:val="0"/>
              <w:sz w:val="14"/>
            </w:rPr>
            <w:t>05-45837</w:t>
          </w:r>
          <w:r>
            <w:rPr>
              <w:b w:val="0"/>
              <w:sz w:val="14"/>
            </w:rPr>
            <w:fldChar w:fldCharType="end"/>
          </w:r>
        </w:p>
      </w:tc>
      <w:tc>
        <w:tcPr>
          <w:tcW w:w="5034" w:type="dxa"/>
          <w:shd w:val="clear" w:color="auto" w:fill="auto"/>
          <w:vAlign w:val="bottom"/>
        </w:tcPr>
        <w:p w:rsidR="008B27DB" w:rsidRPr="000214F3" w:rsidRDefault="008B27DB" w:rsidP="000214F3">
          <w:pPr>
            <w:pStyle w:val="Footer"/>
            <w:jc w:val="right"/>
          </w:pPr>
          <w:r>
            <w:fldChar w:fldCharType="begin"/>
          </w:r>
          <w:r>
            <w:instrText xml:space="preserve"> PAGE  \* MERGEFORMAT </w:instrText>
          </w:r>
          <w:r>
            <w:fldChar w:fldCharType="separate"/>
          </w:r>
          <w:r w:rsidR="00B032F6">
            <w:t>5</w:t>
          </w:r>
          <w:r>
            <w:fldChar w:fldCharType="end"/>
          </w:r>
        </w:p>
      </w:tc>
    </w:tr>
  </w:tbl>
  <w:p w:rsidR="008B27DB" w:rsidRPr="000214F3" w:rsidRDefault="008B27DB" w:rsidP="000214F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7DB" w:rsidRDefault="008B27DB" w:rsidP="000214F3">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B032F6">
      <w:rPr>
        <w:b w:val="0"/>
        <w:sz w:val="21"/>
      </w:rPr>
      <w:t>05-45837 (C)</w:t>
    </w:r>
    <w:r>
      <w:rPr>
        <w:b w:val="0"/>
        <w:sz w:val="21"/>
      </w:rPr>
      <w:fldChar w:fldCharType="end"/>
    </w:r>
  </w:p>
  <w:p w:rsidR="008B27DB" w:rsidRPr="000214F3" w:rsidRDefault="008B27DB" w:rsidP="000214F3">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B032F6">
      <w:rPr>
        <w:rFonts w:ascii="Barcode 3 of 9 by request" w:hAnsi="Barcode 3 of 9 by request"/>
        <w:sz w:val="24"/>
      </w:rPr>
      <w:t>*0545837*</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5945" w:rsidRDefault="00AA5945" w:rsidP="000214F3">
      <w:pPr>
        <w:pStyle w:val="Header"/>
      </w:pPr>
      <w:r>
        <w:separator/>
      </w:r>
    </w:p>
  </w:footnote>
  <w:footnote w:type="continuationSeparator" w:id="0">
    <w:p w:rsidR="00AA5945" w:rsidRDefault="00AA5945" w:rsidP="000214F3">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2"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4"/>
    </w:tblGrid>
    <w:tr w:rsidR="008B27DB">
      <w:tblPrEx>
        <w:tblCellMar>
          <w:top w:w="0" w:type="dxa"/>
          <w:bottom w:w="0" w:type="dxa"/>
        </w:tblCellMar>
      </w:tblPrEx>
      <w:trPr>
        <w:trHeight w:hRule="exact" w:val="864"/>
      </w:trPr>
      <w:tc>
        <w:tcPr>
          <w:tcW w:w="4838" w:type="dxa"/>
          <w:shd w:val="clear" w:color="auto" w:fill="auto"/>
          <w:vAlign w:val="bottom"/>
        </w:tcPr>
        <w:p w:rsidR="008B27DB" w:rsidRPr="000214F3" w:rsidRDefault="008B27DB" w:rsidP="000214F3">
          <w:pPr>
            <w:pStyle w:val="Header"/>
            <w:spacing w:after="80"/>
            <w:rPr>
              <w:b/>
              <w:sz w:val="17"/>
            </w:rPr>
          </w:pPr>
          <w:r>
            <w:rPr>
              <w:b/>
              <w:sz w:val="17"/>
            </w:rPr>
            <w:fldChar w:fldCharType="begin"/>
          </w:r>
          <w:r>
            <w:rPr>
              <w:b/>
              <w:sz w:val="17"/>
            </w:rPr>
            <w:instrText xml:space="preserve"> DOCVARIABLE "sss1" \* MERGEFORMAT </w:instrText>
          </w:r>
          <w:r>
            <w:rPr>
              <w:b/>
              <w:sz w:val="17"/>
            </w:rPr>
            <w:fldChar w:fldCharType="separate"/>
          </w:r>
          <w:r w:rsidR="00B032F6">
            <w:rPr>
              <w:b/>
              <w:sz w:val="17"/>
            </w:rPr>
            <w:t>CEDAW/C/MKD/Q/1-3</w:t>
          </w:r>
          <w:r>
            <w:rPr>
              <w:b/>
              <w:sz w:val="17"/>
            </w:rPr>
            <w:fldChar w:fldCharType="end"/>
          </w:r>
        </w:p>
      </w:tc>
      <w:tc>
        <w:tcPr>
          <w:tcW w:w="5034" w:type="dxa"/>
          <w:shd w:val="clear" w:color="auto" w:fill="auto"/>
          <w:vAlign w:val="bottom"/>
        </w:tcPr>
        <w:p w:rsidR="008B27DB" w:rsidRDefault="008B27DB" w:rsidP="000214F3">
          <w:pPr>
            <w:pStyle w:val="Header"/>
          </w:pPr>
        </w:p>
      </w:tc>
    </w:tr>
  </w:tbl>
  <w:p w:rsidR="008B27DB" w:rsidRPr="000214F3" w:rsidRDefault="008B27DB" w:rsidP="000214F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2"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4"/>
    </w:tblGrid>
    <w:tr w:rsidR="008B27DB">
      <w:tblPrEx>
        <w:tblCellMar>
          <w:top w:w="0" w:type="dxa"/>
          <w:bottom w:w="0" w:type="dxa"/>
        </w:tblCellMar>
      </w:tblPrEx>
      <w:trPr>
        <w:trHeight w:hRule="exact" w:val="864"/>
      </w:trPr>
      <w:tc>
        <w:tcPr>
          <w:tcW w:w="4838" w:type="dxa"/>
          <w:shd w:val="clear" w:color="auto" w:fill="auto"/>
          <w:vAlign w:val="bottom"/>
        </w:tcPr>
        <w:p w:rsidR="008B27DB" w:rsidRDefault="008B27DB" w:rsidP="000214F3">
          <w:pPr>
            <w:pStyle w:val="Header"/>
          </w:pPr>
        </w:p>
      </w:tc>
      <w:tc>
        <w:tcPr>
          <w:tcW w:w="5034" w:type="dxa"/>
          <w:shd w:val="clear" w:color="auto" w:fill="auto"/>
          <w:vAlign w:val="bottom"/>
        </w:tcPr>
        <w:p w:rsidR="008B27DB" w:rsidRPr="000214F3" w:rsidRDefault="008B27DB" w:rsidP="000214F3">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B032F6">
            <w:rPr>
              <w:b/>
              <w:sz w:val="17"/>
            </w:rPr>
            <w:t>CEDAW/C/MKD/Q/1-3</w:t>
          </w:r>
          <w:r>
            <w:rPr>
              <w:b/>
              <w:sz w:val="17"/>
            </w:rPr>
            <w:fldChar w:fldCharType="end"/>
          </w:r>
        </w:p>
      </w:tc>
    </w:tr>
  </w:tbl>
  <w:p w:rsidR="008B27DB" w:rsidRPr="000214F3" w:rsidRDefault="008B27DB" w:rsidP="000214F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B27D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B27DB" w:rsidRDefault="008B27DB" w:rsidP="000214F3">
          <w:pPr>
            <w:pStyle w:val="Header"/>
            <w:spacing w:after="120"/>
          </w:pPr>
        </w:p>
      </w:tc>
      <w:tc>
        <w:tcPr>
          <w:tcW w:w="1872" w:type="dxa"/>
          <w:tcBorders>
            <w:bottom w:val="single" w:sz="4" w:space="0" w:color="auto"/>
          </w:tcBorders>
          <w:shd w:val="clear" w:color="auto" w:fill="auto"/>
          <w:vAlign w:val="bottom"/>
        </w:tcPr>
        <w:p w:rsidR="008B27DB" w:rsidRDefault="008B27DB" w:rsidP="000214F3">
          <w:pPr>
            <w:pStyle w:val="Header"/>
            <w:spacing w:after="120"/>
          </w:pPr>
        </w:p>
      </w:tc>
      <w:tc>
        <w:tcPr>
          <w:tcW w:w="245" w:type="dxa"/>
          <w:tcBorders>
            <w:bottom w:val="single" w:sz="4" w:space="0" w:color="auto"/>
          </w:tcBorders>
          <w:shd w:val="clear" w:color="auto" w:fill="auto"/>
          <w:vAlign w:val="bottom"/>
        </w:tcPr>
        <w:p w:rsidR="008B27DB" w:rsidRDefault="008B27DB" w:rsidP="000214F3">
          <w:pPr>
            <w:pStyle w:val="Header"/>
            <w:spacing w:after="120"/>
          </w:pPr>
        </w:p>
      </w:tc>
      <w:tc>
        <w:tcPr>
          <w:tcW w:w="6523" w:type="dxa"/>
          <w:gridSpan w:val="3"/>
          <w:tcBorders>
            <w:bottom w:val="single" w:sz="4" w:space="0" w:color="auto"/>
          </w:tcBorders>
          <w:shd w:val="clear" w:color="auto" w:fill="auto"/>
          <w:vAlign w:val="bottom"/>
        </w:tcPr>
        <w:p w:rsidR="008B27DB" w:rsidRPr="000214F3" w:rsidRDefault="008B27DB" w:rsidP="000214F3">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/C/MKD/Q/1-3</w:t>
          </w:r>
        </w:p>
      </w:tc>
    </w:tr>
    <w:tr w:rsidR="008B27DB" w:rsidRPr="000214F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B27DB" w:rsidRPr="000214F3" w:rsidRDefault="008B27DB" w:rsidP="000214F3">
          <w:pPr>
            <w:pStyle w:val="Header"/>
            <w:spacing w:before="109"/>
          </w:pPr>
          <w:r>
            <w:t xml:space="preserve"> </w:t>
          </w:r>
        </w:p>
      </w:tc>
      <w:tc>
        <w:tcPr>
          <w:tcW w:w="5227" w:type="dxa"/>
          <w:gridSpan w:val="3"/>
          <w:tcBorders>
            <w:top w:val="single" w:sz="4" w:space="0" w:color="auto"/>
            <w:bottom w:val="single" w:sz="12" w:space="0" w:color="auto"/>
          </w:tcBorders>
          <w:shd w:val="clear" w:color="auto" w:fill="auto"/>
        </w:tcPr>
        <w:p w:rsidR="008B27DB" w:rsidRPr="000214F3" w:rsidRDefault="008B27DB" w:rsidP="000214F3">
          <w:pPr>
            <w:pStyle w:val="Header"/>
            <w:spacing w:before="109"/>
          </w:pPr>
        </w:p>
      </w:tc>
      <w:tc>
        <w:tcPr>
          <w:tcW w:w="245" w:type="dxa"/>
          <w:tcBorders>
            <w:top w:val="single" w:sz="4" w:space="0" w:color="auto"/>
            <w:bottom w:val="single" w:sz="12" w:space="0" w:color="auto"/>
          </w:tcBorders>
          <w:shd w:val="clear" w:color="auto" w:fill="auto"/>
        </w:tcPr>
        <w:p w:rsidR="008B27DB" w:rsidRPr="000214F3" w:rsidRDefault="008B27DB" w:rsidP="000214F3">
          <w:pPr>
            <w:pStyle w:val="Header"/>
            <w:spacing w:before="109"/>
          </w:pPr>
        </w:p>
      </w:tc>
      <w:tc>
        <w:tcPr>
          <w:tcW w:w="3180" w:type="dxa"/>
          <w:gridSpan w:val="2"/>
          <w:tcBorders>
            <w:top w:val="single" w:sz="4" w:space="0" w:color="auto"/>
            <w:bottom w:val="single" w:sz="12" w:space="0" w:color="auto"/>
          </w:tcBorders>
          <w:shd w:val="clear" w:color="auto" w:fill="auto"/>
        </w:tcPr>
        <w:p w:rsidR="008B27DB" w:rsidRDefault="008B27DB" w:rsidP="000214F3">
          <w:pPr>
            <w:spacing w:before="240" w:line="240" w:lineRule="exact"/>
            <w:rPr>
              <w:rFonts w:ascii="Times New Roman"/>
            </w:rPr>
          </w:pPr>
        </w:p>
        <w:p w:rsidR="008B27DB" w:rsidRDefault="008B27DB" w:rsidP="000214F3">
          <w:pPr>
            <w:spacing w:line="240" w:lineRule="exact"/>
            <w:rPr>
              <w:rFonts w:ascii="Times New Roman"/>
            </w:rPr>
          </w:pPr>
          <w:r>
            <w:rPr>
              <w:rFonts w:ascii="Times New Roman" w:hint="eastAsia"/>
            </w:rPr>
            <w:t>29</w:t>
          </w:r>
          <w:r>
            <w:rPr>
              <w:rFonts w:ascii="Times New Roman"/>
            </w:rPr>
            <w:t xml:space="preserve"> July 2005</w:t>
          </w:r>
        </w:p>
        <w:p w:rsidR="008B27DB" w:rsidRDefault="008B27DB" w:rsidP="000214F3">
          <w:pPr>
            <w:spacing w:line="240" w:lineRule="exact"/>
            <w:rPr>
              <w:rFonts w:ascii="Times New Roman"/>
            </w:rPr>
          </w:pPr>
          <w:r>
            <w:rPr>
              <w:rFonts w:ascii="Times New Roman"/>
            </w:rPr>
            <w:t>Chinese</w:t>
          </w:r>
        </w:p>
        <w:p w:rsidR="008B27DB" w:rsidRPr="000214F3" w:rsidRDefault="008B27DB" w:rsidP="000214F3">
          <w:pPr>
            <w:spacing w:line="240" w:lineRule="exact"/>
            <w:rPr>
              <w:rFonts w:ascii="Times New Roman"/>
            </w:rPr>
          </w:pPr>
          <w:r>
            <w:rPr>
              <w:rFonts w:ascii="Times New Roman"/>
            </w:rPr>
            <w:t>Original: English</w:t>
          </w:r>
        </w:p>
      </w:tc>
    </w:tr>
  </w:tbl>
  <w:p w:rsidR="008B27DB" w:rsidRPr="000214F3" w:rsidRDefault="008B27DB" w:rsidP="000214F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105"/>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5837*"/>
    <w:docVar w:name="CreationDt" w:val="11/10/2005  11:17 AM"/>
    <w:docVar w:name="DocCategory" w:val="PlainDoc"/>
    <w:docVar w:name="DocType" w:val="Final"/>
    <w:docVar w:name="FooterJN" w:val="05-45837"/>
    <w:docVar w:name="jobn" w:val="05-45837 (C)"/>
    <w:docVar w:name="jobnDT" w:val="05-45837 (C)   111005"/>
    <w:docVar w:name="jobnDTDT" w:val="05-45837 (C)   111005   111005"/>
    <w:docVar w:name="JobNo" w:val="0545837C"/>
    <w:docVar w:name="OandT" w:val=" "/>
    <w:docVar w:name="sss1" w:val="CEDAW/C/MKD/Q/1-3"/>
    <w:docVar w:name="sss2" w:val="-"/>
    <w:docVar w:name="Symbol1" w:val="CEDAW/C/MKD/Q/1-3"/>
    <w:docVar w:name="Symbol2" w:val="-"/>
  </w:docVars>
  <w:rsids>
    <w:rsidRoot w:val="003F255E"/>
    <w:rsid w:val="000214F3"/>
    <w:rsid w:val="00023D5F"/>
    <w:rsid w:val="00026A91"/>
    <w:rsid w:val="00026F65"/>
    <w:rsid w:val="0002745F"/>
    <w:rsid w:val="00046EF2"/>
    <w:rsid w:val="00076EC9"/>
    <w:rsid w:val="000B291B"/>
    <w:rsid w:val="000C393E"/>
    <w:rsid w:val="00112EF7"/>
    <w:rsid w:val="00133A5D"/>
    <w:rsid w:val="00144AFB"/>
    <w:rsid w:val="00152D54"/>
    <w:rsid w:val="0017240D"/>
    <w:rsid w:val="00190BD9"/>
    <w:rsid w:val="001A63C0"/>
    <w:rsid w:val="001A7CE0"/>
    <w:rsid w:val="001E072E"/>
    <w:rsid w:val="001E5ABA"/>
    <w:rsid w:val="0021648C"/>
    <w:rsid w:val="0021751C"/>
    <w:rsid w:val="0022680E"/>
    <w:rsid w:val="00233412"/>
    <w:rsid w:val="002A450F"/>
    <w:rsid w:val="002A6D16"/>
    <w:rsid w:val="002D3573"/>
    <w:rsid w:val="002D7BBC"/>
    <w:rsid w:val="002E3BE1"/>
    <w:rsid w:val="002F4CB0"/>
    <w:rsid w:val="00307578"/>
    <w:rsid w:val="003418C9"/>
    <w:rsid w:val="00351A36"/>
    <w:rsid w:val="00352C53"/>
    <w:rsid w:val="00363CCF"/>
    <w:rsid w:val="003843AB"/>
    <w:rsid w:val="00391736"/>
    <w:rsid w:val="003A76FE"/>
    <w:rsid w:val="003D7A77"/>
    <w:rsid w:val="003F255E"/>
    <w:rsid w:val="003F751A"/>
    <w:rsid w:val="0040101A"/>
    <w:rsid w:val="004103D4"/>
    <w:rsid w:val="00415126"/>
    <w:rsid w:val="00424845"/>
    <w:rsid w:val="004624E1"/>
    <w:rsid w:val="004A3FC3"/>
    <w:rsid w:val="004A56DD"/>
    <w:rsid w:val="004B4FAD"/>
    <w:rsid w:val="004C3DCE"/>
    <w:rsid w:val="004D3CA0"/>
    <w:rsid w:val="00500CBF"/>
    <w:rsid w:val="00501EC4"/>
    <w:rsid w:val="005060E9"/>
    <w:rsid w:val="00537EB9"/>
    <w:rsid w:val="00582D1F"/>
    <w:rsid w:val="005A0A7A"/>
    <w:rsid w:val="005A2FE6"/>
    <w:rsid w:val="005B034E"/>
    <w:rsid w:val="005B1859"/>
    <w:rsid w:val="00602A74"/>
    <w:rsid w:val="006220F7"/>
    <w:rsid w:val="006352D1"/>
    <w:rsid w:val="00641B56"/>
    <w:rsid w:val="006714D6"/>
    <w:rsid w:val="00684C45"/>
    <w:rsid w:val="00695B26"/>
    <w:rsid w:val="006C4492"/>
    <w:rsid w:val="006C5503"/>
    <w:rsid w:val="006C552C"/>
    <w:rsid w:val="006E2E62"/>
    <w:rsid w:val="006F02B4"/>
    <w:rsid w:val="007312AB"/>
    <w:rsid w:val="007750E5"/>
    <w:rsid w:val="0077746D"/>
    <w:rsid w:val="007964E1"/>
    <w:rsid w:val="007C40E1"/>
    <w:rsid w:val="007F4F33"/>
    <w:rsid w:val="00801C8C"/>
    <w:rsid w:val="00802393"/>
    <w:rsid w:val="00810877"/>
    <w:rsid w:val="00850A6F"/>
    <w:rsid w:val="008526BE"/>
    <w:rsid w:val="00866B26"/>
    <w:rsid w:val="008B27DB"/>
    <w:rsid w:val="008C3BA7"/>
    <w:rsid w:val="00967238"/>
    <w:rsid w:val="0097639B"/>
    <w:rsid w:val="00986FA4"/>
    <w:rsid w:val="009A6AFE"/>
    <w:rsid w:val="009B235E"/>
    <w:rsid w:val="009B73F9"/>
    <w:rsid w:val="009C0AA2"/>
    <w:rsid w:val="009E487C"/>
    <w:rsid w:val="009F6254"/>
    <w:rsid w:val="00A17327"/>
    <w:rsid w:val="00A55A9A"/>
    <w:rsid w:val="00A83A44"/>
    <w:rsid w:val="00A87A1C"/>
    <w:rsid w:val="00A90B7C"/>
    <w:rsid w:val="00A90F80"/>
    <w:rsid w:val="00A974AB"/>
    <w:rsid w:val="00AA5945"/>
    <w:rsid w:val="00AF5E35"/>
    <w:rsid w:val="00B01DF6"/>
    <w:rsid w:val="00B032F6"/>
    <w:rsid w:val="00B34BB0"/>
    <w:rsid w:val="00B4329B"/>
    <w:rsid w:val="00B92C99"/>
    <w:rsid w:val="00BA5E50"/>
    <w:rsid w:val="00BD043D"/>
    <w:rsid w:val="00C07AE2"/>
    <w:rsid w:val="00C20338"/>
    <w:rsid w:val="00C23B4F"/>
    <w:rsid w:val="00C44E5A"/>
    <w:rsid w:val="00C651C0"/>
    <w:rsid w:val="00C7089F"/>
    <w:rsid w:val="00C81E57"/>
    <w:rsid w:val="00CA5FAB"/>
    <w:rsid w:val="00CC7FFB"/>
    <w:rsid w:val="00CD24E0"/>
    <w:rsid w:val="00D666C8"/>
    <w:rsid w:val="00D92ACF"/>
    <w:rsid w:val="00DA3890"/>
    <w:rsid w:val="00DB7B6F"/>
    <w:rsid w:val="00DB7D3A"/>
    <w:rsid w:val="00DD0052"/>
    <w:rsid w:val="00DE5E8B"/>
    <w:rsid w:val="00E03604"/>
    <w:rsid w:val="00E72BC6"/>
    <w:rsid w:val="00E7447F"/>
    <w:rsid w:val="00E7747D"/>
    <w:rsid w:val="00ED5F79"/>
    <w:rsid w:val="00EF27D5"/>
    <w:rsid w:val="00F0309E"/>
    <w:rsid w:val="00F11092"/>
    <w:rsid w:val="00F54AAE"/>
    <w:rsid w:val="00F64460"/>
    <w:rsid w:val="00F82C65"/>
    <w:rsid w:val="00FA1FA8"/>
    <w:rsid w:val="00FC498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C40E1"/>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rsid w:val="007C40E1"/>
    <w:pPr>
      <w:keepNext/>
      <w:keepLines/>
      <w:suppressAutoHyphens/>
      <w:spacing w:before="60" w:after="180"/>
      <w:outlineLvl w:val="0"/>
    </w:pPr>
    <w:rPr>
      <w:rFonts w:ascii="SimHei" w:eastAsia="SimHei"/>
      <w:color w:val="FF0000"/>
      <w:sz w:val="24"/>
    </w:rPr>
  </w:style>
  <w:style w:type="paragraph" w:customStyle="1" w:styleId="HCh">
    <w:name w:val="_ H _Ch"/>
    <w:basedOn w:val="H1"/>
    <w:next w:val="SingleTxt"/>
    <w:rsid w:val="007C40E1"/>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rsid w:val="007C40E1"/>
    <w:pPr>
      <w:spacing w:before="60" w:after="180"/>
      <w:outlineLvl w:val="1"/>
    </w:pPr>
    <w:rPr>
      <w:rFonts w:ascii="SimHei" w:eastAsia="SimHei"/>
      <w:color w:val="FF0000"/>
      <w:spacing w:val="2"/>
    </w:rPr>
  </w:style>
  <w:style w:type="paragraph" w:customStyle="1" w:styleId="H4">
    <w:name w:val="_ H_4"/>
    <w:basedOn w:val="Normal"/>
    <w:next w:val="Normal"/>
    <w:rsid w:val="007C40E1"/>
    <w:pPr>
      <w:keepNext/>
      <w:keepLines/>
      <w:tabs>
        <w:tab w:val="left" w:pos="431"/>
      </w:tabs>
      <w:suppressAutoHyphens/>
      <w:spacing w:after="140"/>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rsid w:val="007C40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rsid w:val="00F82C65"/>
    <w:pPr>
      <w:tabs>
        <w:tab w:val="right" w:leader="dot" w:pos="360"/>
      </w:tabs>
      <w:spacing w:after="0"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rsid w:val="001E072E"/>
    <w:pPr>
      <w:tabs>
        <w:tab w:val="center" w:pos="4320"/>
        <w:tab w:val="right" w:pos="8640"/>
      </w:tabs>
      <w:jc w:val="both"/>
    </w:pPr>
    <w:rPr>
      <w:b/>
      <w:noProof/>
      <w:sz w:val="18"/>
      <w:szCs w:val="18"/>
      <w:lang w:val="en-US" w:eastAsia="zh-CN"/>
    </w:rPr>
  </w:style>
  <w:style w:type="paragraph" w:styleId="CommentText">
    <w:name w:val="annotation text"/>
    <w:basedOn w:val="Normal"/>
    <w:semiHidden/>
    <w:rsid w:val="000214F3"/>
  </w:style>
  <w:style w:type="paragraph" w:styleId="CommentSubject">
    <w:name w:val="annotation subject"/>
    <w:basedOn w:val="CommentText"/>
    <w:next w:val="CommentText"/>
    <w:semiHidden/>
    <w:rsid w:val="000214F3"/>
    <w:rPr>
      <w:b/>
      <w:bCs/>
    </w:rPr>
  </w:style>
  <w:style w:type="paragraph" w:styleId="BalloonText">
    <w:name w:val="Balloon Text"/>
    <w:basedOn w:val="Normal"/>
    <w:semiHidden/>
    <w:rsid w:val="000214F3"/>
    <w:rPr>
      <w:sz w:val="16"/>
      <w:szCs w:val="16"/>
    </w:rPr>
  </w:style>
  <w:style w:type="character" w:styleId="Hyperlink">
    <w:name w:val="Hyperlink"/>
    <w:rsid w:val="008B27DB"/>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51</TotalTime>
  <Pages>3</Pages>
  <Words>640</Words>
  <Characters>3653</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DGACM</dc:creator>
  <cp:keywords/>
  <dc:description/>
  <cp:lastModifiedBy>Suobao.Zhang</cp:lastModifiedBy>
  <cp:revision>40</cp:revision>
  <cp:lastPrinted>2005-10-12T07:49:00Z</cp:lastPrinted>
  <dcterms:created xsi:type="dcterms:W3CDTF">2005-10-11T09:17:00Z</dcterms:created>
  <dcterms:modified xsi:type="dcterms:W3CDTF">2005-10-12T07:54:00Z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0545837</vt:lpwstr>
  </property>
  <property fmtid="{D5CDD505-2E9C-101B-9397-08002B2CF9AE}" pid="3" name="Symbol1">
    <vt:lpwstr>CEDAW/C/MKD/Q/1-3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