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F38B7" w:rsidRPr="000F38B7" w:rsidTr="008767D2">
        <w:trPr>
          <w:trHeight w:hRule="exact" w:val="851"/>
        </w:trPr>
        <w:tc>
          <w:tcPr>
            <w:tcW w:w="1276" w:type="dxa"/>
            <w:tcBorders>
              <w:bottom w:val="single" w:sz="4" w:space="0" w:color="auto"/>
            </w:tcBorders>
          </w:tcPr>
          <w:p w:rsidR="000F38B7" w:rsidRPr="000F38B7" w:rsidRDefault="000F38B7" w:rsidP="000F38B7"/>
        </w:tc>
        <w:tc>
          <w:tcPr>
            <w:tcW w:w="2268" w:type="dxa"/>
            <w:tcBorders>
              <w:bottom w:val="single" w:sz="4" w:space="0" w:color="auto"/>
            </w:tcBorders>
            <w:vAlign w:val="bottom"/>
          </w:tcPr>
          <w:p w:rsidR="000F38B7" w:rsidRPr="000F38B7" w:rsidRDefault="000F38B7" w:rsidP="000F38B7">
            <w:pPr>
              <w:spacing w:after="80" w:line="300" w:lineRule="exact"/>
              <w:rPr>
                <w:sz w:val="28"/>
              </w:rPr>
            </w:pPr>
            <w:r w:rsidRPr="000F38B7">
              <w:rPr>
                <w:sz w:val="28"/>
              </w:rPr>
              <w:t>Nations Unies</w:t>
            </w:r>
          </w:p>
        </w:tc>
        <w:tc>
          <w:tcPr>
            <w:tcW w:w="6095" w:type="dxa"/>
            <w:gridSpan w:val="2"/>
            <w:tcBorders>
              <w:bottom w:val="single" w:sz="4" w:space="0" w:color="auto"/>
            </w:tcBorders>
            <w:vAlign w:val="bottom"/>
          </w:tcPr>
          <w:p w:rsidR="000F38B7" w:rsidRPr="000F38B7" w:rsidRDefault="00517076" w:rsidP="00517076">
            <w:pPr>
              <w:jc w:val="right"/>
            </w:pPr>
            <w:r w:rsidRPr="00517076">
              <w:rPr>
                <w:sz w:val="40"/>
              </w:rPr>
              <w:t>CEDAW</w:t>
            </w:r>
            <w:r>
              <w:t>/C/SYC/Q/1-5</w:t>
            </w:r>
          </w:p>
        </w:tc>
      </w:tr>
      <w:tr w:rsidR="000F38B7" w:rsidRPr="000F38B7" w:rsidTr="000F38B7">
        <w:trPr>
          <w:trHeight w:hRule="exact" w:val="2835"/>
        </w:trPr>
        <w:tc>
          <w:tcPr>
            <w:tcW w:w="1276" w:type="dxa"/>
            <w:tcBorders>
              <w:top w:val="single" w:sz="4" w:space="0" w:color="auto"/>
              <w:bottom w:val="single" w:sz="12" w:space="0" w:color="auto"/>
            </w:tcBorders>
          </w:tcPr>
          <w:p w:rsidR="000F38B7" w:rsidRPr="000F38B7" w:rsidRDefault="000F38B7" w:rsidP="000F38B7">
            <w:pPr>
              <w:spacing w:before="120"/>
              <w:jc w:val="center"/>
            </w:pPr>
            <w:r w:rsidRPr="000F38B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F38B7" w:rsidRPr="000F38B7" w:rsidRDefault="000F38B7" w:rsidP="000F38B7">
            <w:pPr>
              <w:spacing w:before="120" w:line="380" w:lineRule="exact"/>
              <w:rPr>
                <w:b/>
                <w:sz w:val="34"/>
                <w:szCs w:val="34"/>
              </w:rPr>
            </w:pPr>
            <w:r w:rsidRPr="000F38B7">
              <w:rPr>
                <w:b/>
                <w:sz w:val="34"/>
                <w:szCs w:val="34"/>
              </w:rPr>
              <w:t>Convention sur l</w:t>
            </w:r>
            <w:r w:rsidR="00CF3A66">
              <w:rPr>
                <w:b/>
                <w:sz w:val="34"/>
                <w:szCs w:val="34"/>
              </w:rPr>
              <w:t>’</w:t>
            </w:r>
            <w:r w:rsidRPr="000F38B7">
              <w:rPr>
                <w:b/>
                <w:sz w:val="34"/>
                <w:szCs w:val="34"/>
              </w:rPr>
              <w:t>élimination</w:t>
            </w:r>
            <w:r>
              <w:rPr>
                <w:b/>
                <w:sz w:val="34"/>
                <w:szCs w:val="34"/>
              </w:rPr>
              <w:br/>
            </w:r>
            <w:r w:rsidRPr="000F38B7">
              <w:rPr>
                <w:b/>
                <w:sz w:val="34"/>
                <w:szCs w:val="34"/>
              </w:rPr>
              <w:t>de toutes les formes</w:t>
            </w:r>
            <w:r>
              <w:rPr>
                <w:b/>
                <w:sz w:val="34"/>
                <w:szCs w:val="34"/>
              </w:rPr>
              <w:br/>
            </w:r>
            <w:r w:rsidRPr="000F38B7">
              <w:rPr>
                <w:b/>
                <w:sz w:val="34"/>
                <w:szCs w:val="34"/>
              </w:rPr>
              <w:t>de discrimination</w:t>
            </w:r>
            <w:r>
              <w:rPr>
                <w:b/>
                <w:sz w:val="34"/>
                <w:szCs w:val="34"/>
              </w:rPr>
              <w:t xml:space="preserve"> </w:t>
            </w:r>
            <w:r w:rsidRPr="000F38B7">
              <w:rPr>
                <w:b/>
                <w:sz w:val="34"/>
                <w:szCs w:val="34"/>
              </w:rPr>
              <w:t>à l</w:t>
            </w:r>
            <w:r w:rsidR="00CF3A66">
              <w:rPr>
                <w:b/>
                <w:sz w:val="34"/>
                <w:szCs w:val="34"/>
              </w:rPr>
              <w:t>’</w:t>
            </w:r>
            <w:r w:rsidRPr="000F38B7">
              <w:rPr>
                <w:b/>
                <w:sz w:val="34"/>
                <w:szCs w:val="34"/>
              </w:rPr>
              <w:t>égard</w:t>
            </w:r>
            <w:r>
              <w:rPr>
                <w:b/>
                <w:sz w:val="34"/>
                <w:szCs w:val="34"/>
              </w:rPr>
              <w:br/>
            </w:r>
            <w:r w:rsidRPr="000F38B7">
              <w:rPr>
                <w:b/>
                <w:sz w:val="34"/>
                <w:szCs w:val="34"/>
              </w:rPr>
              <w:t>des femmes</w:t>
            </w:r>
          </w:p>
        </w:tc>
        <w:tc>
          <w:tcPr>
            <w:tcW w:w="2835" w:type="dxa"/>
            <w:tcBorders>
              <w:top w:val="single" w:sz="4" w:space="0" w:color="auto"/>
              <w:bottom w:val="single" w:sz="12" w:space="0" w:color="auto"/>
            </w:tcBorders>
          </w:tcPr>
          <w:p w:rsidR="00517076" w:rsidRDefault="00517076" w:rsidP="000F38B7">
            <w:pPr>
              <w:spacing w:before="240"/>
            </w:pPr>
            <w:r>
              <w:t>Distr. générale</w:t>
            </w:r>
          </w:p>
          <w:p w:rsidR="00517076" w:rsidRDefault="00517076" w:rsidP="00517076">
            <w:pPr>
              <w:spacing w:line="240" w:lineRule="exact"/>
            </w:pPr>
            <w:r>
              <w:t>19 mars 2013</w:t>
            </w:r>
          </w:p>
          <w:p w:rsidR="00517076" w:rsidRDefault="00517076" w:rsidP="00517076">
            <w:pPr>
              <w:spacing w:line="240" w:lineRule="exact"/>
            </w:pPr>
            <w:r>
              <w:t>Français</w:t>
            </w:r>
          </w:p>
          <w:p w:rsidR="000F38B7" w:rsidRPr="000F38B7" w:rsidRDefault="00517076" w:rsidP="00517076">
            <w:pPr>
              <w:spacing w:line="240" w:lineRule="exact"/>
            </w:pPr>
            <w:r>
              <w:t>Original: anglais</w:t>
            </w:r>
          </w:p>
        </w:tc>
      </w:tr>
    </w:tbl>
    <w:p w:rsidR="008767D2" w:rsidRPr="008767D2" w:rsidRDefault="008767D2" w:rsidP="00F83FFC">
      <w:pPr>
        <w:suppressAutoHyphens w:val="0"/>
        <w:spacing w:before="120"/>
        <w:rPr>
          <w:b/>
          <w:sz w:val="24"/>
          <w:szCs w:val="24"/>
        </w:rPr>
      </w:pPr>
      <w:r w:rsidRPr="008767D2">
        <w:rPr>
          <w:b/>
          <w:sz w:val="24"/>
          <w:szCs w:val="24"/>
        </w:rPr>
        <w:t>Comité pour l</w:t>
      </w:r>
      <w:r w:rsidR="00CF3A66">
        <w:rPr>
          <w:b/>
          <w:sz w:val="24"/>
          <w:szCs w:val="24"/>
        </w:rPr>
        <w:t>’</w:t>
      </w:r>
      <w:r w:rsidRPr="008767D2">
        <w:rPr>
          <w:b/>
          <w:sz w:val="24"/>
          <w:szCs w:val="24"/>
        </w:rPr>
        <w:t>é</w:t>
      </w:r>
      <w:r>
        <w:rPr>
          <w:b/>
          <w:sz w:val="24"/>
          <w:szCs w:val="24"/>
        </w:rPr>
        <w:t>limination de la discrimination</w:t>
      </w:r>
      <w:r>
        <w:rPr>
          <w:b/>
          <w:sz w:val="24"/>
          <w:szCs w:val="24"/>
        </w:rPr>
        <w:br/>
      </w:r>
      <w:r w:rsidRPr="008767D2">
        <w:rPr>
          <w:b/>
          <w:sz w:val="24"/>
          <w:szCs w:val="24"/>
        </w:rPr>
        <w:t>à l</w:t>
      </w:r>
      <w:r w:rsidR="00CF3A66">
        <w:rPr>
          <w:b/>
          <w:sz w:val="24"/>
          <w:szCs w:val="24"/>
        </w:rPr>
        <w:t>’</w:t>
      </w:r>
      <w:r w:rsidRPr="008767D2">
        <w:rPr>
          <w:b/>
          <w:sz w:val="24"/>
          <w:szCs w:val="24"/>
        </w:rPr>
        <w:t>égard des femmes</w:t>
      </w:r>
    </w:p>
    <w:p w:rsidR="008767D2" w:rsidRDefault="008767D2" w:rsidP="008767D2">
      <w:pPr>
        <w:suppressAutoHyphens w:val="0"/>
        <w:rPr>
          <w:b/>
        </w:rPr>
      </w:pPr>
      <w:r>
        <w:rPr>
          <w:b/>
        </w:rPr>
        <w:t>Cinquante-sixième session</w:t>
      </w:r>
    </w:p>
    <w:p w:rsidR="008767D2" w:rsidRDefault="008767D2" w:rsidP="008767D2">
      <w:pPr>
        <w:suppressAutoHyphens w:val="0"/>
      </w:pPr>
      <w:r>
        <w:t>30 septembre-18 octobre 2013</w:t>
      </w:r>
    </w:p>
    <w:p w:rsidR="008767D2" w:rsidRDefault="008767D2" w:rsidP="008767D2">
      <w:pPr>
        <w:suppressAutoHyphens w:val="0"/>
      </w:pPr>
      <w:r>
        <w:t>Point 4 de l</w:t>
      </w:r>
      <w:r w:rsidR="00CF3A66">
        <w:t>’</w:t>
      </w:r>
      <w:r>
        <w:t>ordre du jour provisoire</w:t>
      </w:r>
    </w:p>
    <w:p w:rsidR="008767D2" w:rsidRDefault="008767D2" w:rsidP="008767D2">
      <w:pPr>
        <w:suppressAutoHyphens w:val="0"/>
      </w:pPr>
      <w:r w:rsidRPr="00C72760">
        <w:rPr>
          <w:b/>
        </w:rPr>
        <w:t xml:space="preserve">Examen des rapports </w:t>
      </w:r>
      <w:r>
        <w:rPr>
          <w:b/>
        </w:rPr>
        <w:t>soumis</w:t>
      </w:r>
      <w:r w:rsidRPr="00C72760">
        <w:rPr>
          <w:b/>
        </w:rPr>
        <w:t xml:space="preserve"> par les É</w:t>
      </w:r>
      <w:r>
        <w:rPr>
          <w:b/>
        </w:rPr>
        <w:t>tats parties</w:t>
      </w:r>
      <w:r>
        <w:rPr>
          <w:b/>
        </w:rPr>
        <w:br/>
      </w:r>
      <w:r w:rsidRPr="00C72760">
        <w:rPr>
          <w:b/>
        </w:rPr>
        <w:t>en application de l</w:t>
      </w:r>
      <w:r w:rsidR="00CF3A66">
        <w:rPr>
          <w:b/>
        </w:rPr>
        <w:t>’</w:t>
      </w:r>
      <w:r>
        <w:rPr>
          <w:b/>
        </w:rPr>
        <w:t>article 18 de la Convention</w:t>
      </w:r>
      <w:r>
        <w:rPr>
          <w:b/>
        </w:rPr>
        <w:br/>
      </w:r>
      <w:r w:rsidRPr="00C72760">
        <w:rPr>
          <w:b/>
        </w:rPr>
        <w:t>sur l</w:t>
      </w:r>
      <w:r w:rsidR="00CF3A66">
        <w:rPr>
          <w:b/>
        </w:rPr>
        <w:t>’</w:t>
      </w:r>
      <w:r w:rsidRPr="00C72760">
        <w:rPr>
          <w:b/>
        </w:rPr>
        <w:t>élimination de tout</w:t>
      </w:r>
      <w:r w:rsidR="007F37F6">
        <w:rPr>
          <w:b/>
        </w:rPr>
        <w:t>es les formes</w:t>
      </w:r>
      <w:r w:rsidR="007F37F6">
        <w:rPr>
          <w:b/>
        </w:rPr>
        <w:br/>
      </w:r>
      <w:r>
        <w:rPr>
          <w:b/>
        </w:rPr>
        <w:t>de discrimination</w:t>
      </w:r>
      <w:r w:rsidR="007F37F6">
        <w:rPr>
          <w:b/>
        </w:rPr>
        <w:t xml:space="preserve"> </w:t>
      </w:r>
      <w:r w:rsidRPr="00C72760">
        <w:rPr>
          <w:b/>
        </w:rPr>
        <w:t>à l</w:t>
      </w:r>
      <w:r w:rsidR="00CF3A66">
        <w:rPr>
          <w:b/>
        </w:rPr>
        <w:t>’</w:t>
      </w:r>
      <w:r w:rsidRPr="00C72760">
        <w:rPr>
          <w:b/>
        </w:rPr>
        <w:t>égard des femmes</w:t>
      </w:r>
    </w:p>
    <w:p w:rsidR="008767D2" w:rsidRDefault="008767D2" w:rsidP="008767D2">
      <w:pPr>
        <w:pStyle w:val="HChG"/>
      </w:pPr>
      <w:r>
        <w:tab/>
      </w:r>
      <w:r>
        <w:tab/>
        <w:t>Liste des points relatifs à l</w:t>
      </w:r>
      <w:r w:rsidR="00CF3A66">
        <w:t>’</w:t>
      </w:r>
      <w:r>
        <w:t>examen</w:t>
      </w:r>
      <w:r w:rsidR="007F37F6">
        <w:t xml:space="preserve"> des premier</w:t>
      </w:r>
      <w:r w:rsidR="007F37F6">
        <w:br/>
      </w:r>
      <w:r>
        <w:t>à cinquième rapports périodiques</w:t>
      </w:r>
      <w:r w:rsidR="007F37F6">
        <w:t xml:space="preserve"> des Seychelles</w:t>
      </w:r>
      <w:r w:rsidR="007F37F6">
        <w:br/>
        <w:t xml:space="preserve">soumis </w:t>
      </w:r>
      <w:r>
        <w:t>en un seul document</w:t>
      </w:r>
    </w:p>
    <w:p w:rsidR="008767D2" w:rsidRDefault="008767D2" w:rsidP="008767D2">
      <w:pPr>
        <w:pStyle w:val="H1G"/>
      </w:pPr>
      <w:r>
        <w:tab/>
      </w:r>
      <w:r>
        <w:tab/>
        <w:t>Note du Comité</w:t>
      </w:r>
    </w:p>
    <w:p w:rsidR="008767D2" w:rsidRDefault="008767D2" w:rsidP="008767D2">
      <w:pPr>
        <w:pStyle w:val="SingleTxtG"/>
        <w:ind w:firstLine="567"/>
      </w:pPr>
      <w:r>
        <w:t>Le Groupe de travail de présession a examiné les premier à cinquième rapp</w:t>
      </w:r>
      <w:r w:rsidR="00CF3A66">
        <w:t>orts périodiques des Seychelles</w:t>
      </w:r>
      <w:r>
        <w:t xml:space="preserve"> soumis en seul document (CEDAW/C/SYC/1-5).</w:t>
      </w:r>
    </w:p>
    <w:p w:rsidR="008767D2" w:rsidRDefault="008767D2" w:rsidP="001E7ACF">
      <w:pPr>
        <w:pStyle w:val="H1G"/>
      </w:pPr>
      <w:r>
        <w:tab/>
      </w:r>
      <w:r>
        <w:tab/>
        <w:t>Question d</w:t>
      </w:r>
      <w:r w:rsidR="00CF3A66">
        <w:t>’</w:t>
      </w:r>
      <w:r>
        <w:t>ordre général</w:t>
      </w:r>
    </w:p>
    <w:p w:rsidR="008767D2" w:rsidRDefault="008767D2" w:rsidP="008767D2">
      <w:pPr>
        <w:pStyle w:val="SingleTxtG"/>
      </w:pPr>
      <w:r>
        <w:t>1.</w:t>
      </w:r>
      <w:r>
        <w:tab/>
        <w:t>Au paragraphe 40</w:t>
      </w:r>
      <w:r>
        <w:rPr>
          <w:rStyle w:val="FootnoteReference"/>
        </w:rPr>
        <w:footnoteReference w:id="2"/>
      </w:r>
      <w:r>
        <w:t xml:space="preserve"> est signalé un déficit de données fiables systématiques ventilées par sexe dans le domaine des «possibilités» que sont le budget, les affaires, le commerce, la macroéconomie, l</w:t>
      </w:r>
      <w:r w:rsidR="00CF3A66">
        <w:t>’</w:t>
      </w:r>
      <w:r>
        <w:t>emploi, l</w:t>
      </w:r>
      <w:r w:rsidR="00CF3A66">
        <w:t>’</w:t>
      </w:r>
      <w:r>
        <w:t>agriculture et la justice, déficit particulièrement prononcé dans le domaine des «vulnérabilités» où les données ventilées sur la pauvreté, l</w:t>
      </w:r>
      <w:r w:rsidR="00CF3A66">
        <w:t>’</w:t>
      </w:r>
      <w:r>
        <w:t>exclusion sociale, la violence domestique et la délinquance sont les plus insuffisantes. Indiquer les mesures envisagées pour prévoir la collecte et l</w:t>
      </w:r>
      <w:r w:rsidR="00CF3A66">
        <w:t>’</w:t>
      </w:r>
      <w:r>
        <w:t>analyse régulières de données ventilées par sexe relatives aux domaines couverts par la Convention dans lesquels elles font défaut.</w:t>
      </w:r>
    </w:p>
    <w:p w:rsidR="008767D2" w:rsidRDefault="008767D2" w:rsidP="001E7ACF">
      <w:pPr>
        <w:pStyle w:val="H1G"/>
      </w:pPr>
      <w:r>
        <w:tab/>
      </w:r>
      <w:r>
        <w:tab/>
        <w:t>Cadre constitutionnel, législatif et institutionnel</w:t>
      </w:r>
    </w:p>
    <w:p w:rsidR="008767D2" w:rsidRDefault="008767D2" w:rsidP="008767D2">
      <w:pPr>
        <w:pStyle w:val="SingleTxtG"/>
      </w:pPr>
      <w:r>
        <w:t>2.</w:t>
      </w:r>
      <w:r>
        <w:tab/>
        <w:t>Indiquer si la Convention est directement applicable par les cours et tribunaux de justice. Indiquer si les dispositions consacrées par la Convention sont systématiquement intégrées dans les programmes de formation des juges, des procureurs et des avocats, des policiers et d</w:t>
      </w:r>
      <w:r w:rsidR="00CF3A66">
        <w:t>’</w:t>
      </w:r>
      <w:r>
        <w:t>autres agents de la force publique.</w:t>
      </w:r>
    </w:p>
    <w:p w:rsidR="008767D2" w:rsidRDefault="008767D2" w:rsidP="001E7ACF">
      <w:pPr>
        <w:pStyle w:val="H1G"/>
      </w:pPr>
      <w:r>
        <w:tab/>
      </w:r>
      <w:r>
        <w:tab/>
        <w:t>Accès à la justice</w:t>
      </w:r>
    </w:p>
    <w:p w:rsidR="008767D2" w:rsidRDefault="00CF3A66" w:rsidP="008767D2">
      <w:pPr>
        <w:pStyle w:val="SingleTxtG"/>
      </w:pPr>
      <w:r>
        <w:t>3.</w:t>
      </w:r>
      <w:r>
        <w:tab/>
        <w:t>Il est indiqué au paragraphe </w:t>
      </w:r>
      <w:r w:rsidR="008767D2">
        <w:t>646 que les retards prolongés dans le traitement des affaires portées en justice figurent parmi les principales faiblesses du système judiciaire. Indiquer si l</w:t>
      </w:r>
      <w:r>
        <w:t>’</w:t>
      </w:r>
      <w:r w:rsidR="008767D2">
        <w:t>État partie envisage d</w:t>
      </w:r>
      <w:r>
        <w:t>’</w:t>
      </w:r>
      <w:r w:rsidR="008767D2">
        <w:t>élaborer une politique garantissant l</w:t>
      </w:r>
      <w:r>
        <w:t>’</w:t>
      </w:r>
      <w:r w:rsidR="00B73746">
        <w:t>accès effectif des </w:t>
      </w:r>
      <w:r w:rsidR="008767D2">
        <w:t>femmes aux cours et tribunaux de justice, y compris pour les cas de violence sexiste et de violence domestique, ainsi que pour d</w:t>
      </w:r>
      <w:r>
        <w:t>’</w:t>
      </w:r>
      <w:r w:rsidR="008767D2">
        <w:t>autres formes de discrimination à l</w:t>
      </w:r>
      <w:r>
        <w:t>’</w:t>
      </w:r>
      <w:r w:rsidR="00B73746">
        <w:t>égard des </w:t>
      </w:r>
      <w:r w:rsidR="008767D2">
        <w:t>femmes.</w:t>
      </w:r>
    </w:p>
    <w:p w:rsidR="008767D2" w:rsidRDefault="008767D2" w:rsidP="001E7ACF">
      <w:pPr>
        <w:pStyle w:val="H1G"/>
      </w:pPr>
      <w:r>
        <w:tab/>
      </w:r>
      <w:r>
        <w:tab/>
        <w:t>Mécanismes nationaux de</w:t>
      </w:r>
      <w:r w:rsidR="007F37F6">
        <w:t xml:space="preserve"> </w:t>
      </w:r>
      <w:r>
        <w:t>promotion des droits de la femme</w:t>
      </w:r>
    </w:p>
    <w:p w:rsidR="008767D2" w:rsidRDefault="008767D2" w:rsidP="008767D2">
      <w:pPr>
        <w:pStyle w:val="SingleTxtG"/>
      </w:pPr>
      <w:r>
        <w:t>4.</w:t>
      </w:r>
      <w:r>
        <w:tab/>
        <w:t>Il est indiqué à l</w:t>
      </w:r>
      <w:r w:rsidR="00CF3A66">
        <w:t>’</w:t>
      </w:r>
      <w:r>
        <w:t>annexe V que les objectifs 2010-2011 du Plan d</w:t>
      </w:r>
      <w:r w:rsidR="00CF3A66">
        <w:t>’</w:t>
      </w:r>
      <w:r>
        <w:t xml:space="preserve">action adopté par </w:t>
      </w:r>
      <w:r w:rsidRPr="00C72760">
        <w:t>l</w:t>
      </w:r>
      <w:r w:rsidR="00CF3A66">
        <w:t>’</w:t>
      </w:r>
      <w:r w:rsidRPr="00C72760">
        <w:t>Équipe nationale de gestion des activités relatives à l</w:t>
      </w:r>
      <w:r w:rsidR="00CF3A66">
        <w:t>’</w:t>
      </w:r>
      <w:r w:rsidRPr="00C72760">
        <w:t>égalité des sexes</w:t>
      </w:r>
      <w:r>
        <w:t xml:space="preserve"> comprend l</w:t>
      </w:r>
      <w:r w:rsidR="00CF3A66">
        <w:t>’</w:t>
      </w:r>
      <w:r>
        <w:t>élaboration d</w:t>
      </w:r>
      <w:r w:rsidR="00CF3A66">
        <w:t>’</w:t>
      </w:r>
      <w:r>
        <w:t>une politique nationale pour l</w:t>
      </w:r>
      <w:r w:rsidR="00CF3A66">
        <w:t>’</w:t>
      </w:r>
      <w:r>
        <w:t>égalité des sexes. Indiquer les mesures qui ont été prises afin d</w:t>
      </w:r>
      <w:r w:rsidR="00CF3A66">
        <w:t>’</w:t>
      </w:r>
      <w:r>
        <w:t>accélérer l</w:t>
      </w:r>
      <w:r w:rsidR="00CF3A66">
        <w:t>’</w:t>
      </w:r>
      <w:r>
        <w:t>élaboration de cette politique et fournir le calendrier précis prévu pour son adoption et sa mise en œuvre. Indiquer également comment sont envisagées la coordination, la supervision et l</w:t>
      </w:r>
      <w:r w:rsidR="00CF3A66">
        <w:t>’</w:t>
      </w:r>
      <w:r>
        <w:t>évaluation de sa mise en œuvre.</w:t>
      </w:r>
    </w:p>
    <w:p w:rsidR="008767D2" w:rsidRDefault="008767D2" w:rsidP="008767D2">
      <w:pPr>
        <w:pStyle w:val="SingleTxtG"/>
      </w:pPr>
      <w:r>
        <w:t>5.</w:t>
      </w:r>
      <w:r>
        <w:tab/>
        <w:t xml:space="preserve">Il est indiqué au paragraphe 116 du rapport que le </w:t>
      </w:r>
      <w:r w:rsidRPr="00C72760">
        <w:t>Secrétariat à l</w:t>
      </w:r>
      <w:r w:rsidR="00CF3A66">
        <w:t>’</w:t>
      </w:r>
      <w:r w:rsidRPr="00C72760">
        <w:t>égalité des sexes</w:t>
      </w:r>
      <w:r w:rsidR="007F37F6">
        <w:t xml:space="preserve"> </w:t>
      </w:r>
      <w:r>
        <w:t>est composé de deux membres du personnel. Indiquer si l</w:t>
      </w:r>
      <w:r w:rsidR="00CF3A66">
        <w:t>’</w:t>
      </w:r>
      <w:r>
        <w:t>État partie envisage d</w:t>
      </w:r>
      <w:r w:rsidR="00CF3A66">
        <w:t>’</w:t>
      </w:r>
      <w:r>
        <w:t>en accroître les ressources humaines et financières. Indiquer également quel pourcentage du budget national est affecté aux mécanismes nationaux de promotion des droits des femmes et donner des</w:t>
      </w:r>
      <w:r w:rsidR="00730224">
        <w:t xml:space="preserve"> précisions sur la capacité du S</w:t>
      </w:r>
      <w:r>
        <w:t>ecrétariat à l</w:t>
      </w:r>
      <w:r w:rsidR="00CF3A66">
        <w:t>’</w:t>
      </w:r>
      <w:r>
        <w:t>égalité des sexes de collaborer avec différents ministères.</w:t>
      </w:r>
    </w:p>
    <w:p w:rsidR="008767D2" w:rsidRDefault="008767D2" w:rsidP="001E7ACF">
      <w:pPr>
        <w:pStyle w:val="H1G"/>
      </w:pPr>
      <w:r>
        <w:tab/>
      </w:r>
      <w:r>
        <w:tab/>
        <w:t>Mesures temporaires spéciales</w:t>
      </w:r>
    </w:p>
    <w:p w:rsidR="008767D2" w:rsidRDefault="008767D2" w:rsidP="008767D2">
      <w:pPr>
        <w:pStyle w:val="SingleTxtG"/>
      </w:pPr>
      <w:r>
        <w:t>6.</w:t>
      </w:r>
      <w:r>
        <w:tab/>
      </w:r>
      <w:r w:rsidR="00CF3A66">
        <w:t>Il est indiqué au paragraphe </w:t>
      </w:r>
      <w:r>
        <w:t>152 que l</w:t>
      </w:r>
      <w:r w:rsidR="00CF3A66">
        <w:t>’</w:t>
      </w:r>
      <w:r>
        <w:t>introduction de mesures temporaires spéciales en l</w:t>
      </w:r>
      <w:r w:rsidR="00CF3A66">
        <w:t>’</w:t>
      </w:r>
      <w:r>
        <w:t xml:space="preserve">absence de programmes de sensibilisation </w:t>
      </w:r>
      <w:r w:rsidR="000629FC">
        <w:t>et d</w:t>
      </w:r>
      <w:r w:rsidR="00CF3A66">
        <w:t>’</w:t>
      </w:r>
      <w:r w:rsidR="000629FC">
        <w:t xml:space="preserve">information </w:t>
      </w:r>
      <w:r>
        <w:t xml:space="preserve">peut être mal </w:t>
      </w:r>
      <w:r w:rsidR="000629FC">
        <w:t>accueillie</w:t>
      </w:r>
      <w:r>
        <w:t>. Indiquer si l</w:t>
      </w:r>
      <w:r w:rsidR="00CF3A66">
        <w:t>’</w:t>
      </w:r>
      <w:r>
        <w:t>État partie envisage de mener des programmes de sensibilisation en vue d</w:t>
      </w:r>
      <w:r w:rsidR="00CF3A66">
        <w:t>’</w:t>
      </w:r>
      <w:r>
        <w:t>adopter des mesures temporaires spéciales visant à accélérer la réalisation de l</w:t>
      </w:r>
      <w:r w:rsidR="00CF3A66">
        <w:t>’</w:t>
      </w:r>
      <w:r>
        <w:t>égalité de facto entre les femmes et les hommes.</w:t>
      </w:r>
    </w:p>
    <w:p w:rsidR="008767D2" w:rsidRDefault="008767D2" w:rsidP="001E7ACF">
      <w:pPr>
        <w:pStyle w:val="H1G"/>
      </w:pPr>
      <w:r>
        <w:tab/>
      </w:r>
      <w:r>
        <w:tab/>
        <w:t>Stéréotypes</w:t>
      </w:r>
    </w:p>
    <w:p w:rsidR="008767D2" w:rsidRDefault="00CF3A66" w:rsidP="008767D2">
      <w:pPr>
        <w:pStyle w:val="SingleTxtG"/>
      </w:pPr>
      <w:r>
        <w:t>7.</w:t>
      </w:r>
      <w:r>
        <w:tab/>
        <w:t>Il est indiqué au paragraphe </w:t>
      </w:r>
      <w:r w:rsidR="008767D2">
        <w:t>175 que le Gouvernement</w:t>
      </w:r>
      <w:r w:rsidR="007F37F6">
        <w:t xml:space="preserve"> </w:t>
      </w:r>
      <w:r w:rsidR="008767D2" w:rsidRPr="00C72760">
        <w:t>a pris des initiatives pour lutter contre les stéréotypes</w:t>
      </w:r>
      <w:r w:rsidR="008767D2">
        <w:t>. Indiquer si l</w:t>
      </w:r>
      <w:r>
        <w:t>’</w:t>
      </w:r>
      <w:r w:rsidR="008767D2">
        <w:t>État partie supervise la mise en œuvre de ces mesures et leurs incidences et indiquer s</w:t>
      </w:r>
      <w:r>
        <w:t>’</w:t>
      </w:r>
      <w:r w:rsidR="008767D2">
        <w:t xml:space="preserve">il envisage de renforcer les mesures visant à éliminer les stéréotypes </w:t>
      </w:r>
      <w:r w:rsidR="000629FC">
        <w:t xml:space="preserve">concernant les </w:t>
      </w:r>
      <w:r w:rsidR="008767D2">
        <w:t>rôles et responsabilités des femmes et des hommes au sein de la famille et de la société.</w:t>
      </w:r>
    </w:p>
    <w:p w:rsidR="008767D2" w:rsidRDefault="008767D2" w:rsidP="008767D2">
      <w:pPr>
        <w:pStyle w:val="H23G"/>
      </w:pPr>
      <w:r>
        <w:tab/>
      </w:r>
      <w:r>
        <w:tab/>
        <w:t>Violence à l</w:t>
      </w:r>
      <w:r w:rsidR="00CF3A66">
        <w:t>’</w:t>
      </w:r>
      <w:r>
        <w:t>égard des femmes</w:t>
      </w:r>
    </w:p>
    <w:p w:rsidR="008767D2" w:rsidRDefault="008767D2" w:rsidP="008767D2">
      <w:pPr>
        <w:pStyle w:val="SingleTxtG"/>
      </w:pPr>
      <w:r>
        <w:t>8.</w:t>
      </w:r>
      <w:r>
        <w:tab/>
        <w:t xml:space="preserve">Les informations </w:t>
      </w:r>
      <w:r w:rsidR="00D550AC">
        <w:t xml:space="preserve">soumises au </w:t>
      </w:r>
      <w:r>
        <w:t xml:space="preserve">Comité </w:t>
      </w:r>
      <w:r w:rsidR="00D550AC">
        <w:t xml:space="preserve">signalent la faiblesse du </w:t>
      </w:r>
      <w:r>
        <w:t>taux de</w:t>
      </w:r>
      <w:r w:rsidR="00D550AC">
        <w:t>s</w:t>
      </w:r>
      <w:r>
        <w:t xml:space="preserve"> condamnation</w:t>
      </w:r>
      <w:r w:rsidR="00D550AC">
        <w:t>s</w:t>
      </w:r>
      <w:r>
        <w:t xml:space="preserve"> </w:t>
      </w:r>
      <w:r w:rsidR="00D550AC">
        <w:t xml:space="preserve">pour </w:t>
      </w:r>
      <w:r>
        <w:t>viol. Fournir des informations détaillées sur la situation et les tendances actuelles en ce qui concerne la violence à l</w:t>
      </w:r>
      <w:r w:rsidR="00CF3A66">
        <w:t>’</w:t>
      </w:r>
      <w:r>
        <w:t xml:space="preserve">égard des femmes et des filles, </w:t>
      </w:r>
      <w:r w:rsidR="00D550AC">
        <w:t xml:space="preserve">notamment sur </w:t>
      </w:r>
      <w:r>
        <w:t xml:space="preserve">le viol, les sévices sexuels et la violence </w:t>
      </w:r>
      <w:r w:rsidR="00D550AC">
        <w:t>domestique</w:t>
      </w:r>
      <w:r>
        <w:t>, et fournir des données sur le nombre de cas de violence à l</w:t>
      </w:r>
      <w:r w:rsidR="00CF3A66">
        <w:t>’</w:t>
      </w:r>
      <w:r>
        <w:t xml:space="preserve">égard des femmes signalés à la police et portés en justice, </w:t>
      </w:r>
      <w:r w:rsidR="00D550AC">
        <w:t xml:space="preserve">sur </w:t>
      </w:r>
      <w:r>
        <w:t xml:space="preserve">le nombre de poursuites </w:t>
      </w:r>
      <w:r w:rsidR="00D550AC">
        <w:t xml:space="preserve">engagées </w:t>
      </w:r>
      <w:r>
        <w:t xml:space="preserve">et de condamnations </w:t>
      </w:r>
      <w:r w:rsidR="00D550AC">
        <w:t>prononcées pour cet acte</w:t>
      </w:r>
      <w:r>
        <w:t xml:space="preserve">, et </w:t>
      </w:r>
      <w:r w:rsidR="00D550AC">
        <w:t xml:space="preserve">sur les </w:t>
      </w:r>
      <w:r>
        <w:t>décisions</w:t>
      </w:r>
      <w:r w:rsidR="00D550AC">
        <w:t xml:space="preserve"> rendues</w:t>
      </w:r>
      <w:r>
        <w:t>. Indiquer si l</w:t>
      </w:r>
      <w:r w:rsidR="00CF3A66">
        <w:t>’</w:t>
      </w:r>
      <w:r>
        <w:t xml:space="preserve">État partie envisage </w:t>
      </w:r>
      <w:r w:rsidR="00D550AC">
        <w:t xml:space="preserve">de procéder à la </w:t>
      </w:r>
      <w:r>
        <w:t xml:space="preserve">collecte et </w:t>
      </w:r>
      <w:r w:rsidR="00D550AC">
        <w:t>à l</w:t>
      </w:r>
      <w:r w:rsidR="00CF3A66">
        <w:t>’</w:t>
      </w:r>
      <w:r>
        <w:t>analyse systématiques de données et d</w:t>
      </w:r>
      <w:r w:rsidR="00CF3A66">
        <w:t>’</w:t>
      </w:r>
      <w:r>
        <w:t xml:space="preserve">informations sur </w:t>
      </w:r>
      <w:r w:rsidR="00D550AC">
        <w:t xml:space="preserve">toutes </w:t>
      </w:r>
      <w:r>
        <w:t>les formes de violence à l</w:t>
      </w:r>
      <w:r w:rsidR="00CF3A66">
        <w:t>’</w:t>
      </w:r>
      <w:r>
        <w:t>égard des femmes. Donner également des informations sur la mise en œuvre du Plan d</w:t>
      </w:r>
      <w:r w:rsidR="00CF3A66">
        <w:t>’</w:t>
      </w:r>
      <w:r>
        <w:t>action national 2010-2011</w:t>
      </w:r>
      <w:r w:rsidR="00D550AC">
        <w:t xml:space="preserve"> </w:t>
      </w:r>
      <w:r>
        <w:t xml:space="preserve">visant à éliminer la violence sexiste et indiquer si un autre plan est envisagé pour les prochaines années. Fournir des informations détaillées sur les mesures prises </w:t>
      </w:r>
      <w:r w:rsidR="00D550AC">
        <w:t xml:space="preserve">ou </w:t>
      </w:r>
      <w:r>
        <w:t>envisagées pour: a) </w:t>
      </w:r>
      <w:r w:rsidR="00D550AC">
        <w:t xml:space="preserve">promulguer </w:t>
      </w:r>
      <w:r>
        <w:t>une loi sur la violence à l</w:t>
      </w:r>
      <w:r w:rsidR="00CF3A66">
        <w:t>’</w:t>
      </w:r>
      <w:r>
        <w:t xml:space="preserve">égard des femmes; b) encourager les femmes à </w:t>
      </w:r>
      <w:r w:rsidR="00D550AC">
        <w:t xml:space="preserve">dénoncer </w:t>
      </w:r>
      <w:r>
        <w:t>les actes de violence; c) </w:t>
      </w:r>
      <w:r w:rsidR="00D550AC">
        <w:t>veiller à ce que les auteurs soient poursuivis et condamnés</w:t>
      </w:r>
      <w:r>
        <w:t xml:space="preserve">; d) fournir aux victimes des moyens de protection, </w:t>
      </w:r>
      <w:r w:rsidR="006C3B34">
        <w:t>de </w:t>
      </w:r>
      <w:r>
        <w:t xml:space="preserve">recours et </w:t>
      </w:r>
      <w:r w:rsidR="00D550AC">
        <w:t xml:space="preserve">de </w:t>
      </w:r>
      <w:r>
        <w:t>réadaptation ainsi qu</w:t>
      </w:r>
      <w:r w:rsidR="00CF3A66">
        <w:t>’</w:t>
      </w:r>
      <w:r w:rsidR="00D550AC">
        <w:t>un soutien médico-</w:t>
      </w:r>
      <w:r>
        <w:t>psy</w:t>
      </w:r>
      <w:r w:rsidR="006C3B34">
        <w:t xml:space="preserve">chologique; e) lutter contre la stigmatisation des victimes; et </w:t>
      </w:r>
      <w:r>
        <w:t>f) mener des programmes d</w:t>
      </w:r>
      <w:r w:rsidR="006C3B34">
        <w:t>e renforcement des capacités et </w:t>
      </w:r>
      <w:r>
        <w:t>de sensibilisation du personnel judiciaire, de la police et d</w:t>
      </w:r>
      <w:r w:rsidR="00CF3A66">
        <w:t>’</w:t>
      </w:r>
      <w:r>
        <w:t>autres agents de la force publique, des avocats, des agents de santé et des travaill</w:t>
      </w:r>
      <w:r w:rsidR="006C3B34">
        <w:t>eurs sociaux ainsi que du grand </w:t>
      </w:r>
      <w:r>
        <w:t>public.</w:t>
      </w:r>
    </w:p>
    <w:p w:rsidR="008767D2" w:rsidRDefault="008767D2" w:rsidP="008767D2">
      <w:pPr>
        <w:pStyle w:val="SingleTxtG"/>
      </w:pPr>
      <w:r>
        <w:t>9.</w:t>
      </w:r>
      <w:r>
        <w:tab/>
        <w:t>I</w:t>
      </w:r>
      <w:r w:rsidR="006C3B34">
        <w:t>l est indiqué au paragraphe 691</w:t>
      </w:r>
      <w:r>
        <w:t xml:space="preserve"> que la loi </w:t>
      </w:r>
      <w:r w:rsidRPr="00C72760">
        <w:t>ne reconnaît pas la violence domestique comme étant une infraction pénale. Indiquer</w:t>
      </w:r>
      <w:r>
        <w:t xml:space="preserve"> si l</w:t>
      </w:r>
      <w:r w:rsidR="00CF3A66">
        <w:t>’</w:t>
      </w:r>
      <w:r>
        <w:t>État partie envisage de modifier la loi afin d</w:t>
      </w:r>
      <w:r w:rsidR="00CF3A66">
        <w:t>’</w:t>
      </w:r>
      <w:r>
        <w:t xml:space="preserve">ériger en infraction la violence domestique. Donner également des informations sur la supervision et la mise en œuvre de la </w:t>
      </w:r>
      <w:r w:rsidRPr="00C72760">
        <w:t>Stratégie nationale de lutte contre la violence domestique (2008-2012)</w:t>
      </w:r>
      <w:r>
        <w:t xml:space="preserve"> et indiquer les mesures </w:t>
      </w:r>
      <w:r w:rsidR="00D550AC">
        <w:t xml:space="preserve">visant à </w:t>
      </w:r>
      <w:r>
        <w:t xml:space="preserve">garantir et promouvoir sa mise en œuvre effective (par. 71). Indiquer en outre les mesures </w:t>
      </w:r>
      <w:r w:rsidR="00D550AC">
        <w:t xml:space="preserve">visant à </w:t>
      </w:r>
      <w:r>
        <w:t>fournir des moyens de recours et d</w:t>
      </w:r>
      <w:r w:rsidR="00CF3A66">
        <w:t>’</w:t>
      </w:r>
      <w:r>
        <w:t>assistance, notamment des abris, ainsi que des services de conseil</w:t>
      </w:r>
      <w:r w:rsidR="00730224">
        <w:t>s</w:t>
      </w:r>
      <w:r>
        <w:t xml:space="preserve"> et de réadaptation à toutes les victimes de </w:t>
      </w:r>
      <w:r w:rsidR="00D550AC">
        <w:t xml:space="preserve">la </w:t>
      </w:r>
      <w:r>
        <w:t>violence domestique.</w:t>
      </w:r>
    </w:p>
    <w:p w:rsidR="008767D2" w:rsidRDefault="008767D2" w:rsidP="001E7ACF">
      <w:pPr>
        <w:pStyle w:val="H1G"/>
      </w:pPr>
      <w:r>
        <w:tab/>
      </w:r>
      <w:r>
        <w:tab/>
        <w:t>Traite de personnes et exploitation de la prostitution</w:t>
      </w:r>
    </w:p>
    <w:p w:rsidR="008767D2" w:rsidRDefault="006C3B34" w:rsidP="008767D2">
      <w:pPr>
        <w:pStyle w:val="SingleTxtG"/>
        <w:rPr>
          <w:rFonts w:eastAsia="MS Mincho"/>
        </w:rPr>
      </w:pPr>
      <w:r>
        <w:t>10.</w:t>
      </w:r>
      <w:r>
        <w:tab/>
        <w:t xml:space="preserve">Il est indiqué au </w:t>
      </w:r>
      <w:r w:rsidR="008767D2">
        <w:t xml:space="preserve">paragraphe 196 que les </w:t>
      </w:r>
      <w:r w:rsidR="00D550AC">
        <w:t xml:space="preserve">infractions </w:t>
      </w:r>
      <w:r w:rsidR="008767D2">
        <w:t>ci-</w:t>
      </w:r>
      <w:r>
        <w:t>après sont puni</w:t>
      </w:r>
      <w:r w:rsidR="007F37F6">
        <w:t>e</w:t>
      </w:r>
      <w:r>
        <w:t>s par la loi: la </w:t>
      </w:r>
      <w:r w:rsidR="008767D2">
        <w:t xml:space="preserve">détention forcée, </w:t>
      </w:r>
      <w:r w:rsidR="00D550AC">
        <w:t>l</w:t>
      </w:r>
      <w:r w:rsidR="00CF3A66">
        <w:t>’</w:t>
      </w:r>
      <w:r w:rsidR="00D550AC">
        <w:t>enlèvement</w:t>
      </w:r>
      <w:r w:rsidR="008767D2">
        <w:t xml:space="preserve"> de femmes, l</w:t>
      </w:r>
      <w:r w:rsidR="00CF3A66">
        <w:t>’</w:t>
      </w:r>
      <w:r w:rsidR="008767D2">
        <w:t>exploitation d</w:t>
      </w:r>
      <w:r w:rsidR="00CF3A66">
        <w:t>’</w:t>
      </w:r>
      <w:r w:rsidR="008767D2">
        <w:t>une maison de prostitution et le proxénétisme. Indiquer si l</w:t>
      </w:r>
      <w:r w:rsidR="00CF3A66">
        <w:t>’</w:t>
      </w:r>
      <w:r w:rsidR="008767D2">
        <w:rPr>
          <w:rFonts w:eastAsia="MS Mincho"/>
        </w:rPr>
        <w:t>État partie envisage de mener une étude d</w:t>
      </w:r>
      <w:r w:rsidR="00CF3A66">
        <w:rPr>
          <w:rFonts w:eastAsia="MS Mincho"/>
        </w:rPr>
        <w:t>’</w:t>
      </w:r>
      <w:r w:rsidR="00D550AC">
        <w:rPr>
          <w:rFonts w:eastAsia="MS Mincho"/>
        </w:rPr>
        <w:t>enquête</w:t>
      </w:r>
      <w:r w:rsidR="008767D2">
        <w:rPr>
          <w:rFonts w:eastAsia="MS Mincho"/>
        </w:rPr>
        <w:t xml:space="preserve"> sur l</w:t>
      </w:r>
      <w:r w:rsidR="00CF3A66">
        <w:rPr>
          <w:rFonts w:eastAsia="MS Mincho"/>
        </w:rPr>
        <w:t>’</w:t>
      </w:r>
      <w:r w:rsidR="008767D2">
        <w:rPr>
          <w:rFonts w:eastAsia="MS Mincho"/>
        </w:rPr>
        <w:t>ampleur, la porté</w:t>
      </w:r>
      <w:r w:rsidR="00D550AC">
        <w:rPr>
          <w:rFonts w:eastAsia="MS Mincho"/>
        </w:rPr>
        <w:t>e et les causes de la traite de personnes, en particulier de femmes et de</w:t>
      </w:r>
      <w:r>
        <w:rPr>
          <w:rFonts w:eastAsia="MS Mincho"/>
        </w:rPr>
        <w:t> </w:t>
      </w:r>
      <w:r w:rsidR="008767D2">
        <w:rPr>
          <w:rFonts w:eastAsia="MS Mincho"/>
        </w:rPr>
        <w:t>filles, notamment par le biais de la collecte et de l</w:t>
      </w:r>
      <w:r w:rsidR="00CF3A66">
        <w:rPr>
          <w:rFonts w:eastAsia="MS Mincho"/>
        </w:rPr>
        <w:t>’</w:t>
      </w:r>
      <w:r w:rsidR="008767D2">
        <w:rPr>
          <w:rFonts w:eastAsia="MS Mincho"/>
        </w:rPr>
        <w:t>analys</w:t>
      </w:r>
      <w:r>
        <w:rPr>
          <w:rFonts w:eastAsia="MS Mincho"/>
        </w:rPr>
        <w:t>e de données se rapportant à la </w:t>
      </w:r>
      <w:r w:rsidR="008767D2">
        <w:rPr>
          <w:rFonts w:eastAsia="MS Mincho"/>
        </w:rPr>
        <w:t>traite des femmes. Indiquer également si l</w:t>
      </w:r>
      <w:r w:rsidR="00CF3A66">
        <w:rPr>
          <w:rFonts w:eastAsia="MS Mincho"/>
        </w:rPr>
        <w:t>’</w:t>
      </w:r>
      <w:r w:rsidR="008767D2" w:rsidRPr="00B2178D">
        <w:rPr>
          <w:rFonts w:eastAsia="MS Mincho"/>
        </w:rPr>
        <w:t>État partie</w:t>
      </w:r>
      <w:r w:rsidR="008767D2">
        <w:rPr>
          <w:rFonts w:eastAsia="MS Mincho"/>
        </w:rPr>
        <w:t xml:space="preserve"> envisage d</w:t>
      </w:r>
      <w:r w:rsidR="00D550AC">
        <w:rPr>
          <w:rFonts w:eastAsia="MS Mincho"/>
        </w:rPr>
        <w:t xml:space="preserve">e promulguer </w:t>
      </w:r>
      <w:r>
        <w:rPr>
          <w:rFonts w:eastAsia="MS Mincho"/>
        </w:rPr>
        <w:t>une loi et </w:t>
      </w:r>
      <w:r w:rsidR="008767D2">
        <w:rPr>
          <w:rFonts w:eastAsia="MS Mincho"/>
        </w:rPr>
        <w:t>de mettre au point une stratégie visant à remédier à la traite et à l</w:t>
      </w:r>
      <w:r w:rsidR="00CF3A66">
        <w:rPr>
          <w:rFonts w:eastAsia="MS Mincho"/>
        </w:rPr>
        <w:t>’</w:t>
      </w:r>
      <w:r>
        <w:rPr>
          <w:rFonts w:eastAsia="MS Mincho"/>
        </w:rPr>
        <w:t>exploitation des êtres </w:t>
      </w:r>
      <w:r w:rsidR="008767D2">
        <w:rPr>
          <w:rFonts w:eastAsia="MS Mincho"/>
        </w:rPr>
        <w:t>humains.</w:t>
      </w:r>
    </w:p>
    <w:p w:rsidR="008767D2" w:rsidRDefault="008767D2" w:rsidP="008767D2">
      <w:pPr>
        <w:pStyle w:val="SingleTxtG"/>
        <w:rPr>
          <w:rFonts w:eastAsia="MS Mincho"/>
        </w:rPr>
      </w:pPr>
      <w:r>
        <w:rPr>
          <w:rFonts w:eastAsia="MS Mincho"/>
        </w:rPr>
        <w:t>11.</w:t>
      </w:r>
      <w:r>
        <w:rPr>
          <w:rFonts w:eastAsia="MS Mincho"/>
        </w:rPr>
        <w:tab/>
        <w:t>Le paragraphe</w:t>
      </w:r>
      <w:r w:rsidR="006C3B34">
        <w:rPr>
          <w:rFonts w:eastAsia="MS Mincho"/>
        </w:rPr>
        <w:t> </w:t>
      </w:r>
      <w:r w:rsidR="00D550AC">
        <w:rPr>
          <w:rFonts w:eastAsia="MS Mincho"/>
        </w:rPr>
        <w:t xml:space="preserve">194 du rapport fait référence </w:t>
      </w:r>
      <w:r>
        <w:rPr>
          <w:rFonts w:eastAsia="MS Mincho"/>
        </w:rPr>
        <w:t xml:space="preserve">au </w:t>
      </w:r>
      <w:r w:rsidRPr="00C72760">
        <w:rPr>
          <w:rFonts w:eastAsia="MS Mincho"/>
        </w:rPr>
        <w:t>Plan d</w:t>
      </w:r>
      <w:r w:rsidR="00CF3A66">
        <w:rPr>
          <w:rFonts w:eastAsia="MS Mincho"/>
        </w:rPr>
        <w:t>’</w:t>
      </w:r>
      <w:r w:rsidRPr="00C72760">
        <w:rPr>
          <w:rFonts w:eastAsia="MS Mincho"/>
        </w:rPr>
        <w:t>action contre les maux de la société</w:t>
      </w:r>
      <w:r>
        <w:rPr>
          <w:rFonts w:eastAsia="MS Mincho"/>
        </w:rPr>
        <w:t xml:space="preserve"> qui contient une étude sur la prostitution, </w:t>
      </w:r>
      <w:r w:rsidR="00D550AC">
        <w:rPr>
          <w:rFonts w:eastAsia="MS Mincho"/>
        </w:rPr>
        <w:t xml:space="preserve">un examen </w:t>
      </w:r>
      <w:r>
        <w:rPr>
          <w:rFonts w:eastAsia="MS Mincho"/>
        </w:rPr>
        <w:t xml:space="preserve">des lois et </w:t>
      </w:r>
      <w:r w:rsidR="00D550AC">
        <w:rPr>
          <w:rFonts w:eastAsia="MS Mincho"/>
        </w:rPr>
        <w:t xml:space="preserve">de </w:t>
      </w:r>
      <w:r>
        <w:rPr>
          <w:rFonts w:eastAsia="MS Mincho"/>
        </w:rPr>
        <w:t>la formation de</w:t>
      </w:r>
      <w:r w:rsidR="00D550AC">
        <w:rPr>
          <w:rFonts w:eastAsia="MS Mincho"/>
        </w:rPr>
        <w:t>s agents de l</w:t>
      </w:r>
      <w:r w:rsidR="00CF3A66">
        <w:rPr>
          <w:rFonts w:eastAsia="MS Mincho"/>
        </w:rPr>
        <w:t>’</w:t>
      </w:r>
      <w:r w:rsidR="00D550AC">
        <w:rPr>
          <w:rFonts w:eastAsia="MS Mincho"/>
        </w:rPr>
        <w:t xml:space="preserve">application des lois, </w:t>
      </w:r>
      <w:r>
        <w:rPr>
          <w:rFonts w:eastAsia="MS Mincho"/>
        </w:rPr>
        <w:t>des programmes éducatifs et des service</w:t>
      </w:r>
      <w:r w:rsidR="00D550AC">
        <w:rPr>
          <w:rFonts w:eastAsia="MS Mincho"/>
        </w:rPr>
        <w:t>s</w:t>
      </w:r>
      <w:r>
        <w:rPr>
          <w:rFonts w:eastAsia="MS Mincho"/>
        </w:rPr>
        <w:t xml:space="preserve"> de réadaptation. Donner des informations sur l</w:t>
      </w:r>
      <w:r w:rsidR="00CF3A66">
        <w:rPr>
          <w:rFonts w:eastAsia="MS Mincho"/>
        </w:rPr>
        <w:t>’</w:t>
      </w:r>
      <w:r>
        <w:rPr>
          <w:rFonts w:eastAsia="MS Mincho"/>
        </w:rPr>
        <w:t>état d</w:t>
      </w:r>
      <w:r w:rsidR="00CF3A66">
        <w:rPr>
          <w:rFonts w:eastAsia="MS Mincho"/>
        </w:rPr>
        <w:t>’</w:t>
      </w:r>
      <w:r>
        <w:rPr>
          <w:rFonts w:eastAsia="MS Mincho"/>
        </w:rPr>
        <w:t>avancement de la mise en œuvre de ce plan d</w:t>
      </w:r>
      <w:r w:rsidR="00CF3A66">
        <w:rPr>
          <w:rFonts w:eastAsia="MS Mincho"/>
        </w:rPr>
        <w:t>’</w:t>
      </w:r>
      <w:r>
        <w:rPr>
          <w:rFonts w:eastAsia="MS Mincho"/>
        </w:rPr>
        <w:t>action et indiquer si l</w:t>
      </w:r>
      <w:r w:rsidR="00CF3A66">
        <w:rPr>
          <w:rFonts w:eastAsia="MS Mincho"/>
        </w:rPr>
        <w:t>’</w:t>
      </w:r>
      <w:r>
        <w:rPr>
          <w:rFonts w:eastAsia="MS Mincho"/>
        </w:rPr>
        <w:t xml:space="preserve">étude </w:t>
      </w:r>
      <w:r w:rsidR="00D550AC">
        <w:rPr>
          <w:rFonts w:eastAsia="MS Mincho"/>
        </w:rPr>
        <w:t xml:space="preserve">examine </w:t>
      </w:r>
      <w:r>
        <w:rPr>
          <w:rFonts w:eastAsia="MS Mincho"/>
        </w:rPr>
        <w:t>la portée, l</w:t>
      </w:r>
      <w:r w:rsidR="00CF3A66">
        <w:rPr>
          <w:rFonts w:eastAsia="MS Mincho"/>
        </w:rPr>
        <w:t>’</w:t>
      </w:r>
      <w:r>
        <w:rPr>
          <w:rFonts w:eastAsia="MS Mincho"/>
        </w:rPr>
        <w:t>étendue et les causes de la prostitution. Fournir également des informations détaillées sur les mesures prises pour dissuade</w:t>
      </w:r>
      <w:r w:rsidR="00D550AC">
        <w:rPr>
          <w:rFonts w:eastAsia="MS Mincho"/>
        </w:rPr>
        <w:t>r la demande de prostitution, y </w:t>
      </w:r>
      <w:r>
        <w:rPr>
          <w:rFonts w:eastAsia="MS Mincho"/>
        </w:rPr>
        <w:t xml:space="preserve">compris le tourisme sexuel, et pour mettre en place des programmes de </w:t>
      </w:r>
      <w:r w:rsidR="00D550AC">
        <w:rPr>
          <w:rFonts w:eastAsia="MS Mincho"/>
        </w:rPr>
        <w:t xml:space="preserve">sortie de </w:t>
      </w:r>
      <w:r>
        <w:rPr>
          <w:rFonts w:eastAsia="MS Mincho"/>
        </w:rPr>
        <w:t xml:space="preserve">prostitution, ainsi que des mesures de réadaptation et de réinsertion </w:t>
      </w:r>
      <w:r w:rsidR="00730224">
        <w:rPr>
          <w:rFonts w:eastAsia="MS Mincho"/>
        </w:rPr>
        <w:t>des</w:t>
      </w:r>
      <w:r>
        <w:rPr>
          <w:rFonts w:eastAsia="MS Mincho"/>
        </w:rPr>
        <w:t xml:space="preserve"> femmes impliquées dans la prostitution.</w:t>
      </w:r>
    </w:p>
    <w:p w:rsidR="008767D2" w:rsidRDefault="008767D2" w:rsidP="008767D2">
      <w:pPr>
        <w:pStyle w:val="SingleTxtG"/>
        <w:rPr>
          <w:rFonts w:eastAsia="MS Mincho"/>
        </w:rPr>
      </w:pPr>
      <w:r>
        <w:rPr>
          <w:rFonts w:eastAsia="MS Mincho"/>
        </w:rPr>
        <w:t>12.</w:t>
      </w:r>
      <w:r>
        <w:rPr>
          <w:rFonts w:eastAsia="MS Mincho"/>
        </w:rPr>
        <w:tab/>
        <w:t xml:space="preserve">Indiquer les mesures </w:t>
      </w:r>
      <w:r w:rsidR="00D550AC">
        <w:rPr>
          <w:rFonts w:eastAsia="MS Mincho"/>
        </w:rPr>
        <w:t xml:space="preserve">qui sont </w:t>
      </w:r>
      <w:r>
        <w:rPr>
          <w:rFonts w:eastAsia="MS Mincho"/>
        </w:rPr>
        <w:t xml:space="preserve">prises pour évaluer le risque que courent les femmes et les filles qui se livrent à des activités </w:t>
      </w:r>
      <w:r w:rsidR="00D550AC">
        <w:rPr>
          <w:rFonts w:eastAsia="MS Mincho"/>
        </w:rPr>
        <w:t xml:space="preserve">liées </w:t>
      </w:r>
      <w:r>
        <w:rPr>
          <w:rFonts w:eastAsia="MS Mincho"/>
        </w:rPr>
        <w:t>au tourisme d</w:t>
      </w:r>
      <w:r w:rsidR="00CF3A66">
        <w:rPr>
          <w:rFonts w:eastAsia="MS Mincho"/>
        </w:rPr>
        <w:t>’</w:t>
      </w:r>
      <w:r>
        <w:rPr>
          <w:rFonts w:eastAsia="MS Mincho"/>
        </w:rPr>
        <w:t>être impliquées dans l</w:t>
      </w:r>
      <w:r w:rsidR="00CF3A66">
        <w:rPr>
          <w:rFonts w:eastAsia="MS Mincho"/>
        </w:rPr>
        <w:t>’</w:t>
      </w:r>
      <w:r>
        <w:rPr>
          <w:rFonts w:eastAsia="MS Mincho"/>
        </w:rPr>
        <w:t xml:space="preserve">exploitation sexuelle à des fins commerciales. Indiquer également les mesures </w:t>
      </w:r>
      <w:r w:rsidR="00D550AC">
        <w:rPr>
          <w:rFonts w:eastAsia="MS Mincho"/>
        </w:rPr>
        <w:t xml:space="preserve">qui sont </w:t>
      </w:r>
      <w:r>
        <w:rPr>
          <w:rFonts w:eastAsia="MS Mincho"/>
        </w:rPr>
        <w:t>prises pour prévenir et combattre l</w:t>
      </w:r>
      <w:r w:rsidR="00CF3A66">
        <w:rPr>
          <w:rFonts w:eastAsia="MS Mincho"/>
        </w:rPr>
        <w:t>’</w:t>
      </w:r>
      <w:r>
        <w:rPr>
          <w:rFonts w:eastAsia="MS Mincho"/>
        </w:rPr>
        <w:t>exploitation sexuelle des femmes et des filles et sensibiliser les acteurs directs de l</w:t>
      </w:r>
      <w:r w:rsidR="00CF3A66">
        <w:rPr>
          <w:rFonts w:eastAsia="MS Mincho"/>
        </w:rPr>
        <w:t>’</w:t>
      </w:r>
      <w:r>
        <w:rPr>
          <w:rFonts w:eastAsia="MS Mincho"/>
        </w:rPr>
        <w:t>industrie du tourisme (agences de voyage, hôtels, bars et restaurants).</w:t>
      </w:r>
    </w:p>
    <w:p w:rsidR="008767D2" w:rsidRPr="00A16723" w:rsidRDefault="008767D2" w:rsidP="001E7ACF">
      <w:pPr>
        <w:pStyle w:val="H1G"/>
        <w:rPr>
          <w:rFonts w:eastAsia="MS Mincho"/>
        </w:rPr>
      </w:pPr>
      <w:r>
        <w:rPr>
          <w:rFonts w:eastAsia="MS Mincho"/>
        </w:rPr>
        <w:tab/>
      </w:r>
      <w:r>
        <w:rPr>
          <w:rFonts w:eastAsia="MS Mincho"/>
        </w:rPr>
        <w:tab/>
      </w:r>
      <w:r w:rsidRPr="00A16723">
        <w:rPr>
          <w:rFonts w:eastAsia="MS Mincho"/>
        </w:rPr>
        <w:t>Participation politique et prise de décision</w:t>
      </w:r>
      <w:r w:rsidR="00483C14">
        <w:rPr>
          <w:rFonts w:eastAsia="MS Mincho"/>
        </w:rPr>
        <w:t>s</w:t>
      </w:r>
    </w:p>
    <w:p w:rsidR="008767D2" w:rsidRDefault="008767D2" w:rsidP="008767D2">
      <w:pPr>
        <w:pStyle w:val="SingleTxtG"/>
        <w:rPr>
          <w:rFonts w:eastAsia="MS Mincho"/>
        </w:rPr>
      </w:pPr>
      <w:r>
        <w:rPr>
          <w:rFonts w:eastAsia="MS Mincho"/>
        </w:rPr>
        <w:t>13.</w:t>
      </w:r>
      <w:r>
        <w:rPr>
          <w:rFonts w:eastAsia="MS Mincho"/>
        </w:rPr>
        <w:tab/>
        <w:t>La plupart des données fournies concernant la participation des femmes à la vie politique et à la vie publique et l</w:t>
      </w:r>
      <w:r w:rsidR="00CF3A66">
        <w:rPr>
          <w:rFonts w:eastAsia="MS Mincho"/>
        </w:rPr>
        <w:t>’</w:t>
      </w:r>
      <w:r>
        <w:rPr>
          <w:rFonts w:eastAsia="MS Mincho"/>
        </w:rPr>
        <w:t>accès des femmes aux postes de prise de décision</w:t>
      </w:r>
      <w:r w:rsidR="00D550AC">
        <w:rPr>
          <w:rFonts w:eastAsia="MS Mincho"/>
        </w:rPr>
        <w:t>s</w:t>
      </w:r>
      <w:r>
        <w:rPr>
          <w:rFonts w:eastAsia="MS Mincho"/>
        </w:rPr>
        <w:t xml:space="preserve"> </w:t>
      </w:r>
      <w:r w:rsidR="00D550AC">
        <w:rPr>
          <w:rFonts w:eastAsia="MS Mincho"/>
        </w:rPr>
        <w:t xml:space="preserve">sont antérieures à </w:t>
      </w:r>
      <w:r>
        <w:rPr>
          <w:rFonts w:eastAsia="MS Mincho"/>
        </w:rPr>
        <w:t xml:space="preserve">2009. Fournir des données actualisées </w:t>
      </w:r>
      <w:r w:rsidR="00D550AC">
        <w:rPr>
          <w:rFonts w:eastAsia="MS Mincho"/>
        </w:rPr>
        <w:t>sur cette participation</w:t>
      </w:r>
      <w:r>
        <w:rPr>
          <w:rFonts w:eastAsia="MS Mincho"/>
        </w:rPr>
        <w:t>, aux niveaux national et local.</w:t>
      </w:r>
    </w:p>
    <w:p w:rsidR="008767D2" w:rsidRPr="00A16723" w:rsidRDefault="008767D2" w:rsidP="001E7ACF">
      <w:pPr>
        <w:pStyle w:val="H1G"/>
        <w:rPr>
          <w:rFonts w:eastAsia="MS Mincho"/>
        </w:rPr>
      </w:pPr>
      <w:r>
        <w:rPr>
          <w:rFonts w:eastAsia="MS Mincho"/>
        </w:rPr>
        <w:tab/>
      </w:r>
      <w:r>
        <w:rPr>
          <w:rFonts w:eastAsia="MS Mincho"/>
        </w:rPr>
        <w:tab/>
      </w:r>
      <w:r w:rsidRPr="00A16723">
        <w:rPr>
          <w:rFonts w:eastAsia="MS Mincho"/>
        </w:rPr>
        <w:t>Éducation</w:t>
      </w:r>
    </w:p>
    <w:p w:rsidR="008767D2" w:rsidRDefault="008767D2" w:rsidP="008767D2">
      <w:pPr>
        <w:pStyle w:val="SingleTxtG"/>
        <w:rPr>
          <w:rFonts w:eastAsia="MS Mincho"/>
        </w:rPr>
      </w:pPr>
      <w:r>
        <w:rPr>
          <w:rFonts w:eastAsia="MS Mincho"/>
        </w:rPr>
        <w:t>14.</w:t>
      </w:r>
      <w:r>
        <w:rPr>
          <w:rFonts w:eastAsia="MS Mincho"/>
        </w:rPr>
        <w:tab/>
        <w:t xml:space="preserve">Il est indiqué au paragraphe 320 que les filles étant </w:t>
      </w:r>
      <w:r w:rsidR="00D550AC" w:rsidRPr="00771429">
        <w:rPr>
          <w:rFonts w:eastAsia="MS Mincho"/>
        </w:rPr>
        <w:t xml:space="preserve">traditionnellement </w:t>
      </w:r>
      <w:r>
        <w:rPr>
          <w:rFonts w:eastAsia="MS Mincho"/>
        </w:rPr>
        <w:t xml:space="preserve">scolarisées dans des écoles qui </w:t>
      </w:r>
      <w:r w:rsidR="00D550AC">
        <w:rPr>
          <w:rFonts w:eastAsia="MS Mincho"/>
        </w:rPr>
        <w:t xml:space="preserve">les </w:t>
      </w:r>
      <w:r>
        <w:rPr>
          <w:rFonts w:eastAsia="MS Mincho"/>
        </w:rPr>
        <w:t>préparent</w:t>
      </w:r>
      <w:r w:rsidR="007F37F6">
        <w:rPr>
          <w:rFonts w:eastAsia="MS Mincho"/>
        </w:rPr>
        <w:t xml:space="preserve"> </w:t>
      </w:r>
      <w:r>
        <w:rPr>
          <w:rFonts w:eastAsia="MS Mincho"/>
        </w:rPr>
        <w:t xml:space="preserve">à des </w:t>
      </w:r>
      <w:r w:rsidR="00D550AC">
        <w:rPr>
          <w:rFonts w:eastAsia="MS Mincho"/>
        </w:rPr>
        <w:t>professions «</w:t>
      </w:r>
      <w:r w:rsidRPr="00771429">
        <w:rPr>
          <w:rFonts w:eastAsia="MS Mincho"/>
        </w:rPr>
        <w:t>féminines</w:t>
      </w:r>
      <w:r w:rsidR="00D550AC">
        <w:rPr>
          <w:rFonts w:eastAsia="MS Mincho"/>
        </w:rPr>
        <w:t>»</w:t>
      </w:r>
      <w:r>
        <w:rPr>
          <w:rFonts w:eastAsia="MS Mincho"/>
        </w:rPr>
        <w:t>,</w:t>
      </w:r>
      <w:r w:rsidRPr="00771429">
        <w:rPr>
          <w:rFonts w:eastAsia="MS Mincho"/>
        </w:rPr>
        <w:t xml:space="preserve"> elles restent donc cantonnées </w:t>
      </w:r>
      <w:r>
        <w:rPr>
          <w:rFonts w:eastAsia="MS Mincho"/>
        </w:rPr>
        <w:t>à</w:t>
      </w:r>
      <w:r w:rsidR="00D550AC">
        <w:rPr>
          <w:rFonts w:eastAsia="MS Mincho"/>
        </w:rPr>
        <w:t xml:space="preserve"> un petit nombre </w:t>
      </w:r>
      <w:r>
        <w:rPr>
          <w:rFonts w:eastAsia="MS Mincho"/>
        </w:rPr>
        <w:t>de métiers de</w:t>
      </w:r>
      <w:r w:rsidRPr="00771429">
        <w:rPr>
          <w:rFonts w:eastAsia="MS Mincho"/>
        </w:rPr>
        <w:t xml:space="preserve"> soins</w:t>
      </w:r>
      <w:r w:rsidR="00D550AC">
        <w:rPr>
          <w:rFonts w:eastAsia="MS Mincho"/>
        </w:rPr>
        <w:t xml:space="preserve"> aux personnes</w:t>
      </w:r>
      <w:r w:rsidRPr="00771429">
        <w:rPr>
          <w:rFonts w:eastAsia="MS Mincho"/>
        </w:rPr>
        <w:t>. Donner</w:t>
      </w:r>
      <w:r>
        <w:rPr>
          <w:rFonts w:eastAsia="MS Mincho"/>
        </w:rPr>
        <w:t xml:space="preserve"> des informations sur les mesures prises </w:t>
      </w:r>
      <w:r w:rsidR="00D550AC">
        <w:rPr>
          <w:rFonts w:eastAsia="MS Mincho"/>
        </w:rPr>
        <w:t xml:space="preserve">ou </w:t>
      </w:r>
      <w:r>
        <w:rPr>
          <w:rFonts w:eastAsia="MS Mincho"/>
        </w:rPr>
        <w:t>envisagées afin d</w:t>
      </w:r>
      <w:r w:rsidR="00CF3A66">
        <w:rPr>
          <w:rFonts w:eastAsia="MS Mincho"/>
        </w:rPr>
        <w:t>’</w:t>
      </w:r>
      <w:r>
        <w:rPr>
          <w:rFonts w:eastAsia="MS Mincho"/>
        </w:rPr>
        <w:t>encourager les femmes et les hommes à choisir des disciplines de formation et d</w:t>
      </w:r>
      <w:r w:rsidR="00CF3A66">
        <w:rPr>
          <w:rFonts w:eastAsia="MS Mincho"/>
        </w:rPr>
        <w:t>’</w:t>
      </w:r>
      <w:r>
        <w:rPr>
          <w:rFonts w:eastAsia="MS Mincho"/>
        </w:rPr>
        <w:t>éducation non traditionnelles. Indiquer également si l</w:t>
      </w:r>
      <w:r w:rsidR="00CF3A66">
        <w:rPr>
          <w:rFonts w:eastAsia="MS Mincho"/>
        </w:rPr>
        <w:t>’</w:t>
      </w:r>
      <w:r w:rsidRPr="00C71EFC">
        <w:rPr>
          <w:rFonts w:eastAsia="MS Mincho"/>
        </w:rPr>
        <w:t>État partie</w:t>
      </w:r>
      <w:r>
        <w:rPr>
          <w:rFonts w:eastAsia="MS Mincho"/>
        </w:rPr>
        <w:t xml:space="preserve"> </w:t>
      </w:r>
      <w:r w:rsidR="00D550AC">
        <w:rPr>
          <w:rFonts w:eastAsia="MS Mincho"/>
        </w:rPr>
        <w:t xml:space="preserve">suit </w:t>
      </w:r>
      <w:r>
        <w:rPr>
          <w:rFonts w:eastAsia="MS Mincho"/>
        </w:rPr>
        <w:t xml:space="preserve">la mise en œuvre de la politique relative aux grossesses précoces visant à </w:t>
      </w:r>
      <w:r w:rsidR="00D550AC">
        <w:rPr>
          <w:rFonts w:eastAsia="MS Mincho"/>
        </w:rPr>
        <w:t xml:space="preserve">assurer </w:t>
      </w:r>
      <w:r>
        <w:rPr>
          <w:rFonts w:eastAsia="MS Mincho"/>
        </w:rPr>
        <w:t xml:space="preserve">la réintégration des mères adolescentes dans les écoles secondaires et </w:t>
      </w:r>
      <w:r w:rsidR="00CF3A66">
        <w:rPr>
          <w:rFonts w:eastAsia="MS Mincho"/>
        </w:rPr>
        <w:t xml:space="preserve">s’il a pris </w:t>
      </w:r>
      <w:r>
        <w:rPr>
          <w:rFonts w:eastAsia="MS Mincho"/>
        </w:rPr>
        <w:t xml:space="preserve">les mesures correctives nécessaires (par. 356). Fournir également des renseignements actualisés sur les mesures prises pour éliminer les attitudes stéréotypées </w:t>
      </w:r>
      <w:r w:rsidR="00CF3A66">
        <w:rPr>
          <w:rFonts w:eastAsia="MS Mincho"/>
        </w:rPr>
        <w:t xml:space="preserve">concernant les rôles </w:t>
      </w:r>
      <w:r>
        <w:rPr>
          <w:rFonts w:eastAsia="MS Mincho"/>
        </w:rPr>
        <w:t xml:space="preserve">et responsabilités des femmes et des hommes dans les </w:t>
      </w:r>
      <w:r w:rsidR="00CF3A66">
        <w:rPr>
          <w:rFonts w:eastAsia="MS Mincho"/>
        </w:rPr>
        <w:t xml:space="preserve">manuels et </w:t>
      </w:r>
      <w:r>
        <w:rPr>
          <w:rFonts w:eastAsia="MS Mincho"/>
        </w:rPr>
        <w:t xml:space="preserve">programmes scolaires et </w:t>
      </w:r>
      <w:r w:rsidR="00CF3A66">
        <w:rPr>
          <w:rFonts w:eastAsia="MS Mincho"/>
        </w:rPr>
        <w:t xml:space="preserve">les cours de </w:t>
      </w:r>
      <w:r>
        <w:rPr>
          <w:rFonts w:eastAsia="MS Mincho"/>
        </w:rPr>
        <w:t>formation des enseignants.</w:t>
      </w:r>
    </w:p>
    <w:p w:rsidR="008767D2" w:rsidRPr="00865ED5" w:rsidRDefault="008767D2" w:rsidP="001E7ACF">
      <w:pPr>
        <w:pStyle w:val="H1G"/>
        <w:rPr>
          <w:rFonts w:eastAsia="MS Mincho"/>
        </w:rPr>
      </w:pPr>
      <w:r>
        <w:rPr>
          <w:rFonts w:eastAsia="MS Mincho"/>
        </w:rPr>
        <w:tab/>
      </w:r>
      <w:r>
        <w:rPr>
          <w:rFonts w:eastAsia="MS Mincho"/>
        </w:rPr>
        <w:tab/>
      </w:r>
      <w:r w:rsidRPr="00865ED5">
        <w:rPr>
          <w:rFonts w:eastAsia="MS Mincho"/>
        </w:rPr>
        <w:t>Emploi</w:t>
      </w:r>
    </w:p>
    <w:p w:rsidR="008767D2" w:rsidRDefault="008767D2" w:rsidP="008767D2">
      <w:pPr>
        <w:pStyle w:val="SingleTxtG"/>
        <w:rPr>
          <w:rFonts w:eastAsia="MS Mincho"/>
        </w:rPr>
      </w:pPr>
      <w:r>
        <w:rPr>
          <w:rFonts w:eastAsia="MS Mincho"/>
        </w:rPr>
        <w:t>15.</w:t>
      </w:r>
      <w:r>
        <w:rPr>
          <w:rFonts w:eastAsia="MS Mincho"/>
        </w:rPr>
        <w:tab/>
        <w:t xml:space="preserve">Les paragraphes 376 et 377 </w:t>
      </w:r>
      <w:r w:rsidR="00CF3A66">
        <w:rPr>
          <w:rFonts w:eastAsia="MS Mincho"/>
        </w:rPr>
        <w:t xml:space="preserve">évoquent </w:t>
      </w:r>
      <w:r>
        <w:rPr>
          <w:rFonts w:eastAsia="MS Mincho"/>
        </w:rPr>
        <w:t>l</w:t>
      </w:r>
      <w:r w:rsidR="00CF3A66">
        <w:rPr>
          <w:rFonts w:eastAsia="MS Mincho"/>
        </w:rPr>
        <w:t>’</w:t>
      </w:r>
      <w:r>
        <w:rPr>
          <w:rFonts w:eastAsia="MS Mincho"/>
        </w:rPr>
        <w:t xml:space="preserve">absence de définition du harcèlement sexuel </w:t>
      </w:r>
      <w:r w:rsidR="00CF3A66">
        <w:rPr>
          <w:rFonts w:eastAsia="MS Mincho"/>
        </w:rPr>
        <w:t xml:space="preserve">du </w:t>
      </w:r>
      <w:r>
        <w:rPr>
          <w:rFonts w:eastAsia="MS Mincho"/>
        </w:rPr>
        <w:t>droit</w:t>
      </w:r>
      <w:r w:rsidR="00CF3A66">
        <w:rPr>
          <w:rFonts w:eastAsia="MS Mincho"/>
        </w:rPr>
        <w:t xml:space="preserve"> national</w:t>
      </w:r>
      <w:r>
        <w:rPr>
          <w:rFonts w:eastAsia="MS Mincho"/>
        </w:rPr>
        <w:t>. Indiquer si l</w:t>
      </w:r>
      <w:r w:rsidR="00CF3A66">
        <w:rPr>
          <w:rFonts w:eastAsia="MS Mincho"/>
        </w:rPr>
        <w:t>’</w:t>
      </w:r>
      <w:r w:rsidRPr="00FD50F8">
        <w:rPr>
          <w:rFonts w:eastAsia="MS Mincho"/>
        </w:rPr>
        <w:t>État partie</w:t>
      </w:r>
      <w:r>
        <w:rPr>
          <w:rFonts w:eastAsia="MS Mincho"/>
        </w:rPr>
        <w:t xml:space="preserve"> envisage d</w:t>
      </w:r>
      <w:r w:rsidR="00CF3A66">
        <w:rPr>
          <w:rFonts w:eastAsia="MS Mincho"/>
        </w:rPr>
        <w:t>’</w:t>
      </w:r>
      <w:r>
        <w:rPr>
          <w:rFonts w:eastAsia="MS Mincho"/>
        </w:rPr>
        <w:t xml:space="preserve">adopter des dispositions </w:t>
      </w:r>
      <w:r w:rsidR="00CF3A66">
        <w:rPr>
          <w:rFonts w:eastAsia="MS Mincho"/>
        </w:rPr>
        <w:t xml:space="preserve">légales </w:t>
      </w:r>
      <w:r>
        <w:rPr>
          <w:rFonts w:eastAsia="MS Mincho"/>
        </w:rPr>
        <w:t>spécifiques qui</w:t>
      </w:r>
      <w:r w:rsidR="00CF3A66">
        <w:rPr>
          <w:rFonts w:eastAsia="MS Mincho"/>
        </w:rPr>
        <w:t>: a) </w:t>
      </w:r>
      <w:r>
        <w:rPr>
          <w:rFonts w:eastAsia="MS Mincho"/>
        </w:rPr>
        <w:t>définissent et interdisent le harcèlement se</w:t>
      </w:r>
      <w:r w:rsidR="00CF3A66">
        <w:rPr>
          <w:rFonts w:eastAsia="MS Mincho"/>
        </w:rPr>
        <w:t>xuel sur le lieu du travail; b) </w:t>
      </w:r>
      <w:r>
        <w:rPr>
          <w:rFonts w:eastAsia="MS Mincho"/>
        </w:rPr>
        <w:t>exigent que les employeurs prennent des mesures pour pré</w:t>
      </w:r>
      <w:r w:rsidR="00CF3A66">
        <w:rPr>
          <w:rFonts w:eastAsia="MS Mincho"/>
        </w:rPr>
        <w:t>venir le harcèlement sexuel; c) </w:t>
      </w:r>
      <w:r>
        <w:rPr>
          <w:rFonts w:eastAsia="MS Mincho"/>
        </w:rPr>
        <w:t>prévoient des sanctions adéquates. Indiquer également si l</w:t>
      </w:r>
      <w:r w:rsidR="00CF3A66">
        <w:rPr>
          <w:rFonts w:eastAsia="MS Mincho"/>
        </w:rPr>
        <w:t>’</w:t>
      </w:r>
      <w:r w:rsidRPr="00630961">
        <w:rPr>
          <w:rFonts w:eastAsia="MS Mincho"/>
        </w:rPr>
        <w:t>État partie</w:t>
      </w:r>
      <w:r>
        <w:rPr>
          <w:rFonts w:eastAsia="MS Mincho"/>
        </w:rPr>
        <w:t xml:space="preserve"> envisage d</w:t>
      </w:r>
      <w:r w:rsidR="00CF3A66">
        <w:rPr>
          <w:rFonts w:eastAsia="MS Mincho"/>
        </w:rPr>
        <w:t>’</w:t>
      </w:r>
      <w:r>
        <w:rPr>
          <w:rFonts w:eastAsia="MS Mincho"/>
        </w:rPr>
        <w:t xml:space="preserve">adopter des dispositions juridiques qui comprennent </w:t>
      </w:r>
      <w:r w:rsidR="00CF3A66">
        <w:rPr>
          <w:rFonts w:eastAsia="MS Mincho"/>
        </w:rPr>
        <w:t xml:space="preserve">l’inversion </w:t>
      </w:r>
      <w:r>
        <w:rPr>
          <w:rFonts w:eastAsia="MS Mincho"/>
        </w:rPr>
        <w:t>ou l</w:t>
      </w:r>
      <w:r w:rsidR="00CF3A66">
        <w:rPr>
          <w:rFonts w:eastAsia="MS Mincho"/>
        </w:rPr>
        <w:t>’</w:t>
      </w:r>
      <w:r w:rsidR="00483C14">
        <w:rPr>
          <w:rFonts w:eastAsia="MS Mincho"/>
        </w:rPr>
        <w:t>allé</w:t>
      </w:r>
      <w:r>
        <w:rPr>
          <w:rFonts w:eastAsia="MS Mincho"/>
        </w:rPr>
        <w:t xml:space="preserve">gement de la charge de la preuve </w:t>
      </w:r>
      <w:r w:rsidR="00CF3A66">
        <w:rPr>
          <w:rFonts w:eastAsia="MS Mincho"/>
        </w:rPr>
        <w:t xml:space="preserve">en faveur des femmes </w:t>
      </w:r>
      <w:r>
        <w:rPr>
          <w:rFonts w:eastAsia="MS Mincho"/>
        </w:rPr>
        <w:t xml:space="preserve">dans </w:t>
      </w:r>
      <w:r w:rsidR="00CF3A66">
        <w:rPr>
          <w:rFonts w:eastAsia="MS Mincho"/>
        </w:rPr>
        <w:t>l</w:t>
      </w:r>
      <w:r>
        <w:rPr>
          <w:rFonts w:eastAsia="MS Mincho"/>
        </w:rPr>
        <w:t xml:space="preserve">es cas de discrimination </w:t>
      </w:r>
      <w:r w:rsidR="00CF3A66">
        <w:rPr>
          <w:rFonts w:eastAsia="MS Mincho"/>
        </w:rPr>
        <w:t>dans l’emploi, afin que les employeurs soient tenus d’expliquer</w:t>
      </w:r>
      <w:r>
        <w:rPr>
          <w:rFonts w:eastAsia="MS Mincho"/>
        </w:rPr>
        <w:t xml:space="preserve"> pourquoi les femmes occupent des postes de niveau </w:t>
      </w:r>
      <w:r w:rsidR="00CF3A66">
        <w:rPr>
          <w:rFonts w:eastAsia="MS Mincho"/>
        </w:rPr>
        <w:t>inférieur</w:t>
      </w:r>
      <w:r w:rsidR="00483C14">
        <w:rPr>
          <w:rFonts w:eastAsia="MS Mincho"/>
        </w:rPr>
        <w:t>,</w:t>
      </w:r>
      <w:r w:rsidR="00CF3A66">
        <w:rPr>
          <w:rFonts w:eastAsia="MS Mincho"/>
        </w:rPr>
        <w:t xml:space="preserve"> </w:t>
      </w:r>
      <w:r>
        <w:rPr>
          <w:rFonts w:eastAsia="MS Mincho"/>
        </w:rPr>
        <w:t xml:space="preserve">ont moins de responsabilités et </w:t>
      </w:r>
      <w:r w:rsidR="00CF3A66">
        <w:rPr>
          <w:rFonts w:eastAsia="MS Mincho"/>
        </w:rPr>
        <w:t xml:space="preserve">sont </w:t>
      </w:r>
      <w:r>
        <w:rPr>
          <w:rFonts w:eastAsia="MS Mincho"/>
        </w:rPr>
        <w:t xml:space="preserve">moins </w:t>
      </w:r>
      <w:r w:rsidR="00CF3A66">
        <w:rPr>
          <w:rFonts w:eastAsia="MS Mincho"/>
        </w:rPr>
        <w:t xml:space="preserve">bien payées </w:t>
      </w:r>
      <w:r>
        <w:rPr>
          <w:rFonts w:eastAsia="MS Mincho"/>
        </w:rPr>
        <w:t>que les hommes.</w:t>
      </w:r>
    </w:p>
    <w:p w:rsidR="008767D2" w:rsidRDefault="008767D2" w:rsidP="008767D2">
      <w:pPr>
        <w:pStyle w:val="SingleTxtG"/>
        <w:rPr>
          <w:rFonts w:eastAsia="MS Mincho"/>
        </w:rPr>
      </w:pPr>
      <w:r>
        <w:rPr>
          <w:rFonts w:eastAsia="MS Mincho"/>
        </w:rPr>
        <w:t>16.</w:t>
      </w:r>
      <w:r>
        <w:rPr>
          <w:rFonts w:eastAsia="MS Mincho"/>
        </w:rPr>
        <w:tab/>
        <w:t xml:space="preserve">Il est indiqué au paragraphe 386 que la loi de 1995 </w:t>
      </w:r>
      <w:r w:rsidR="00CF3A66">
        <w:rPr>
          <w:rFonts w:eastAsia="MS Mincho"/>
        </w:rPr>
        <w:t>sur</w:t>
      </w:r>
      <w:r>
        <w:rPr>
          <w:rFonts w:eastAsia="MS Mincho"/>
        </w:rPr>
        <w:t xml:space="preserve"> l</w:t>
      </w:r>
      <w:r w:rsidR="00CF3A66">
        <w:rPr>
          <w:rFonts w:eastAsia="MS Mincho"/>
        </w:rPr>
        <w:t>’</w:t>
      </w:r>
      <w:r>
        <w:rPr>
          <w:rFonts w:eastAsia="MS Mincho"/>
        </w:rPr>
        <w:t>emploi interdit le licenciement d</w:t>
      </w:r>
      <w:r w:rsidR="00CF3A66">
        <w:rPr>
          <w:rFonts w:eastAsia="MS Mincho"/>
        </w:rPr>
        <w:t>’</w:t>
      </w:r>
      <w:r>
        <w:rPr>
          <w:rFonts w:eastAsia="MS Mincho"/>
        </w:rPr>
        <w:t xml:space="preserve">une femme enceinte. Toutefois, les informations </w:t>
      </w:r>
      <w:r w:rsidR="00CF3A66">
        <w:rPr>
          <w:rFonts w:eastAsia="MS Mincho"/>
        </w:rPr>
        <w:t xml:space="preserve">soumises au </w:t>
      </w:r>
      <w:r>
        <w:rPr>
          <w:rFonts w:eastAsia="MS Mincho"/>
        </w:rPr>
        <w:t xml:space="preserve">Comité indiquent que ces dispositions ne sont souvent pas respectées par les employeurs. Indiquer les mesures prises ou envisagées pour surveiller la mise en œuvre de cette disposition et fournir des données sur le nombre de cas </w:t>
      </w:r>
      <w:r w:rsidR="00CF3A66">
        <w:rPr>
          <w:rFonts w:eastAsia="MS Mincho"/>
        </w:rPr>
        <w:t xml:space="preserve">dont la </w:t>
      </w:r>
      <w:r>
        <w:rPr>
          <w:rFonts w:eastAsia="MS Mincho"/>
        </w:rPr>
        <w:t xml:space="preserve">justice </w:t>
      </w:r>
      <w:r w:rsidR="00CF3A66">
        <w:rPr>
          <w:rFonts w:eastAsia="MS Mincho"/>
        </w:rPr>
        <w:t xml:space="preserve">a été saisie pour ce motif </w:t>
      </w:r>
      <w:r>
        <w:rPr>
          <w:rFonts w:eastAsia="MS Mincho"/>
        </w:rPr>
        <w:t xml:space="preserve">et sur </w:t>
      </w:r>
      <w:r w:rsidR="00CF3A66">
        <w:rPr>
          <w:rFonts w:eastAsia="MS Mincho"/>
        </w:rPr>
        <w:t xml:space="preserve">les </w:t>
      </w:r>
      <w:r>
        <w:rPr>
          <w:rFonts w:eastAsia="MS Mincho"/>
        </w:rPr>
        <w:t xml:space="preserve">décisions rendues. Indiquer également les mesures envisagées pour accroître le nombre et la capacité des </w:t>
      </w:r>
      <w:r w:rsidRPr="00C72760">
        <w:rPr>
          <w:rFonts w:eastAsia="MS Mincho"/>
        </w:rPr>
        <w:t>garderies</w:t>
      </w:r>
      <w:r w:rsidRPr="005B6EBB">
        <w:rPr>
          <w:rFonts w:eastAsia="MS Mincho"/>
        </w:rPr>
        <w:t xml:space="preserve"> publiques de jour </w:t>
      </w:r>
      <w:r>
        <w:rPr>
          <w:rFonts w:eastAsia="MS Mincho"/>
        </w:rPr>
        <w:t>(par. 404)</w:t>
      </w:r>
      <w:r w:rsidR="007F37F6">
        <w:rPr>
          <w:rFonts w:eastAsia="MS Mincho"/>
        </w:rPr>
        <w:t>.</w:t>
      </w:r>
      <w:r>
        <w:rPr>
          <w:rFonts w:eastAsia="MS Mincho"/>
        </w:rPr>
        <w:t xml:space="preserve"> Donner également des informations sur les mesures prises pour garantir l</w:t>
      </w:r>
      <w:r w:rsidR="00CF3A66">
        <w:rPr>
          <w:rFonts w:eastAsia="MS Mincho"/>
        </w:rPr>
        <w:t>’</w:t>
      </w:r>
      <w:r>
        <w:rPr>
          <w:rFonts w:eastAsia="MS Mincho"/>
        </w:rPr>
        <w:t xml:space="preserve">application </w:t>
      </w:r>
      <w:r w:rsidRPr="005B6EBB">
        <w:rPr>
          <w:rFonts w:eastAsia="MS Mincho"/>
        </w:rPr>
        <w:t xml:space="preserve">aux hommes et aux femmes </w:t>
      </w:r>
      <w:r w:rsidR="00CF3A66">
        <w:rPr>
          <w:rFonts w:eastAsia="MS Mincho"/>
        </w:rPr>
        <w:t>du principe du salaire égal</w:t>
      </w:r>
      <w:r w:rsidRPr="00C72760">
        <w:rPr>
          <w:rFonts w:eastAsia="MS Mincho"/>
        </w:rPr>
        <w:t xml:space="preserve"> pour un travail d</w:t>
      </w:r>
      <w:r w:rsidR="00CF3A66">
        <w:rPr>
          <w:rFonts w:eastAsia="MS Mincho"/>
        </w:rPr>
        <w:t>’</w:t>
      </w:r>
      <w:r w:rsidRPr="00C72760">
        <w:rPr>
          <w:rFonts w:eastAsia="MS Mincho"/>
        </w:rPr>
        <w:t>une valeur égale.</w:t>
      </w:r>
    </w:p>
    <w:p w:rsidR="008767D2" w:rsidRPr="00A32422" w:rsidRDefault="008767D2" w:rsidP="001E7ACF">
      <w:pPr>
        <w:pStyle w:val="H1G"/>
        <w:rPr>
          <w:rFonts w:eastAsia="MS Mincho"/>
        </w:rPr>
      </w:pPr>
      <w:r>
        <w:rPr>
          <w:rFonts w:eastAsia="MS Mincho"/>
        </w:rPr>
        <w:tab/>
      </w:r>
      <w:r>
        <w:rPr>
          <w:rFonts w:eastAsia="MS Mincho"/>
        </w:rPr>
        <w:tab/>
      </w:r>
      <w:r w:rsidRPr="00A32422">
        <w:rPr>
          <w:rFonts w:eastAsia="MS Mincho"/>
        </w:rPr>
        <w:t>Santé</w:t>
      </w:r>
    </w:p>
    <w:p w:rsidR="008767D2" w:rsidRDefault="008767D2" w:rsidP="008767D2">
      <w:pPr>
        <w:pStyle w:val="SingleTxtG"/>
        <w:rPr>
          <w:rFonts w:eastAsia="MS Mincho"/>
        </w:rPr>
      </w:pPr>
      <w:r>
        <w:rPr>
          <w:rFonts w:eastAsia="MS Mincho"/>
        </w:rPr>
        <w:t>17.</w:t>
      </w:r>
      <w:r>
        <w:rPr>
          <w:rFonts w:eastAsia="MS Mincho"/>
        </w:rPr>
        <w:tab/>
        <w:t xml:space="preserve">Il est </w:t>
      </w:r>
      <w:r w:rsidR="00485507">
        <w:rPr>
          <w:rFonts w:eastAsia="MS Mincho"/>
        </w:rPr>
        <w:t>indiqué aux paragraphes 459 et 4</w:t>
      </w:r>
      <w:r>
        <w:rPr>
          <w:rFonts w:eastAsia="MS Mincho"/>
        </w:rPr>
        <w:t>74</w:t>
      </w:r>
      <w:r w:rsidR="007F37F6">
        <w:rPr>
          <w:rFonts w:eastAsia="MS Mincho"/>
        </w:rPr>
        <w:t xml:space="preserve"> </w:t>
      </w:r>
      <w:r>
        <w:rPr>
          <w:rFonts w:eastAsia="MS Mincho"/>
        </w:rPr>
        <w:t xml:space="preserve">que les taux de grossesses précoces demeurent très élevés et que les filles entre 15 et 17 ans ont besoin du consentement de leurs parents pour avoir accès à des contraceptifs et </w:t>
      </w:r>
      <w:r w:rsidR="00CF3A66">
        <w:rPr>
          <w:rFonts w:eastAsia="MS Mincho"/>
        </w:rPr>
        <w:t xml:space="preserve">au </w:t>
      </w:r>
      <w:r>
        <w:rPr>
          <w:rFonts w:eastAsia="MS Mincho"/>
        </w:rPr>
        <w:t>dépistage du VIH. Il est indiqué en outre au paragraphe 475 du rapport qu</w:t>
      </w:r>
      <w:r w:rsidR="00CF3A66">
        <w:rPr>
          <w:rFonts w:eastAsia="MS Mincho"/>
        </w:rPr>
        <w:t>’</w:t>
      </w:r>
      <w:r>
        <w:rPr>
          <w:rFonts w:eastAsia="MS Mincho"/>
        </w:rPr>
        <w:t xml:space="preserve">une </w:t>
      </w:r>
      <w:r w:rsidRPr="00C72760">
        <w:rPr>
          <w:rFonts w:eastAsia="MS Mincho"/>
        </w:rPr>
        <w:t>politique nationale de santé sexuelle et procréative</w:t>
      </w:r>
      <w:r>
        <w:rPr>
          <w:rFonts w:eastAsia="MS Mincho"/>
        </w:rPr>
        <w:t xml:space="preserve"> est en cours d</w:t>
      </w:r>
      <w:r w:rsidR="00CF3A66">
        <w:rPr>
          <w:rFonts w:eastAsia="MS Mincho"/>
        </w:rPr>
        <w:t>’</w:t>
      </w:r>
      <w:r>
        <w:rPr>
          <w:rFonts w:eastAsia="MS Mincho"/>
        </w:rPr>
        <w:t xml:space="preserve">élaboration. Indiquer si cette politique a été finalisée. Indiquer également si elle prévoit un accès </w:t>
      </w:r>
      <w:r w:rsidR="00CF3A66">
        <w:rPr>
          <w:rFonts w:eastAsia="MS Mincho"/>
        </w:rPr>
        <w:t xml:space="preserve">bon marché </w:t>
      </w:r>
      <w:r>
        <w:rPr>
          <w:rFonts w:eastAsia="MS Mincho"/>
        </w:rPr>
        <w:t>aux contraceptifs, introduit l</w:t>
      </w:r>
      <w:r w:rsidR="00CF3A66">
        <w:rPr>
          <w:rFonts w:eastAsia="MS Mincho"/>
        </w:rPr>
        <w:t>’</w:t>
      </w:r>
      <w:r>
        <w:rPr>
          <w:rFonts w:eastAsia="MS Mincho"/>
        </w:rPr>
        <w:t xml:space="preserve">éducation </w:t>
      </w:r>
      <w:r w:rsidR="00CF3A66">
        <w:rPr>
          <w:rFonts w:eastAsia="MS Mincho"/>
        </w:rPr>
        <w:t xml:space="preserve">et le droit </w:t>
      </w:r>
      <w:r>
        <w:rPr>
          <w:rFonts w:eastAsia="MS Mincho"/>
        </w:rPr>
        <w:t>à la santé sexuelle et procréative dans les programmes scolaires, garantit à toutes les femmes et les filles un accès adéquat aux services de santé sexuelle et procréative, et permet aux adolescents d</w:t>
      </w:r>
      <w:r w:rsidR="00CF3A66">
        <w:rPr>
          <w:rFonts w:eastAsia="MS Mincho"/>
        </w:rPr>
        <w:t>’</w:t>
      </w:r>
      <w:r>
        <w:rPr>
          <w:rFonts w:eastAsia="MS Mincho"/>
        </w:rPr>
        <w:t xml:space="preserve">avoir accès aux contraceptifs et </w:t>
      </w:r>
      <w:r w:rsidR="00CF3A66">
        <w:rPr>
          <w:rFonts w:eastAsia="MS Mincho"/>
        </w:rPr>
        <w:t xml:space="preserve">au </w:t>
      </w:r>
      <w:r>
        <w:rPr>
          <w:rFonts w:eastAsia="MS Mincho"/>
        </w:rPr>
        <w:t>dépistage du VIH sans</w:t>
      </w:r>
      <w:r w:rsidR="007F37F6">
        <w:rPr>
          <w:rFonts w:eastAsia="MS Mincho"/>
        </w:rPr>
        <w:t xml:space="preserve"> </w:t>
      </w:r>
      <w:r>
        <w:rPr>
          <w:rFonts w:eastAsia="MS Mincho"/>
        </w:rPr>
        <w:t>le consentement de leurs parents.</w:t>
      </w:r>
    </w:p>
    <w:p w:rsidR="008767D2" w:rsidRPr="00A32422" w:rsidRDefault="008767D2" w:rsidP="001E7ACF">
      <w:pPr>
        <w:pStyle w:val="H1G"/>
        <w:rPr>
          <w:rFonts w:eastAsia="MS Mincho"/>
        </w:rPr>
      </w:pPr>
      <w:r>
        <w:rPr>
          <w:rFonts w:eastAsia="MS Mincho"/>
        </w:rPr>
        <w:tab/>
      </w:r>
      <w:r>
        <w:rPr>
          <w:rFonts w:eastAsia="MS Mincho"/>
        </w:rPr>
        <w:tab/>
      </w:r>
      <w:r w:rsidRPr="00A32422">
        <w:rPr>
          <w:rFonts w:eastAsia="MS Mincho"/>
        </w:rPr>
        <w:t>Catastrophes naturelles</w:t>
      </w:r>
    </w:p>
    <w:p w:rsidR="008767D2" w:rsidRDefault="008767D2" w:rsidP="008767D2">
      <w:pPr>
        <w:pStyle w:val="SingleTxtG"/>
        <w:rPr>
          <w:rFonts w:eastAsia="MS Mincho"/>
        </w:rPr>
      </w:pPr>
      <w:r>
        <w:rPr>
          <w:rFonts w:eastAsia="MS Mincho"/>
        </w:rPr>
        <w:t>18.</w:t>
      </w:r>
      <w:r>
        <w:rPr>
          <w:rFonts w:eastAsia="MS Mincho"/>
        </w:rPr>
        <w:tab/>
        <w:t xml:space="preserve">Il est indiqué au </w:t>
      </w:r>
      <w:r w:rsidR="00CF3A66">
        <w:rPr>
          <w:rFonts w:eastAsia="MS Mincho"/>
        </w:rPr>
        <w:t xml:space="preserve">paragraphe 603 que les impacts </w:t>
      </w:r>
      <w:r w:rsidRPr="00C72760">
        <w:rPr>
          <w:rFonts w:eastAsia="MS Mincho"/>
        </w:rPr>
        <w:t>spécifiques des changements climatiques sur les femmes dans les domaines de l</w:t>
      </w:r>
      <w:r w:rsidR="00CF3A66">
        <w:rPr>
          <w:rFonts w:eastAsia="MS Mincho"/>
        </w:rPr>
        <w:t>’</w:t>
      </w:r>
      <w:r w:rsidRPr="00C72760">
        <w:rPr>
          <w:rFonts w:eastAsia="MS Mincho"/>
        </w:rPr>
        <w:t>énergie, de l</w:t>
      </w:r>
      <w:r w:rsidR="00CF3A66">
        <w:rPr>
          <w:rFonts w:eastAsia="MS Mincho"/>
        </w:rPr>
        <w:t>’</w:t>
      </w:r>
      <w:r w:rsidRPr="00C72760">
        <w:rPr>
          <w:rFonts w:eastAsia="MS Mincho"/>
        </w:rPr>
        <w:t xml:space="preserve">eau, de la sécurité alimentaire, de la gestion des catastrophes </w:t>
      </w:r>
      <w:r w:rsidR="00CF3A66">
        <w:rPr>
          <w:rFonts w:eastAsia="MS Mincho"/>
        </w:rPr>
        <w:t>ne sont pas évoqué</w:t>
      </w:r>
      <w:r w:rsidRPr="00C72760">
        <w:rPr>
          <w:rFonts w:eastAsia="MS Mincho"/>
        </w:rPr>
        <w:t xml:space="preserve">s </w:t>
      </w:r>
      <w:r w:rsidR="00CF3A66">
        <w:rPr>
          <w:rFonts w:eastAsia="MS Mincho"/>
        </w:rPr>
        <w:t>ou suffisamment analysé</w:t>
      </w:r>
      <w:r w:rsidRPr="00C72760">
        <w:rPr>
          <w:rFonts w:eastAsia="MS Mincho"/>
        </w:rPr>
        <w:t>s</w:t>
      </w:r>
      <w:r>
        <w:rPr>
          <w:rFonts w:eastAsia="MS Mincho"/>
        </w:rPr>
        <w:t>. Donner des informations sur le point de savoir si l</w:t>
      </w:r>
      <w:r w:rsidR="00CF3A66">
        <w:rPr>
          <w:rFonts w:eastAsia="MS Mincho"/>
        </w:rPr>
        <w:t>’</w:t>
      </w:r>
      <w:r>
        <w:rPr>
          <w:rFonts w:eastAsia="MS Mincho"/>
        </w:rPr>
        <w:t xml:space="preserve">État partie envisage </w:t>
      </w:r>
      <w:r w:rsidR="00CF3A66">
        <w:rPr>
          <w:rFonts w:eastAsia="MS Mincho"/>
        </w:rPr>
        <w:t xml:space="preserve">de prendre le sexe en considération </w:t>
      </w:r>
      <w:r>
        <w:rPr>
          <w:rFonts w:eastAsia="MS Mincho"/>
        </w:rPr>
        <w:t xml:space="preserve">dans la gestion des catastrophes naturelles </w:t>
      </w:r>
      <w:r w:rsidR="006C3B34">
        <w:rPr>
          <w:rFonts w:eastAsia="MS Mincho"/>
        </w:rPr>
        <w:t>et les stratégies de secours de </w:t>
      </w:r>
      <w:r>
        <w:rPr>
          <w:rFonts w:eastAsia="MS Mincho"/>
        </w:rPr>
        <w:t>redressement.</w:t>
      </w:r>
    </w:p>
    <w:p w:rsidR="008767D2" w:rsidRPr="008767D2" w:rsidRDefault="008767D2" w:rsidP="001E7ACF">
      <w:pPr>
        <w:pStyle w:val="H1G"/>
        <w:rPr>
          <w:rFonts w:eastAsia="MS Mincho"/>
        </w:rPr>
      </w:pPr>
      <w:r>
        <w:rPr>
          <w:rFonts w:eastAsia="MS Mincho"/>
        </w:rPr>
        <w:tab/>
      </w:r>
      <w:r>
        <w:rPr>
          <w:rFonts w:eastAsia="MS Mincho"/>
        </w:rPr>
        <w:tab/>
      </w:r>
      <w:r w:rsidRPr="008767D2">
        <w:rPr>
          <w:rFonts w:eastAsia="MS Mincho"/>
        </w:rPr>
        <w:t>Mariage et relations familiales</w:t>
      </w:r>
    </w:p>
    <w:p w:rsidR="008767D2" w:rsidRDefault="008767D2" w:rsidP="006C3B34">
      <w:pPr>
        <w:pStyle w:val="SingleTxtG"/>
        <w:keepLines/>
        <w:rPr>
          <w:rFonts w:eastAsia="MS Mincho"/>
        </w:rPr>
      </w:pPr>
      <w:r>
        <w:rPr>
          <w:rFonts w:eastAsia="MS Mincho"/>
        </w:rPr>
        <w:t>19.</w:t>
      </w:r>
      <w:r>
        <w:rPr>
          <w:rFonts w:eastAsia="MS Mincho"/>
        </w:rPr>
        <w:tab/>
        <w:t>Indiquer si l</w:t>
      </w:r>
      <w:r w:rsidR="00CF3A66">
        <w:rPr>
          <w:rFonts w:eastAsia="MS Mincho"/>
        </w:rPr>
        <w:t>’</w:t>
      </w:r>
      <w:r>
        <w:rPr>
          <w:rFonts w:eastAsia="MS Mincho"/>
        </w:rPr>
        <w:t xml:space="preserve">État partie envisage </w:t>
      </w:r>
      <w:r w:rsidR="00CF3A66">
        <w:rPr>
          <w:rFonts w:eastAsia="MS Mincho"/>
        </w:rPr>
        <w:t xml:space="preserve">d’abroger </w:t>
      </w:r>
      <w:r>
        <w:rPr>
          <w:rFonts w:eastAsia="MS Mincho"/>
        </w:rPr>
        <w:t>toutes les dispositions juridiques discriminat</w:t>
      </w:r>
      <w:r w:rsidR="00CF3A66">
        <w:rPr>
          <w:rFonts w:eastAsia="MS Mincho"/>
        </w:rPr>
        <w:t>oires, notamment celles qui: a) </w:t>
      </w:r>
      <w:r>
        <w:rPr>
          <w:rFonts w:eastAsia="MS Mincho"/>
        </w:rPr>
        <w:t xml:space="preserve">prévoient des disparités </w:t>
      </w:r>
      <w:r w:rsidR="00CF3A66">
        <w:rPr>
          <w:rFonts w:eastAsia="MS Mincho"/>
        </w:rPr>
        <w:t xml:space="preserve">en ce qui concerne </w:t>
      </w:r>
      <w:r>
        <w:rPr>
          <w:rFonts w:eastAsia="MS Mincho"/>
        </w:rPr>
        <w:t>l</w:t>
      </w:r>
      <w:r w:rsidR="00CF3A66">
        <w:rPr>
          <w:rFonts w:eastAsia="MS Mincho"/>
        </w:rPr>
        <w:t>’</w:t>
      </w:r>
      <w:r>
        <w:rPr>
          <w:rFonts w:eastAsia="MS Mincho"/>
        </w:rPr>
        <w:t xml:space="preserve">âge minimum du mariage pour les filles et les garçons (art. S 40 de la </w:t>
      </w:r>
      <w:r w:rsidRPr="00C72760">
        <w:rPr>
          <w:rFonts w:eastAsia="MS Mincho"/>
        </w:rPr>
        <w:t>loi sur l</w:t>
      </w:r>
      <w:r w:rsidR="00CF3A66">
        <w:rPr>
          <w:rFonts w:eastAsia="MS Mincho"/>
        </w:rPr>
        <w:t>’</w:t>
      </w:r>
      <w:r w:rsidRPr="00C72760">
        <w:rPr>
          <w:rFonts w:eastAsia="MS Mincho"/>
        </w:rPr>
        <w:t>état civil);</w:t>
      </w:r>
      <w:r>
        <w:rPr>
          <w:rFonts w:eastAsia="MS Mincho"/>
        </w:rPr>
        <w:t xml:space="preserve"> b</w:t>
      </w:r>
      <w:r w:rsidR="00CF3A66">
        <w:rPr>
          <w:rFonts w:eastAsia="MS Mincho"/>
        </w:rPr>
        <w:t xml:space="preserve">) font reposer </w:t>
      </w:r>
      <w:r w:rsidRPr="008220B3">
        <w:rPr>
          <w:rFonts w:eastAsia="MS Mincho"/>
        </w:rPr>
        <w:t xml:space="preserve">principalement </w:t>
      </w:r>
      <w:r w:rsidR="00CF3A66">
        <w:rPr>
          <w:rFonts w:eastAsia="MS Mincho"/>
        </w:rPr>
        <w:t>sur le mari</w:t>
      </w:r>
      <w:r w:rsidRPr="008220B3">
        <w:rPr>
          <w:rFonts w:eastAsia="MS Mincho"/>
        </w:rPr>
        <w:t xml:space="preserve"> la charge de </w:t>
      </w:r>
      <w:r w:rsidR="00CF3A66">
        <w:rPr>
          <w:rFonts w:eastAsia="MS Mincho"/>
        </w:rPr>
        <w:t xml:space="preserve">responsable de </w:t>
      </w:r>
      <w:r w:rsidRPr="008220B3">
        <w:rPr>
          <w:rFonts w:eastAsia="MS Mincho"/>
        </w:rPr>
        <w:t>famille</w:t>
      </w:r>
      <w:r>
        <w:rPr>
          <w:rFonts w:eastAsia="MS Mincho"/>
        </w:rPr>
        <w:t xml:space="preserve"> (art. 214, </w:t>
      </w:r>
      <w:r w:rsidR="00CF3A66">
        <w:rPr>
          <w:rFonts w:eastAsia="MS Mincho"/>
        </w:rPr>
        <w:t>par. 2</w:t>
      </w:r>
      <w:r w:rsidR="00485507">
        <w:rPr>
          <w:rFonts w:eastAsia="MS Mincho"/>
        </w:rPr>
        <w:t>,</w:t>
      </w:r>
      <w:r w:rsidR="00CF3A66">
        <w:rPr>
          <w:rFonts w:eastAsia="MS Mincho"/>
        </w:rPr>
        <w:t xml:space="preserve"> du Code civil); c) favorisent le père en ce qui concerne: i) </w:t>
      </w:r>
      <w:r>
        <w:rPr>
          <w:rFonts w:eastAsia="MS Mincho"/>
        </w:rPr>
        <w:t>l</w:t>
      </w:r>
      <w:r w:rsidR="00CF3A66">
        <w:rPr>
          <w:rFonts w:eastAsia="MS Mincho"/>
        </w:rPr>
        <w:t>’</w:t>
      </w:r>
      <w:r>
        <w:rPr>
          <w:rFonts w:eastAsia="MS Mincho"/>
        </w:rPr>
        <w:t xml:space="preserve">administration des biens </w:t>
      </w:r>
      <w:r w:rsidR="00CF3A66">
        <w:rPr>
          <w:rFonts w:eastAsia="MS Mincho"/>
        </w:rPr>
        <w:t>de l’</w:t>
      </w:r>
      <w:r>
        <w:rPr>
          <w:rFonts w:eastAsia="MS Mincho"/>
        </w:rPr>
        <w:t>enfan</w:t>
      </w:r>
      <w:r w:rsidR="00CF3A66">
        <w:rPr>
          <w:rFonts w:eastAsia="MS Mincho"/>
        </w:rPr>
        <w:t>t (art. 389 du Code civil); ii) </w:t>
      </w:r>
      <w:r>
        <w:rPr>
          <w:rFonts w:eastAsia="MS Mincho"/>
        </w:rPr>
        <w:t>le consentement au mariage de l</w:t>
      </w:r>
      <w:r w:rsidR="00CF3A66">
        <w:rPr>
          <w:rFonts w:eastAsia="MS Mincho"/>
        </w:rPr>
        <w:t>’enfant (art. 46 1) et 47 </w:t>
      </w:r>
      <w:r>
        <w:rPr>
          <w:rFonts w:eastAsia="MS Mincho"/>
        </w:rPr>
        <w:t>1) de la loi sur l</w:t>
      </w:r>
      <w:r w:rsidR="00CF3A66">
        <w:rPr>
          <w:rFonts w:eastAsia="MS Mincho"/>
        </w:rPr>
        <w:t>’</w:t>
      </w:r>
      <w:r>
        <w:rPr>
          <w:rFonts w:eastAsia="MS Mincho"/>
        </w:rPr>
        <w:t>état civil)</w:t>
      </w:r>
      <w:r w:rsidR="00CF3A66">
        <w:rPr>
          <w:rFonts w:eastAsia="MS Mincho"/>
        </w:rPr>
        <w:t>; et iii) </w:t>
      </w:r>
      <w:r>
        <w:rPr>
          <w:rFonts w:eastAsia="MS Mincho"/>
        </w:rPr>
        <w:t>le domicile de l</w:t>
      </w:r>
      <w:r w:rsidR="00CF3A66">
        <w:rPr>
          <w:rFonts w:eastAsia="MS Mincho"/>
        </w:rPr>
        <w:t>’</w:t>
      </w:r>
      <w:r>
        <w:rPr>
          <w:rFonts w:eastAsia="MS Mincho"/>
        </w:rPr>
        <w:t>enfant. Indiquer également si l</w:t>
      </w:r>
      <w:r w:rsidR="00CF3A66">
        <w:rPr>
          <w:rFonts w:eastAsia="MS Mincho"/>
        </w:rPr>
        <w:t>’</w:t>
      </w:r>
      <w:r>
        <w:rPr>
          <w:rFonts w:eastAsia="MS Mincho"/>
        </w:rPr>
        <w:t>État partie envisage d</w:t>
      </w:r>
      <w:r w:rsidR="00CF3A66">
        <w:rPr>
          <w:rFonts w:eastAsia="MS Mincho"/>
        </w:rPr>
        <w:t>’</w:t>
      </w:r>
      <w:r>
        <w:rPr>
          <w:rFonts w:eastAsia="MS Mincho"/>
        </w:rPr>
        <w:t xml:space="preserve">adopter une loi régissant </w:t>
      </w:r>
      <w:r w:rsidR="00CF3A66">
        <w:rPr>
          <w:rFonts w:eastAsia="MS Mincho"/>
        </w:rPr>
        <w:t xml:space="preserve">l’union libre </w:t>
      </w:r>
      <w:r>
        <w:rPr>
          <w:rFonts w:eastAsia="MS Mincho"/>
        </w:rPr>
        <w:t>afin d</w:t>
      </w:r>
      <w:r w:rsidR="00CF3A66">
        <w:rPr>
          <w:rFonts w:eastAsia="MS Mincho"/>
        </w:rPr>
        <w:t>’</w:t>
      </w:r>
      <w:r>
        <w:rPr>
          <w:rFonts w:eastAsia="MS Mincho"/>
        </w:rPr>
        <w:t xml:space="preserve">accorder aux femmes des moyens de protection et de </w:t>
      </w:r>
      <w:r w:rsidR="00CF3A66">
        <w:rPr>
          <w:rFonts w:eastAsia="MS Mincho"/>
        </w:rPr>
        <w:t xml:space="preserve">recours </w:t>
      </w:r>
      <w:r>
        <w:rPr>
          <w:rFonts w:eastAsia="MS Mincho"/>
        </w:rPr>
        <w:t>en cas de séparation.</w:t>
      </w:r>
    </w:p>
    <w:p w:rsidR="008767D2" w:rsidRPr="00777156" w:rsidRDefault="008767D2" w:rsidP="001E7ACF">
      <w:pPr>
        <w:pStyle w:val="H1G"/>
        <w:rPr>
          <w:rFonts w:eastAsia="MS Mincho"/>
        </w:rPr>
      </w:pPr>
      <w:r>
        <w:rPr>
          <w:rFonts w:eastAsia="MS Mincho"/>
        </w:rPr>
        <w:tab/>
      </w:r>
      <w:r>
        <w:rPr>
          <w:rFonts w:eastAsia="MS Mincho"/>
        </w:rPr>
        <w:tab/>
      </w:r>
      <w:r w:rsidRPr="00777156">
        <w:rPr>
          <w:rFonts w:eastAsia="MS Mincho"/>
        </w:rPr>
        <w:t>Modification du paragraphe 1 de l</w:t>
      </w:r>
      <w:r w:rsidR="00CF3A66">
        <w:rPr>
          <w:rFonts w:eastAsia="MS Mincho"/>
        </w:rPr>
        <w:t>’</w:t>
      </w:r>
      <w:r w:rsidRPr="00777156">
        <w:rPr>
          <w:rFonts w:eastAsia="MS Mincho"/>
        </w:rPr>
        <w:t>article 20</w:t>
      </w:r>
    </w:p>
    <w:p w:rsidR="00EE2974" w:rsidRDefault="008767D2" w:rsidP="00CF3A66">
      <w:pPr>
        <w:pStyle w:val="SingleTxtG"/>
        <w:rPr>
          <w:rFonts w:eastAsia="MS Mincho"/>
        </w:rPr>
      </w:pPr>
      <w:r>
        <w:rPr>
          <w:rFonts w:eastAsia="MS Mincho"/>
        </w:rPr>
        <w:t>20.</w:t>
      </w:r>
      <w:r>
        <w:rPr>
          <w:rFonts w:eastAsia="MS Mincho"/>
        </w:rPr>
        <w:tab/>
        <w:t xml:space="preserve">Indiquer les progrès </w:t>
      </w:r>
      <w:r w:rsidR="00CF3A66">
        <w:rPr>
          <w:rFonts w:eastAsia="MS Mincho"/>
        </w:rPr>
        <w:t xml:space="preserve">éventuellement </w:t>
      </w:r>
      <w:r>
        <w:rPr>
          <w:rFonts w:eastAsia="MS Mincho"/>
        </w:rPr>
        <w:t>accomplis</w:t>
      </w:r>
      <w:r w:rsidR="00CF3A66">
        <w:rPr>
          <w:rFonts w:eastAsia="MS Mincho"/>
        </w:rPr>
        <w:t xml:space="preserve"> vers </w:t>
      </w:r>
      <w:r>
        <w:rPr>
          <w:rFonts w:eastAsia="MS Mincho"/>
        </w:rPr>
        <w:t>l</w:t>
      </w:r>
      <w:r w:rsidR="00CF3A66">
        <w:rPr>
          <w:rFonts w:eastAsia="MS Mincho"/>
        </w:rPr>
        <w:t>’</w:t>
      </w:r>
      <w:r>
        <w:rPr>
          <w:rFonts w:eastAsia="MS Mincho"/>
        </w:rPr>
        <w:t>acceptation de la modification du paragraphe 1 de l</w:t>
      </w:r>
      <w:r w:rsidR="00CF3A66">
        <w:rPr>
          <w:rFonts w:eastAsia="MS Mincho"/>
        </w:rPr>
        <w:t>’</w:t>
      </w:r>
      <w:r>
        <w:rPr>
          <w:rFonts w:eastAsia="MS Mincho"/>
        </w:rPr>
        <w:t>article 20 de la Convention.</w:t>
      </w:r>
    </w:p>
    <w:p w:rsidR="008767D2" w:rsidRPr="008767D2" w:rsidRDefault="008767D2" w:rsidP="008767D2">
      <w:pPr>
        <w:pStyle w:val="SingleTxtG"/>
        <w:spacing w:before="240" w:after="0"/>
        <w:jc w:val="center"/>
        <w:rPr>
          <w:rFonts w:eastAsia="MS Mincho"/>
          <w:u w:val="single"/>
        </w:rPr>
      </w:pPr>
      <w:r>
        <w:rPr>
          <w:rFonts w:eastAsia="MS Mincho"/>
          <w:u w:val="single"/>
        </w:rPr>
        <w:tab/>
      </w:r>
      <w:r>
        <w:rPr>
          <w:rFonts w:eastAsia="MS Mincho"/>
          <w:u w:val="single"/>
        </w:rPr>
        <w:tab/>
      </w:r>
      <w:r>
        <w:rPr>
          <w:rFonts w:eastAsia="MS Mincho"/>
          <w:u w:val="single"/>
        </w:rPr>
        <w:tab/>
      </w:r>
    </w:p>
    <w:sectPr w:rsidR="008767D2" w:rsidRPr="008767D2" w:rsidSect="0051707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7811" w:rsidRDefault="00077811"/>
  </w:endnote>
  <w:endnote w:type="continuationSeparator" w:id="0">
    <w:p w:rsidR="00077811" w:rsidRDefault="00077811"/>
  </w:endnote>
  <w:endnote w:type="continuationNotice" w:id="1">
    <w:p w:rsidR="00077811" w:rsidRPr="00EE2974" w:rsidRDefault="00077811" w:rsidP="00EE2974">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076" w:rsidRPr="00517076" w:rsidRDefault="00517076" w:rsidP="00517076">
    <w:pPr>
      <w:pStyle w:val="Footer"/>
      <w:tabs>
        <w:tab w:val="right" w:pos="9638"/>
      </w:tabs>
    </w:pPr>
    <w:r w:rsidRPr="00517076">
      <w:rPr>
        <w:b/>
        <w:sz w:val="18"/>
      </w:rPr>
      <w:fldChar w:fldCharType="begin"/>
    </w:r>
    <w:r w:rsidRPr="00517076">
      <w:rPr>
        <w:b/>
        <w:sz w:val="18"/>
      </w:rPr>
      <w:instrText xml:space="preserve"> PAGE  \* MERGEFORMAT </w:instrText>
    </w:r>
    <w:r w:rsidRPr="00517076">
      <w:rPr>
        <w:b/>
        <w:sz w:val="18"/>
      </w:rPr>
      <w:fldChar w:fldCharType="separate"/>
    </w:r>
    <w:r w:rsidR="00F83FFC">
      <w:rPr>
        <w:b/>
        <w:noProof/>
        <w:sz w:val="18"/>
      </w:rPr>
      <w:t>2</w:t>
    </w:r>
    <w:r w:rsidRPr="00517076">
      <w:rPr>
        <w:b/>
        <w:sz w:val="18"/>
      </w:rPr>
      <w:fldChar w:fldCharType="end"/>
    </w:r>
    <w:r>
      <w:rPr>
        <w:b/>
        <w:sz w:val="18"/>
      </w:rPr>
      <w:tab/>
    </w:r>
    <w:r>
      <w:t>GE.13-42054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076" w:rsidRPr="00517076" w:rsidRDefault="00517076" w:rsidP="00517076">
    <w:pPr>
      <w:pStyle w:val="Footer"/>
      <w:tabs>
        <w:tab w:val="right" w:pos="9638"/>
      </w:tabs>
      <w:rPr>
        <w:b/>
        <w:sz w:val="18"/>
      </w:rPr>
    </w:pPr>
    <w:r>
      <w:t>GE.13-42054</w:t>
    </w:r>
    <w:r>
      <w:tab/>
    </w:r>
    <w:r w:rsidRPr="00517076">
      <w:rPr>
        <w:b/>
        <w:sz w:val="18"/>
      </w:rPr>
      <w:fldChar w:fldCharType="begin"/>
    </w:r>
    <w:r w:rsidRPr="00517076">
      <w:rPr>
        <w:b/>
        <w:sz w:val="18"/>
      </w:rPr>
      <w:instrText xml:space="preserve"> PAGE  \* MERGEFORMAT </w:instrText>
    </w:r>
    <w:r w:rsidRPr="00517076">
      <w:rPr>
        <w:b/>
        <w:sz w:val="18"/>
      </w:rPr>
      <w:fldChar w:fldCharType="separate"/>
    </w:r>
    <w:r w:rsidR="00F83FFC">
      <w:rPr>
        <w:b/>
        <w:noProof/>
        <w:sz w:val="18"/>
      </w:rPr>
      <w:t>3</w:t>
    </w:r>
    <w:r w:rsidRPr="00517076">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6A14" w:rsidRPr="00517076" w:rsidRDefault="00517076">
    <w:pPr>
      <w:pStyle w:val="Footer"/>
      <w:rPr>
        <w:sz w:val="20"/>
      </w:rPr>
    </w:pPr>
    <w:r>
      <w:rPr>
        <w:sz w:val="20"/>
      </w:rPr>
      <w:t>GE.</w:t>
    </w:r>
    <w:r w:rsidR="00DF6A14" w:rsidRPr="00A50BD5">
      <w:rPr>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5.4pt;margin-top:-8.05pt;width:86.95pt;height:18.35pt;z-index:1;mso-position-horizontal-relative:text;mso-position-vertical-relative:text">
          <v:imagedata r:id="rId1" o:title="recycle_French"/>
        </v:shape>
      </w:pict>
    </w:r>
    <w:r>
      <w:rPr>
        <w:sz w:val="20"/>
      </w:rPr>
      <w:t>13-42054  (F)</w:t>
    </w:r>
    <w:r w:rsidR="008767D2">
      <w:rPr>
        <w:sz w:val="20"/>
      </w:rPr>
      <w:t xml:space="preserve">    300413    </w:t>
    </w:r>
    <w:r w:rsidR="00CF3A66">
      <w:rPr>
        <w:sz w:val="20"/>
      </w:rPr>
      <w:t>180513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7811" w:rsidRPr="000B175B" w:rsidRDefault="00077811" w:rsidP="000B175B">
      <w:pPr>
        <w:tabs>
          <w:tab w:val="right" w:pos="2155"/>
        </w:tabs>
        <w:spacing w:after="80"/>
        <w:ind w:left="680"/>
        <w:rPr>
          <w:u w:val="single"/>
        </w:rPr>
      </w:pPr>
      <w:r>
        <w:rPr>
          <w:u w:val="single"/>
        </w:rPr>
        <w:tab/>
      </w:r>
    </w:p>
  </w:footnote>
  <w:footnote w:type="continuationSeparator" w:id="0">
    <w:p w:rsidR="00077811" w:rsidRPr="00FC68B7" w:rsidRDefault="00077811" w:rsidP="00FC68B7">
      <w:pPr>
        <w:tabs>
          <w:tab w:val="left" w:pos="2155"/>
        </w:tabs>
        <w:spacing w:after="80"/>
        <w:ind w:left="680"/>
        <w:rPr>
          <w:u w:val="single"/>
        </w:rPr>
      </w:pPr>
      <w:r>
        <w:rPr>
          <w:u w:val="single"/>
        </w:rPr>
        <w:tab/>
      </w:r>
    </w:p>
  </w:footnote>
  <w:footnote w:type="continuationNotice" w:id="1">
    <w:p w:rsidR="00077811" w:rsidRPr="00EE2974" w:rsidRDefault="00077811" w:rsidP="00EE2974">
      <w:pPr>
        <w:spacing w:line="240" w:lineRule="auto"/>
        <w:rPr>
          <w:sz w:val="2"/>
          <w:szCs w:val="2"/>
        </w:rPr>
      </w:pPr>
    </w:p>
  </w:footnote>
  <w:footnote w:id="2">
    <w:p w:rsidR="008767D2" w:rsidRDefault="008767D2" w:rsidP="008767D2">
      <w:pPr>
        <w:pStyle w:val="FootnoteText"/>
      </w:pPr>
      <w:r>
        <w:tab/>
      </w:r>
      <w:r>
        <w:rPr>
          <w:rStyle w:val="FootnoteReference"/>
        </w:rPr>
        <w:footnoteRef/>
      </w:r>
      <w:r>
        <w:tab/>
      </w:r>
      <w:r w:rsidRPr="008220B3">
        <w:t>Sauf indication contraire, les numéros des paragraphes renvoient aux premier à cinquième rapports périodiques des Seychelles, présentés en un seul document (CEDAW/C/SYC/1-5).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076" w:rsidRPr="00517076" w:rsidRDefault="00517076">
    <w:pPr>
      <w:pStyle w:val="Header"/>
    </w:pPr>
    <w:r>
      <w:t>CEDAW/C/SYC/Q/1-5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17076" w:rsidRPr="00517076" w:rsidRDefault="00517076" w:rsidP="00517076">
    <w:pPr>
      <w:pStyle w:val="Header"/>
      <w:jc w:val="right"/>
    </w:pPr>
    <w:r>
      <w:t>CEDAW/C/SYC/Q/1-5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pStyle w:val="Bullet1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6A14"/>
    <w:rsid w:val="00002A7D"/>
    <w:rsid w:val="000038A8"/>
    <w:rsid w:val="00006790"/>
    <w:rsid w:val="00027624"/>
    <w:rsid w:val="00034BE1"/>
    <w:rsid w:val="00044871"/>
    <w:rsid w:val="00050F6B"/>
    <w:rsid w:val="000629FC"/>
    <w:rsid w:val="000678CD"/>
    <w:rsid w:val="0007091A"/>
    <w:rsid w:val="00072C8C"/>
    <w:rsid w:val="00077811"/>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38B7"/>
    <w:rsid w:val="000F56E2"/>
    <w:rsid w:val="000F7715"/>
    <w:rsid w:val="000F7B6F"/>
    <w:rsid w:val="000F7B76"/>
    <w:rsid w:val="0011765F"/>
    <w:rsid w:val="00126F57"/>
    <w:rsid w:val="00147FD4"/>
    <w:rsid w:val="00156B99"/>
    <w:rsid w:val="00166124"/>
    <w:rsid w:val="00166158"/>
    <w:rsid w:val="0018490B"/>
    <w:rsid w:val="00184DDA"/>
    <w:rsid w:val="001900CD"/>
    <w:rsid w:val="001A0452"/>
    <w:rsid w:val="001A3FA6"/>
    <w:rsid w:val="001B4B04"/>
    <w:rsid w:val="001B5875"/>
    <w:rsid w:val="001C4B9C"/>
    <w:rsid w:val="001C6663"/>
    <w:rsid w:val="001C7895"/>
    <w:rsid w:val="001D26DF"/>
    <w:rsid w:val="001E7ACF"/>
    <w:rsid w:val="001F1599"/>
    <w:rsid w:val="001F19C4"/>
    <w:rsid w:val="002043F0"/>
    <w:rsid w:val="00211E0B"/>
    <w:rsid w:val="0023098D"/>
    <w:rsid w:val="00232575"/>
    <w:rsid w:val="002373AF"/>
    <w:rsid w:val="00247258"/>
    <w:rsid w:val="00247D90"/>
    <w:rsid w:val="00257CAC"/>
    <w:rsid w:val="002974E9"/>
    <w:rsid w:val="002A7F94"/>
    <w:rsid w:val="002B109A"/>
    <w:rsid w:val="002C2837"/>
    <w:rsid w:val="002C6D45"/>
    <w:rsid w:val="002D06FB"/>
    <w:rsid w:val="002D6E53"/>
    <w:rsid w:val="002E3E4B"/>
    <w:rsid w:val="002F046D"/>
    <w:rsid w:val="00301764"/>
    <w:rsid w:val="003225DB"/>
    <w:rsid w:val="003229D8"/>
    <w:rsid w:val="00336C97"/>
    <w:rsid w:val="00342432"/>
    <w:rsid w:val="00352D4B"/>
    <w:rsid w:val="0035638C"/>
    <w:rsid w:val="003709D8"/>
    <w:rsid w:val="00380A9A"/>
    <w:rsid w:val="003812A1"/>
    <w:rsid w:val="003A46BB"/>
    <w:rsid w:val="003A4EC7"/>
    <w:rsid w:val="003A7295"/>
    <w:rsid w:val="003B1F60"/>
    <w:rsid w:val="003C2CC4"/>
    <w:rsid w:val="003D4B23"/>
    <w:rsid w:val="003E278A"/>
    <w:rsid w:val="00413520"/>
    <w:rsid w:val="004325CB"/>
    <w:rsid w:val="00440A07"/>
    <w:rsid w:val="004506F7"/>
    <w:rsid w:val="00451982"/>
    <w:rsid w:val="00462880"/>
    <w:rsid w:val="00476F24"/>
    <w:rsid w:val="00483C14"/>
    <w:rsid w:val="00485507"/>
    <w:rsid w:val="00494310"/>
    <w:rsid w:val="004951FF"/>
    <w:rsid w:val="004C4252"/>
    <w:rsid w:val="004C55B0"/>
    <w:rsid w:val="004C6B7B"/>
    <w:rsid w:val="004E517A"/>
    <w:rsid w:val="004F6BA0"/>
    <w:rsid w:val="00503BEA"/>
    <w:rsid w:val="00516A1F"/>
    <w:rsid w:val="00517076"/>
    <w:rsid w:val="00533616"/>
    <w:rsid w:val="00535ABA"/>
    <w:rsid w:val="0053768B"/>
    <w:rsid w:val="005420F2"/>
    <w:rsid w:val="0054285C"/>
    <w:rsid w:val="00546224"/>
    <w:rsid w:val="0056237B"/>
    <w:rsid w:val="0057650D"/>
    <w:rsid w:val="00584173"/>
    <w:rsid w:val="005929D6"/>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30FCB"/>
    <w:rsid w:val="00636011"/>
    <w:rsid w:val="00640B26"/>
    <w:rsid w:val="00641130"/>
    <w:rsid w:val="006770B2"/>
    <w:rsid w:val="006940E1"/>
    <w:rsid w:val="006A3C72"/>
    <w:rsid w:val="006A7392"/>
    <w:rsid w:val="006B03A1"/>
    <w:rsid w:val="006B67D9"/>
    <w:rsid w:val="006B6E95"/>
    <w:rsid w:val="006C3B34"/>
    <w:rsid w:val="006C5535"/>
    <w:rsid w:val="006D0196"/>
    <w:rsid w:val="006D0589"/>
    <w:rsid w:val="006D34A4"/>
    <w:rsid w:val="006E564B"/>
    <w:rsid w:val="006E7154"/>
    <w:rsid w:val="007003CD"/>
    <w:rsid w:val="0070701E"/>
    <w:rsid w:val="007070A5"/>
    <w:rsid w:val="0071067D"/>
    <w:rsid w:val="0072632A"/>
    <w:rsid w:val="00730224"/>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37F6"/>
    <w:rsid w:val="007F5CE2"/>
    <w:rsid w:val="007F6611"/>
    <w:rsid w:val="00810BAC"/>
    <w:rsid w:val="008175E9"/>
    <w:rsid w:val="008242D7"/>
    <w:rsid w:val="0082577B"/>
    <w:rsid w:val="00860685"/>
    <w:rsid w:val="00866893"/>
    <w:rsid w:val="00866F02"/>
    <w:rsid w:val="00867D18"/>
    <w:rsid w:val="008701A6"/>
    <w:rsid w:val="00871F9A"/>
    <w:rsid w:val="00871FD5"/>
    <w:rsid w:val="008767D2"/>
    <w:rsid w:val="0088172E"/>
    <w:rsid w:val="00881EFA"/>
    <w:rsid w:val="008838DF"/>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265B3"/>
    <w:rsid w:val="00926E47"/>
    <w:rsid w:val="00947162"/>
    <w:rsid w:val="0096375C"/>
    <w:rsid w:val="009662E6"/>
    <w:rsid w:val="0097095E"/>
    <w:rsid w:val="0098592B"/>
    <w:rsid w:val="00985FC4"/>
    <w:rsid w:val="00990766"/>
    <w:rsid w:val="00991261"/>
    <w:rsid w:val="009964C4"/>
    <w:rsid w:val="009A7B81"/>
    <w:rsid w:val="009D01C0"/>
    <w:rsid w:val="009D6A08"/>
    <w:rsid w:val="009E0A16"/>
    <w:rsid w:val="009E7970"/>
    <w:rsid w:val="009F2EAC"/>
    <w:rsid w:val="009F57E3"/>
    <w:rsid w:val="00A061C8"/>
    <w:rsid w:val="00A10F4F"/>
    <w:rsid w:val="00A11067"/>
    <w:rsid w:val="00A1704A"/>
    <w:rsid w:val="00A425EB"/>
    <w:rsid w:val="00A50BD5"/>
    <w:rsid w:val="00A65B63"/>
    <w:rsid w:val="00A72F22"/>
    <w:rsid w:val="00A733BC"/>
    <w:rsid w:val="00A748A6"/>
    <w:rsid w:val="00A76A69"/>
    <w:rsid w:val="00A879A4"/>
    <w:rsid w:val="00AB2A4A"/>
    <w:rsid w:val="00AC0F2C"/>
    <w:rsid w:val="00AC502A"/>
    <w:rsid w:val="00AF58C1"/>
    <w:rsid w:val="00B06643"/>
    <w:rsid w:val="00B15055"/>
    <w:rsid w:val="00B30179"/>
    <w:rsid w:val="00B33A88"/>
    <w:rsid w:val="00B37B15"/>
    <w:rsid w:val="00B45C02"/>
    <w:rsid w:val="00B51C59"/>
    <w:rsid w:val="00B53C63"/>
    <w:rsid w:val="00B567C4"/>
    <w:rsid w:val="00B72A1E"/>
    <w:rsid w:val="00B73746"/>
    <w:rsid w:val="00B81E12"/>
    <w:rsid w:val="00B93659"/>
    <w:rsid w:val="00BA339B"/>
    <w:rsid w:val="00BA6E3F"/>
    <w:rsid w:val="00BC021A"/>
    <w:rsid w:val="00BC1E7E"/>
    <w:rsid w:val="00BC74E9"/>
    <w:rsid w:val="00BE36A9"/>
    <w:rsid w:val="00BE618E"/>
    <w:rsid w:val="00BE7BEC"/>
    <w:rsid w:val="00BF0A5A"/>
    <w:rsid w:val="00BF0E37"/>
    <w:rsid w:val="00BF0E63"/>
    <w:rsid w:val="00BF12A3"/>
    <w:rsid w:val="00BF16D7"/>
    <w:rsid w:val="00BF2373"/>
    <w:rsid w:val="00C044E2"/>
    <w:rsid w:val="00C048CB"/>
    <w:rsid w:val="00C066F3"/>
    <w:rsid w:val="00C463DD"/>
    <w:rsid w:val="00C745C3"/>
    <w:rsid w:val="00C97DDF"/>
    <w:rsid w:val="00CA23F8"/>
    <w:rsid w:val="00CA24A4"/>
    <w:rsid w:val="00CB348D"/>
    <w:rsid w:val="00CC4EDE"/>
    <w:rsid w:val="00CD318B"/>
    <w:rsid w:val="00CD46F5"/>
    <w:rsid w:val="00CE4A8F"/>
    <w:rsid w:val="00CF071D"/>
    <w:rsid w:val="00CF3A66"/>
    <w:rsid w:val="00D13EB9"/>
    <w:rsid w:val="00D15B04"/>
    <w:rsid w:val="00D2031B"/>
    <w:rsid w:val="00D25FE2"/>
    <w:rsid w:val="00D37DA9"/>
    <w:rsid w:val="00D406A7"/>
    <w:rsid w:val="00D43252"/>
    <w:rsid w:val="00D44D86"/>
    <w:rsid w:val="00D50B7D"/>
    <w:rsid w:val="00D52012"/>
    <w:rsid w:val="00D550AC"/>
    <w:rsid w:val="00D704E5"/>
    <w:rsid w:val="00D72727"/>
    <w:rsid w:val="00D7526D"/>
    <w:rsid w:val="00D87200"/>
    <w:rsid w:val="00D973C4"/>
    <w:rsid w:val="00D978C6"/>
    <w:rsid w:val="00DA0956"/>
    <w:rsid w:val="00DA357F"/>
    <w:rsid w:val="00DA3E12"/>
    <w:rsid w:val="00DB2D60"/>
    <w:rsid w:val="00DC18AD"/>
    <w:rsid w:val="00DD469C"/>
    <w:rsid w:val="00DE591A"/>
    <w:rsid w:val="00DF19DD"/>
    <w:rsid w:val="00DF6A14"/>
    <w:rsid w:val="00DF7CAE"/>
    <w:rsid w:val="00E15023"/>
    <w:rsid w:val="00E225DF"/>
    <w:rsid w:val="00E315A0"/>
    <w:rsid w:val="00E423C0"/>
    <w:rsid w:val="00E450D1"/>
    <w:rsid w:val="00E56A6C"/>
    <w:rsid w:val="00E6414C"/>
    <w:rsid w:val="00E7260F"/>
    <w:rsid w:val="00E77B38"/>
    <w:rsid w:val="00E8702D"/>
    <w:rsid w:val="00E916A9"/>
    <w:rsid w:val="00E916DE"/>
    <w:rsid w:val="00E96630"/>
    <w:rsid w:val="00ED18DC"/>
    <w:rsid w:val="00ED6201"/>
    <w:rsid w:val="00ED7A2A"/>
    <w:rsid w:val="00EE2974"/>
    <w:rsid w:val="00EF1D7F"/>
    <w:rsid w:val="00F0137E"/>
    <w:rsid w:val="00F035E5"/>
    <w:rsid w:val="00F17B25"/>
    <w:rsid w:val="00F21786"/>
    <w:rsid w:val="00F3742B"/>
    <w:rsid w:val="00F56D63"/>
    <w:rsid w:val="00F609A9"/>
    <w:rsid w:val="00F75677"/>
    <w:rsid w:val="00F80C99"/>
    <w:rsid w:val="00F83FFC"/>
    <w:rsid w:val="00F867EC"/>
    <w:rsid w:val="00F91B2B"/>
    <w:rsid w:val="00FB205F"/>
    <w:rsid w:val="00FC03CD"/>
    <w:rsid w:val="00FC0646"/>
    <w:rsid w:val="00FC509F"/>
    <w:rsid w:val="00FC68B7"/>
    <w:rsid w:val="00FD3520"/>
    <w:rsid w:val="00FE69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47FD4"/>
    <w:pPr>
      <w:suppressAutoHyphens/>
      <w:spacing w:line="240" w:lineRule="atLeast"/>
    </w:pPr>
    <w:rPr>
      <w:lang w:val="fr-CH"/>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character" w:styleId="PageNumber">
    <w:name w:val="page number"/>
    <w:aliases w:val="7_G"/>
    <w:basedOn w:val="DefaultParagraphFont"/>
    <w:rsid w:val="008979B1"/>
    <w:rPr>
      <w:rFonts w:ascii="Times New Roman" w:hAnsi="Times New Roman"/>
      <w:b/>
      <w:sz w:val="18"/>
    </w:r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F0137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styleId="EndnoteText">
    <w:name w:val="endnote text"/>
    <w:aliases w:val="2_G"/>
    <w:basedOn w:val="FootnoteText"/>
    <w:rsid w:val="007B6BA5"/>
  </w:style>
  <w:style w:type="paragraph" w:customStyle="1" w:styleId="H56G">
    <w:name w:val="_ H_5/6_G"/>
    <w:basedOn w:val="Normal"/>
    <w:next w:val="Normal"/>
    <w:rsid w:val="000C16CE"/>
    <w:pPr>
      <w:keepNext/>
      <w:keepLines/>
      <w:tabs>
        <w:tab w:val="right" w:pos="851"/>
      </w:tabs>
      <w:spacing w:before="240" w:after="120" w:line="240" w:lineRule="exact"/>
      <w:ind w:left="1134" w:right="1134" w:hanging="1134"/>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Bullet1G">
    <w:name w:val="_Bullet 1_G"/>
    <w:basedOn w:val="Normal"/>
    <w:rsid w:val="000C7963"/>
    <w:pPr>
      <w:numPr>
        <w:numId w:val="17"/>
      </w:numPr>
      <w:spacing w:after="120"/>
      <w:ind w:right="1134"/>
      <w:jc w:val="both"/>
    </w:pPr>
  </w:style>
  <w:style w:type="character" w:styleId="Hyperlink">
    <w:name w:val="Hyperlink"/>
    <w:basedOn w:val="DefaultParagraphFont"/>
    <w:semiHidden/>
    <w:rsid w:val="00F035E5"/>
    <w:rPr>
      <w:color w:val="auto"/>
      <w:u w:val="none"/>
    </w:rPr>
  </w:style>
  <w:style w:type="paragraph" w:styleId="Footer">
    <w:name w:val="footer"/>
    <w:aliases w:val="3_G"/>
    <w:basedOn w:val="Normal"/>
    <w:rsid w:val="009F2EAC"/>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customStyle="1" w:styleId="Bullet2G">
    <w:name w:val="_Bullet 2_G"/>
    <w:basedOn w:val="Normal"/>
    <w:rsid w:val="000C7963"/>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FollowedHyperlink">
    <w:name w:val="FollowedHyperlink"/>
    <w:basedOn w:val="DefaultParagraphFont"/>
    <w:semiHidden/>
    <w:rsid w:val="00F035E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EMPLAT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5</Pages>
  <Words>2046</Words>
  <Characters>11546</Characters>
  <Application>Microsoft Office Outlook</Application>
  <DocSecurity>4</DocSecurity>
  <Lines>202</Lines>
  <Paragraphs>51</Paragraphs>
  <ScaleCrop>false</ScaleCrop>
  <HeadingPairs>
    <vt:vector size="2" baseType="variant">
      <vt:variant>
        <vt:lpstr>Titre</vt:lpstr>
      </vt:variant>
      <vt:variant>
        <vt:i4>1</vt:i4>
      </vt:variant>
    </vt:vector>
  </HeadingPairs>
  <TitlesOfParts>
    <vt:vector size="1" baseType="lpstr">
      <vt:lpstr>CEDAW/C/SYC/Q/1-5</vt:lpstr>
    </vt:vector>
  </TitlesOfParts>
  <Company>CSD</Company>
  <LinksUpToDate>false</LinksUpToDate>
  <CharactersWithSpaces>13541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CEDAW/C/SYC/Q/1-5</dc:title>
  <dc:subject>FINAL</dc:subject>
  <dc:creator>Dariche</dc:creator>
  <cp:keywords/>
  <dc:description/>
  <cp:lastModifiedBy>DESK 1</cp:lastModifiedBy>
  <cp:revision>2</cp:revision>
  <cp:lastPrinted>2013-05-18T08:41:00Z</cp:lastPrinted>
  <dcterms:created xsi:type="dcterms:W3CDTF">2013-05-18T12:47:00Z</dcterms:created>
  <dcterms:modified xsi:type="dcterms:W3CDTF">2013-05-18T12:47:00Z</dcterms:modified>
</cp:coreProperties>
</file>