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шестая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 августа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Демократическая Республика Конго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объединенные четвертый и пятый периодический доклады Демократической Республики Конго (CEDAW/C/COD/4–5).</w:t>
      </w:r>
    </w:p>
    <w:p w:rsidR="00000000" w:rsidRDefault="00000000">
      <w:pPr>
        <w:pStyle w:val="SingleTxt"/>
      </w:pPr>
      <w:r>
        <w:t>1.</w:t>
      </w:r>
      <w:r>
        <w:tab/>
        <w:t>Просьба представить информацию о процессе подготовки доклада, в том числе сообщить, проводились ли консультации с неправительственными орг</w:t>
      </w:r>
      <w:r>
        <w:t>а</w:t>
      </w:r>
      <w:r>
        <w:t>низациями, в частности с женскими организациями.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Какие меры были приняты правительством, с тем чтобы деятельность в целях содействия обеспечению равенства между мужчинами и женщинами и осуществления в полном объеме положений Конвенции стали неотъемлемой частью и одной из приоритетных целей политики государства в рамках восст</w:t>
      </w:r>
      <w:r>
        <w:t>а</w:t>
      </w:r>
      <w:r>
        <w:t>новления страны в п</w:t>
      </w:r>
      <w:r>
        <w:t>о</w:t>
      </w:r>
      <w:r>
        <w:t>стконфликтный период?</w:t>
      </w:r>
    </w:p>
    <w:p w:rsidR="00000000" w:rsidRDefault="00000000">
      <w:pPr>
        <w:pStyle w:val="SingleTxt"/>
      </w:pPr>
      <w:r>
        <w:t>3.</w:t>
      </w:r>
      <w:r>
        <w:tab/>
        <w:t>Просьба представить информацию о том, каким образом положения Ко</w:t>
      </w:r>
      <w:r>
        <w:t>н</w:t>
      </w:r>
      <w:r>
        <w:t>венции учитываются в национальных стратегиях развития, а также в докуме</w:t>
      </w:r>
      <w:r>
        <w:t>н</w:t>
      </w:r>
      <w:r>
        <w:t>тах о стратегии сокращения масштабов нищеты и докладах о работе по дост</w:t>
      </w:r>
      <w:r>
        <w:t>и</w:t>
      </w:r>
      <w:r>
        <w:t>жению целей в области развития, сформулированных в Декларации тысячел</w:t>
      </w:r>
      <w:r>
        <w:t>е</w:t>
      </w:r>
      <w:r>
        <w:t>тия.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 и национальный механизм для улучшения положения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Просьба представить информацию о планах и сроках, намеченных прав</w:t>
      </w:r>
      <w:r>
        <w:t>и</w:t>
      </w:r>
      <w:r>
        <w:t>тельством для осуществления комплексного процесса пересмотра законод</w:t>
      </w:r>
      <w:r>
        <w:t>а</w:t>
      </w:r>
      <w:r>
        <w:t>тельства и реформы, включая создание Комиссии по правовой реформе, кот</w:t>
      </w:r>
      <w:r>
        <w:t>о</w:t>
      </w:r>
      <w:r>
        <w:t>рая будет уделять первоочередное внимание пересмотру дискриминационных законов, идущих вразрез с обязательствами правительства по Ко</w:t>
      </w:r>
      <w:r>
        <w:t>н</w:t>
      </w:r>
      <w:r>
        <w:t>венции.</w:t>
      </w:r>
    </w:p>
    <w:p w:rsidR="00000000" w:rsidRDefault="00000000">
      <w:pPr>
        <w:pStyle w:val="SingleTxt"/>
      </w:pPr>
      <w:r>
        <w:t>5.</w:t>
      </w:r>
      <w:r>
        <w:tab/>
        <w:t>Как указано в докладе (стр. 22), «пересмотренный проект семейного к</w:t>
      </w:r>
      <w:r>
        <w:t>о</w:t>
      </w:r>
      <w:r>
        <w:t xml:space="preserve">декса был представлен министерству [по делам женщин и семьи]. Он станет предметом референдума, а затем будет препровожден парламенту». Был ли проведен референдум? Просьба представить подробную информацию по этому вопросу. </w:t>
      </w:r>
    </w:p>
    <w:p w:rsidR="00000000" w:rsidRDefault="00000000">
      <w:pPr>
        <w:pStyle w:val="SingleTxt"/>
      </w:pPr>
      <w:r>
        <w:t>6.</w:t>
      </w:r>
      <w:r>
        <w:tab/>
        <w:t>В докладе (стр. 14) отмечается, что «при осуществлении своих задач м</w:t>
      </w:r>
      <w:r>
        <w:t>и</w:t>
      </w:r>
      <w:r>
        <w:t>нистерство по делам женщин и семьи сталкивается с проблемой нехватки средств, выделяемых на его нужды из государственного бюджета, … [и хотя] благодаря соответствующей работе министерства этот показатель в 2004 году увеличился с 1 до 6 процентов бюджета, …этого по</w:t>
      </w:r>
      <w:r>
        <w:noBreakHyphen/>
        <w:t>прежнему недостаточно для реализации намеченной [Национальной программы улучшения положения конголезских женщин]». Какой процент средств из госбюджета был выделен на цели деятельности национального механизма по улучшению положения же</w:t>
      </w:r>
      <w:r>
        <w:t>н</w:t>
      </w:r>
      <w:r>
        <w:t>щин на 2005 и 2006 годы? Обращалось ли правительство за финансовой пом</w:t>
      </w:r>
      <w:r>
        <w:t>о</w:t>
      </w:r>
      <w:r>
        <w:t>щью к Программе развития Организации Объединенных Наций (ПРООН), и если да, то какой объем средств был выделен?</w:t>
      </w:r>
    </w:p>
    <w:p w:rsidR="00000000" w:rsidRDefault="00000000">
      <w:pPr>
        <w:pStyle w:val="SingleTxt"/>
      </w:pPr>
      <w:r>
        <w:t>7.</w:t>
      </w:r>
      <w:r>
        <w:tab/>
        <w:t>Просьба дать описание функций отраслевых министерств, в частности з</w:t>
      </w:r>
      <w:r>
        <w:t>а</w:t>
      </w:r>
      <w:r>
        <w:t>нимающихся вопросами образования, здравоохранения и экономики, в конте</w:t>
      </w:r>
      <w:r>
        <w:t>к</w:t>
      </w:r>
      <w:r>
        <w:t>сте осуществления Национальной программы улучшения положения конголе</w:t>
      </w:r>
      <w:r>
        <w:t>з</w:t>
      </w:r>
      <w:r>
        <w:t>ских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(стр. 52) указано, что «каких-либо функциональных структур, занимающихся вопросом [обеспечения помощи жертвам насилия] не имеется», и что «эффективность… принятых мер оценить пока сложно». Каким образом правительство намерено повысить эффективность принимаемых им мер по борьбе со всеми формами насилия в отношении женщин и девочек и оказанию поддержки и помощи жертвам насилия, включая женщин и девочек, подве</w:t>
      </w:r>
      <w:r>
        <w:t>р</w:t>
      </w:r>
      <w:r>
        <w:t>гавшихся всем формам насилия в период вооруженного конфликта? Обращ</w:t>
      </w:r>
      <w:r>
        <w:t>а</w:t>
      </w:r>
      <w:r>
        <w:t>лось ли правительство или планирует обраться за технической и финансовой помощью к Детскому фонду Организации Объединенных Наций (ЮНИСЕФ)?</w:t>
      </w:r>
    </w:p>
    <w:p w:rsidR="00000000" w:rsidRDefault="00000000">
      <w:pPr>
        <w:pStyle w:val="SingleTxt"/>
      </w:pPr>
      <w:r>
        <w:t>9.</w:t>
      </w:r>
      <w:r>
        <w:tab/>
        <w:t>Намеревается ли правительство учредить национальную программу для борьбы с насилием в отношении женщин и девочек? Кроме того, намеревается ли правительство задействовать все средства массовой информации в целях оказания поддержки в осуществлении такой программы и были ли выделены ассигнования на эти цели? Просьба представить подробную информацию по этому вопросу.</w:t>
      </w:r>
    </w:p>
    <w:p w:rsidR="00000000" w:rsidRDefault="00000000">
      <w:pPr>
        <w:pStyle w:val="SingleTxt"/>
      </w:pPr>
      <w:r>
        <w:t>10.</w:t>
      </w:r>
      <w:r>
        <w:tab/>
        <w:t>Как было указано в двадцатом докладе Генерального секретаря о Миссии Организации Объединенных Наций в Демократической Республике Конго (МООНДРК) (см. документ S/2005/832, пункт 61), в ноябре 2005 года в составе МООНДРК была учреждена Группа по вопросам поведения и дисциплины, к</w:t>
      </w:r>
      <w:r>
        <w:t>о</w:t>
      </w:r>
      <w:r>
        <w:t>торая, в частности, призвана обеспечить профилактику случаев сексуальной эксплуатации и сексуальных надругательств со стороны личного состава МООНДРК по отношению к женщинам и девочкам и принятие необходимых мер в соответствующих случаях. Каким образом правительство сотрудничает с МООНДРК, когда необходимо принимать меры в связи со случаями сексуал</w:t>
      </w:r>
      <w:r>
        <w:t>ь</w:t>
      </w:r>
      <w:r>
        <w:t>ной эксплуатации женщин и девочек и сексуальных надругательств над ними со стороны персонала Организации Объединенных Наций и связанного с ним персонала? Просьба представить подробную информацию по этому вопросу.</w:t>
      </w:r>
    </w:p>
    <w:p w:rsidR="00000000" w:rsidRDefault="00000000">
      <w:pPr>
        <w:pStyle w:val="SingleTxt"/>
      </w:pPr>
      <w:r>
        <w:t>11.</w:t>
      </w:r>
      <w:r>
        <w:tab/>
        <w:t>В докладе (стр. 16) сообщается, что согласно Закону № 015/2002 от 16 октября 2002 года, включающему текст Трудового кодекса, «сексуальное домогательство и моральное давление (статьи 73 и 74), а также запугивание отныне считаются тяжким дисциплинарным проступком со стороны нанимат</w:t>
      </w:r>
      <w:r>
        <w:t>е</w:t>
      </w:r>
      <w:r>
        <w:t>ля или работника и могут привести к расторжению контракта». О скольких случаях сексуальных домогательств и морального давления было сообщено, в скольких случаях разбирательство было успешно завершено, и какие наказания были вын</w:t>
      </w:r>
      <w:r>
        <w:t>е</w:t>
      </w:r>
      <w:r>
        <w:t>сены после вступления Закона в силу?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 и торговля женщинами и детьми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В предыдущих заключительных замечаниях Комитет выразил обеспок</w:t>
      </w:r>
      <w:r>
        <w:t>о</w:t>
      </w:r>
      <w:r>
        <w:t>енность по поводу масштабов проституции и, в частности, проституции дев</w:t>
      </w:r>
      <w:r>
        <w:t>о</w:t>
      </w:r>
      <w:r>
        <w:t>чек, и рекомендовал принять законодательство, запрещающее проституцию д</w:t>
      </w:r>
      <w:r>
        <w:t>е</w:t>
      </w:r>
      <w:r>
        <w:t>вочек, и обеспечить его соблюдение, а также предусмотреть соответствующие меры социальной реабилитации проституток и оказание им психологической и консультативной помощи и медицинских услуг. Просьба представить инфо</w:t>
      </w:r>
      <w:r>
        <w:t>р</w:t>
      </w:r>
      <w:r>
        <w:t>мацию о процессе введения в действие соответствующих положений законод</w:t>
      </w:r>
      <w:r>
        <w:t>а</w:t>
      </w:r>
      <w:r>
        <w:t>тельства о борьбе с эксплуатацией проституции, а также о мерах, принима</w:t>
      </w:r>
      <w:r>
        <w:t>е</w:t>
      </w:r>
      <w:r>
        <w:t>мых в целях оказания помощи проституткам и их реабилитации. Обращалось ли правительство или планирует обратиться за технической и финансовой п</w:t>
      </w:r>
      <w:r>
        <w:t>о</w:t>
      </w:r>
      <w:r>
        <w:t>мощью к Всемирной организации здравоохранения (ВОЗ)?</w:t>
      </w:r>
    </w:p>
    <w:p w:rsidR="00000000" w:rsidRDefault="00000000">
      <w:pPr>
        <w:pStyle w:val="SingleTxt"/>
      </w:pPr>
      <w:r>
        <w:t>13.</w:t>
      </w:r>
      <w:r>
        <w:tab/>
        <w:t>В докладе (стр. 30) отмечается, что «торговля женщинами не является распространенным явлением в Демократической Республике Конго». Однако Специальный докладчик Комиссии по правам человека по вопросу о насилии в отношении женщин отметила, «что в стране существует проблема торговли людьми: женщины и дети вывозятся из страны в качестве товара» (E/CN.4/2003/75/Add.1, пункт 196). Проводило ли правительство исследования в целях оценки масштабов проблемы торговли женщинами и девочками?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своих предыдущих заключительных замечаниях Комитет с глубоким беспокойством отметил высокий коэффициент материнской и младенческой смертности, низкий уровень применения противозачаточных средств, особенно в сельских районах, и снижение качества услуг в сфере здравоохранения. Из доклада следует, что положение в этих сферах за прошедшее время не улучш</w:t>
      </w:r>
      <w:r>
        <w:t>и</w:t>
      </w:r>
      <w:r>
        <w:t>лось. Просьба представить информацию о том, что делается в целях снижения показателей материнской и младенческой смертности, более широкого прим</w:t>
      </w:r>
      <w:r>
        <w:t>е</w:t>
      </w:r>
      <w:r>
        <w:t>нения противозачаточных средств мужчинами и женщинами, организации п</w:t>
      </w:r>
      <w:r>
        <w:t>о</w:t>
      </w:r>
      <w:r>
        <w:t>лового воспитания среди молодежи и повышения эффективности медицинск</w:t>
      </w:r>
      <w:r>
        <w:t>о</w:t>
      </w:r>
      <w:r>
        <w:t>го обслуживания. Обращалось ли или планирует правительство обратиться за помощью к ВОЗ и Фонду Организации Объединенных Наций в области нар</w:t>
      </w:r>
      <w:r>
        <w:t>о</w:t>
      </w:r>
      <w:r>
        <w:t>донаселения (ЮНФПА), в частности за помощью в плане поставок противоз</w:t>
      </w:r>
      <w:r>
        <w:t>а</w:t>
      </w:r>
      <w:r>
        <w:t>чаточных средств?</w:t>
      </w:r>
    </w:p>
    <w:p w:rsidR="00000000" w:rsidRDefault="00000000">
      <w:pPr>
        <w:pStyle w:val="SingleTxt"/>
      </w:pPr>
      <w:r>
        <w:t>15.</w:t>
      </w:r>
      <w:r>
        <w:tab/>
        <w:t>В докладе указано (стр. 39), что результаты проведенного в 2001 году о</w:t>
      </w:r>
      <w:r>
        <w:t>б</w:t>
      </w:r>
      <w:r>
        <w:t>следования по многим показателям с применением гнездовой выборки показ</w:t>
      </w:r>
      <w:r>
        <w:t>ы</w:t>
      </w:r>
      <w:r>
        <w:t>вают, что «не более 10 процентов женщин хорошо осведомлены о способах п</w:t>
      </w:r>
      <w:r>
        <w:t>е</w:t>
      </w:r>
      <w:r>
        <w:t>редачи СПИДа». Какие инициативы были предприняты либо поддержаны пр</w:t>
      </w:r>
      <w:r>
        <w:t>а</w:t>
      </w:r>
      <w:r>
        <w:t>вительством в целях повышения степени осведомленности женщин и мужчин, включая молодежь, по вопросам ВИЧ/СПИДа. Просьба указать также, были ли вопросы гендерной проблематики учтены в Национальной программе борьбы с ВИЧ/СПИДом. Обращалось ли или планирует ли правительство обратиться за технической и фина</w:t>
      </w:r>
      <w:r>
        <w:t>н</w:t>
      </w:r>
      <w:r>
        <w:t>совой помощью к ВОЗ?</w:t>
      </w:r>
    </w:p>
    <w:p w:rsidR="00000000" w:rsidRDefault="00000000">
      <w:pPr>
        <w:pStyle w:val="SingleTxt"/>
      </w:pPr>
      <w:r>
        <w:t>16.</w:t>
      </w:r>
      <w:r>
        <w:tab/>
        <w:t>Просьба сообщить, какое лечение могут получать женщины, инфицир</w:t>
      </w:r>
      <w:r>
        <w:t>о</w:t>
      </w:r>
      <w:r>
        <w:t>ванные ВИЧ/СПИДом, и какая финансовая помощь предоставляется на эти ц</w:t>
      </w:r>
      <w:r>
        <w:t>е</w:t>
      </w:r>
      <w:r>
        <w:t>ли и из каких источников.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Согласно представленной в докладе информации (стр. 34–35), чистая доля учащихся в возрастной группе 6–11 лет снизилась с 56 процентов в 1995 году до 52 процентов в 2001 году. Весьма велико и число детей, выбывающих из школы: из 100 детей, поступивших в первый класс, лишь 25 доучиваются до пятого класса. В докладе также указывается, что в большей степени такое п</w:t>
      </w:r>
      <w:r>
        <w:t>о</w:t>
      </w:r>
      <w:r>
        <w:t>ложение затрагивает девочек. Более того, неграмотной является каждая вторая женщина. Какие программы разрабатываются правительством, с тем чтобы уделять приоритетное внимание вопросам, касающимся расширения возмо</w:t>
      </w:r>
      <w:r>
        <w:t>ж</w:t>
      </w:r>
      <w:r>
        <w:t>ностей девочек в плане получения образования, сокращения числа учащихся, выбывающих из школы, а также снижения уровня неграмотности среди же</w:t>
      </w:r>
      <w:r>
        <w:t>н</w:t>
      </w:r>
      <w:r>
        <w:t>щин? Просьба сообщить, какие финансовые ресурсы и из каких источников имеются в распоряжении государства-участника на деятельность в сфере обр</w:t>
      </w:r>
      <w:r>
        <w:t>а</w:t>
      </w:r>
      <w:r>
        <w:t>зования, в частности на цели образования и ликвидации неграмотности среди женщин и девочек. Обращалось ли или планирует ли правительство обратиться за технической и финансовой помощью к Организации Объединенных Наций по вопросам образования, науки и культуры (ЮНЕСКО)?</w:t>
      </w:r>
    </w:p>
    <w:p w:rsidR="00000000" w:rsidRDefault="00000000">
      <w:pPr>
        <w:pStyle w:val="SingleTxt"/>
      </w:pPr>
      <w:r>
        <w:t>18.</w:t>
      </w:r>
      <w:r>
        <w:tab/>
        <w:t>В докладе (стр. 36–37) указано, что «большая доля населения считает, что обучение в школах мальчиков является более важным, нежели обучение в шк</w:t>
      </w:r>
      <w:r>
        <w:t>о</w:t>
      </w:r>
      <w:r>
        <w:t>лах женщин» и что «необходимо… принять меры для пропагандирования идеи о том, что образование девочек представляет собой не меньшую ценность, чем образование мальчиков». Какие меры были приняты в этой области?</w:t>
      </w:r>
    </w:p>
    <w:p w:rsidR="00000000" w:rsidRDefault="00000000">
      <w:pPr>
        <w:pStyle w:val="SingleTxt"/>
      </w:pPr>
      <w:r>
        <w:t>19.</w:t>
      </w:r>
      <w:r>
        <w:tab/>
        <w:t>В докладе (стр. 29) отмечается, что один из способов борьбы с гендерн</w:t>
      </w:r>
      <w:r>
        <w:t>ы</w:t>
      </w:r>
      <w:r>
        <w:t>ми стереотипами заключается в том, чтобы «возложить на родителей главную ответственность за формирование у детей правильных представлений в связи с вопросами гендерного характера». Какие программы осуществляет правител</w:t>
      </w:r>
      <w:r>
        <w:t>ь</w:t>
      </w:r>
      <w:r>
        <w:t>ство с целью обеспечить родителям возможности для пропаганды принципов равенства м</w:t>
      </w:r>
      <w:r>
        <w:t>е</w:t>
      </w:r>
      <w:r>
        <w:t>жду мужчинами и женщинами?</w:t>
      </w:r>
    </w:p>
    <w:p w:rsidR="00000000" w:rsidRDefault="00000000">
      <w:pPr>
        <w:pStyle w:val="SingleTxt"/>
      </w:pPr>
      <w:r>
        <w:t>20.</w:t>
      </w:r>
      <w:r>
        <w:tab/>
        <w:t>Просьба сообщить, какие шаги были приняты во исполнение рекоменд</w:t>
      </w:r>
      <w:r>
        <w:t>а</w:t>
      </w:r>
      <w:r>
        <w:t>ций, содержавшихся в предыдущих заключительных замечаниях Комитета о необходимости принять законодательство и проводить и</w:t>
      </w:r>
      <w:r>
        <w:t>н</w:t>
      </w:r>
      <w:r>
        <w:t>формационно-просветительские кампании в целях борьбы с такими нарушающими основные права женщин и девочек традиционными обычаями и видами практики, как приданое, левират, полигамия, брак по принуждению, права наследования, а также калечащие операции на женских половых органах?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процессе принятия решений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Как указано в докладе, представленность женщин на связанных с прин</w:t>
      </w:r>
      <w:r>
        <w:t>я</w:t>
      </w:r>
      <w:r>
        <w:t>тием решений должностях в учреждениях переходного периода, созданных по итогам проведения межконголезского диалога, остается низкой. Просьба пре</w:t>
      </w:r>
      <w:r>
        <w:t>д</w:t>
      </w:r>
      <w:r>
        <w:t>ставить информацию о мерах, которые правительство приняло или планирует принять, с тем чтобы обеспечить полноценное участие женщин в политической и общественной жизни в период постконфликтного восстановления, в том чи</w:t>
      </w:r>
      <w:r>
        <w:t>с</w:t>
      </w:r>
      <w:r>
        <w:t>ле путем принятия временных специальных мер в соответствии с пунктом 1 статьи 4 Конвенции и общей рекомендацией № 25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расширение прав и возможностей женщин в экономической сфере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В докладе (стр. 43–44) указано, что «только 8 процентов женщин заним</w:t>
      </w:r>
      <w:r>
        <w:t>а</w:t>
      </w:r>
      <w:r>
        <w:t>ются общей предпринимательской деятельностью» и что «в настоящее время в формальном секторе женщины стоят во главе только 5 процентов предпр</w:t>
      </w:r>
      <w:r>
        <w:t>и</w:t>
      </w:r>
      <w:r>
        <w:t>ятий». В нем сообщается также (стр. 41), что женщины не имеют доступа к финансовым кредитам, не знакомы с основами счетоводства и не умеют вести бухгалтерские книги. Просьба представить информацию об инициативах, кот</w:t>
      </w:r>
      <w:r>
        <w:t>о</w:t>
      </w:r>
      <w:r>
        <w:t>рые осуществляются или планируются к осуществлению в целях расширения доступа женщин к кредитованию и активизации их участия в экономической жизни страны.</w:t>
      </w:r>
    </w:p>
    <w:p w:rsidR="00000000" w:rsidRDefault="00000000">
      <w:pPr>
        <w:pStyle w:val="SingleTxt"/>
      </w:pPr>
      <w:r>
        <w:t>23.</w:t>
      </w:r>
      <w:r>
        <w:tab/>
        <w:t>Намеревается ли правительство внести поправки в статью 124 нового Трудового кодекса, в которой запрещается работа женщин в ночное время на государственных промышленных или частных предприятиях (стр. 24)?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отношения в семье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В докладе (стр. 18) указано, что вступать в брак девочки могут с 15 лет, а мальчики — с 18 лет. Намеревается ли правительство пересмотреть этот ди</w:t>
      </w:r>
      <w:r>
        <w:t>с</w:t>
      </w:r>
      <w:r>
        <w:t>криминационный закон, идущий вразрез со статьей 16 Конвенции, а также Конвенцией о правах ребенка?</w:t>
      </w:r>
    </w:p>
    <w:p w:rsidR="00000000" w:rsidRDefault="00000000">
      <w:pPr>
        <w:pStyle w:val="SingleTxt"/>
      </w:pPr>
      <w:r>
        <w:t>25.</w:t>
      </w:r>
      <w:r>
        <w:tab/>
        <w:t>В докладе (стр. 47) сообщается, что «по незнанию женщина вступает в фактический союз, ограничивающийся только внесением выкупа или религ</w:t>
      </w:r>
      <w:r>
        <w:t>и</w:t>
      </w:r>
      <w:r>
        <w:t>озным венчанием, … [при этом] брак не регистрируется в государственных о</w:t>
      </w:r>
      <w:r>
        <w:t>т</w:t>
      </w:r>
      <w:r>
        <w:t>делах записи актов гражданского состояния». Какие меры, помимо пропага</w:t>
      </w:r>
      <w:r>
        <w:t>н</w:t>
      </w:r>
      <w:r>
        <w:t>дистской кампании, проведенной в 2001 году министерством по делам женщин и семьи при поддержке ЮНИСЕФ, были приняты с целью обеспечить регис</w:t>
      </w:r>
      <w:r>
        <w:t>т</w:t>
      </w:r>
      <w:r>
        <w:t>рацию брака в государственных отделах записи актов гражданского с</w:t>
      </w:r>
      <w:r>
        <w:t>о</w:t>
      </w:r>
      <w:r>
        <w:t>стояния?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Имущественные права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В докладе (стр. 20–21) отмечается, что «Закон № 73-021 от 20 июля 1973 года, предусматривающий регулирование вопросов собственности, влад</w:t>
      </w:r>
      <w:r>
        <w:t>е</w:t>
      </w:r>
      <w:r>
        <w:t>ния землей, недвижимости и ценных бумаг, с внесенными в него изменениями и дополнениями не содержит дискриминационных положений». Наряду с этим в нем сообщается, что «если замужняя женщина желает приобрести право у</w:t>
      </w:r>
      <w:r>
        <w:t>с</w:t>
      </w:r>
      <w:r>
        <w:t>тупки в отношении какого</w:t>
      </w:r>
      <w:r>
        <w:noBreakHyphen/>
        <w:t>либо участка, она должна предварительно заручит</w:t>
      </w:r>
      <w:r>
        <w:t>ь</w:t>
      </w:r>
      <w:r>
        <w:t>ся разрешением супруга». Просьба указать, были или будут ли внесены п</w:t>
      </w:r>
      <w:r>
        <w:t>о</w:t>
      </w:r>
      <w:r>
        <w:t>правки в положение, в соответствии с которым женщина должна заручиться разрешением супруга, если желает приобрести право уступки на какой</w:t>
      </w:r>
      <w:r>
        <w:noBreakHyphen/>
        <w:t>либо земел</w:t>
      </w:r>
      <w:r>
        <w:t>ь</w:t>
      </w:r>
      <w:r>
        <w:t xml:space="preserve">ный участок.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27.</w:t>
      </w:r>
      <w:r>
        <w:tab/>
        <w:t>В своих предыдущих заключительных замечаниях Комитет выразил обе</w:t>
      </w:r>
      <w:r>
        <w:t>с</w:t>
      </w:r>
      <w:r>
        <w:t>покоенность в связи с положением сельских женщин и настоятельно призвал правительство обеспечить, чтобы они пользовались плодами политики и пр</w:t>
      </w:r>
      <w:r>
        <w:t>о</w:t>
      </w:r>
      <w:r>
        <w:t>грамм, осуществляемых во всех областях, и обеспечить равноправное участие сельских женщин в принятии решений и их доступ к медицинским услугам и кредитам. Комитет рекомендовал также глубже изучить положение сельских женщин и собрать больше статистических данных, что обеспечило бы основу для выработки руководящих принципов в этой области. Просьба сообщить, к</w:t>
      </w:r>
      <w:r>
        <w:t>а</w:t>
      </w:r>
      <w:r>
        <w:t>кие меры правительство приняло или планирует принять во исполнение рек</w:t>
      </w:r>
      <w:r>
        <w:t>о</w:t>
      </w:r>
      <w:r>
        <w:t>мендаций, утвержденных Комитетом по этим вопр</w:t>
      </w:r>
      <w:r>
        <w:t>о</w:t>
      </w:r>
      <w:r>
        <w:t>сам.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Просьба сообщить, достигнут ли прогресс в деле ратификации Факульт</w:t>
      </w:r>
      <w:r>
        <w:t>а</w:t>
      </w:r>
      <w:r>
        <w:t>тивного протокола к Конвенции о ликвидации всех форм дискриминации в о</w:t>
      </w:r>
      <w:r>
        <w:t>т</w:t>
      </w:r>
      <w:r>
        <w:t>ношении женщин.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NO&gt;&gt;N0624920R&lt;&lt;ODS JOB NO&gt;&gt;</w:t>
      </w:r>
    </w:p>
    <w:p w:rsidR="00000000" w:rsidRDefault="00000000">
      <w:pPr>
        <w:pStyle w:val="CommentText"/>
      </w:pPr>
      <w:r>
        <w:t>&lt;&lt;ODS DOC SYMBOL1&gt;&gt;CEDAW/C/COD/Q/5&lt;&lt;ODS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06-24920 (R)    020306    030306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*0624920*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CEDAW/C/COD/Q/5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CEDAW/C/COD/Q/5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/C/COD/Q/5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14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3/2006 20:36:07"/>
    <w:docVar w:name="DocCategory" w:val="Doc"/>
    <w:docVar w:name="DocType" w:val="Final"/>
    <w:docVar w:name="JobNo" w:val="0624920R"/>
    <w:docVar w:name="OandT" w:val=" "/>
    <w:docVar w:name="Symbol1" w:val="CEDAW/C/COD/Q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6</Pages>
  <Words>2105</Words>
  <Characters>12001</Characters>
  <Application>Microsoft Office Word</Application>
  <DocSecurity>4</DocSecurity>
  <Lines>100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14738</CharactersWithSpaces>
  <SharedDoc>false</SharedDoc>
  <HLinks>
    <vt:vector size="6" baseType="variant">
      <vt:variant>
        <vt:i4>4522087</vt:i4>
      </vt:variant>
      <vt:variant>
        <vt:i4>30370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Taissia.Mitrofanova</dc:creator>
  <cp:keywords/>
  <dc:description/>
  <cp:lastModifiedBy>Natalia.Korshunova</cp:lastModifiedBy>
  <cp:revision>6</cp:revision>
  <cp:lastPrinted>2006-03-03T10:02:00Z</cp:lastPrinted>
  <dcterms:created xsi:type="dcterms:W3CDTF">2006-03-03T09:59:00Z</dcterms:created>
  <dcterms:modified xsi:type="dcterms:W3CDTF">2006-03-03T11:07:00Z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0624920</vt:lpwstr>
  </property>
  <property fmtid="{D5CDD505-2E9C-101B-9397-08002B2CF9AE}" pid="3" name="Symbol1">
    <vt:lpwstr>CEDAW/C/COD/Q/5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/>
  </property>
</Properties>
</file>