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comments.xml" ContentType="application/vnd.openxmlformats-officedocument.wordprocessingml.comments+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spacing w:line="60" w:lineRule="exact"/>
        <w:rPr>
          <w:sz w:val="6"/>
        </w:rPr>
        <w:sectPr w:rsidR="00000000">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pStyle w:val="H1"/>
        <w:tabs>
          <w:tab w:val="clear" w:pos="1763"/>
        </w:tabs>
        <w:ind w:left="0"/>
      </w:pPr>
      <w:commentRangeStart w:id="0"/>
      <w:r>
        <w:t xml:space="preserve">Комитет </w:t>
      </w:r>
      <w:commentRangeEnd w:id="0"/>
      <w:r>
        <w:rPr>
          <w:rStyle w:val="CommentReference"/>
          <w:b w:val="0"/>
          <w:vanish/>
        </w:rPr>
        <w:commentReference w:id="0"/>
      </w:r>
      <w:r>
        <w:t xml:space="preserve">по ликвидации </w:t>
      </w:r>
      <w:r>
        <w:br/>
        <w:t>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pPr>
      <w:r>
        <w:t>Рассмотрение докладов, представленных государствами-участниками в соотве</w:t>
      </w:r>
      <w:r>
        <w:t>т</w:t>
      </w:r>
      <w:r>
        <w:t xml:space="preserve">ствии </w:t>
      </w:r>
      <w:r>
        <w:br/>
        <w:t>со статьей 18 Конвенции о ликвидации всех форм дискриминации в отн</w:t>
      </w:r>
      <w:r>
        <w:t>о</w:t>
      </w:r>
      <w:r>
        <w:t>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clear" w:pos="1763"/>
        </w:tabs>
        <w:spacing w:before="0" w:after="0"/>
        <w:ind w:left="1275" w:hanging="11"/>
      </w:pPr>
      <w:r>
        <w:t>Объединенные четвертый и пятый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pPr>
      <w:r>
        <w:t>Турция</w:t>
      </w:r>
      <w:r>
        <w:rPr>
          <w:rStyle w:val="FootnoteReference"/>
          <w:rFonts w:ascii="Arial" w:hAnsi="Arial"/>
          <w:b w:val="0"/>
        </w:rPr>
        <w:footnoteReference w:customMarkFollows="1" w:id="1"/>
        <w:sym w:font="Symbol" w:char="F02A"/>
      </w:r>
    </w:p>
    <w:p w:rsidR="00000000" w:rsidRDefault="00000000">
      <w:pPr>
        <w:pStyle w:val="HCh"/>
      </w:pPr>
      <w:r>
        <w:br w:type="page"/>
        <w:t>Введение</w:t>
      </w:r>
    </w:p>
    <w:p w:rsidR="00000000" w:rsidRDefault="00000000">
      <w:pPr>
        <w:pStyle w:val="SingleTxt"/>
      </w:pPr>
      <w:r>
        <w:t>Турция представила свои второй и третий периодические доклады (</w:t>
      </w:r>
      <w:r>
        <w:rPr>
          <w:lang w:val="en-US"/>
        </w:rPr>
        <w:t>CEDAW</w:t>
      </w:r>
      <w:r>
        <w:t>/</w:t>
      </w:r>
      <w:r>
        <w:rPr>
          <w:lang w:val="en-US"/>
        </w:rPr>
        <w:t>C</w:t>
      </w:r>
      <w:r>
        <w:t>/</w:t>
      </w:r>
      <w:r>
        <w:rPr>
          <w:lang w:val="en-US"/>
        </w:rPr>
        <w:t>TUR</w:t>
      </w:r>
      <w:r>
        <w:t>/2-3) Комитету по ликвидации дискриминации в отношении женщин на его 318-ом и 319-ом заседаниях 17 августа 1997 года. С тех пор как в мире, так и в самой Турции произошло множество как позитивных, так и н</w:t>
      </w:r>
      <w:r>
        <w:t>е</w:t>
      </w:r>
      <w:r>
        <w:t>гативных изменений с точки зрения обеспечения гендерного равенства и с</w:t>
      </w:r>
      <w:r>
        <w:t>о</w:t>
      </w:r>
      <w:r>
        <w:t>хранения мира во всем мире.</w:t>
      </w:r>
    </w:p>
    <w:p w:rsidR="00000000" w:rsidRDefault="00000000">
      <w:pPr>
        <w:pStyle w:val="SingleTxt"/>
      </w:pPr>
      <w:r>
        <w:t>В 1999 году мы отметили двадцатую годовщину принятия Конвенции о ликвидации всех форм дискриминации в отношении женщин, являющуюся биллем о правах женщин; в том же году Генеральная ассамблея приняла Ф</w:t>
      </w:r>
      <w:r>
        <w:t>а</w:t>
      </w:r>
      <w:r>
        <w:t>культативный протокол к КЛДЖ, в соответствии с которым Комитет был упо</w:t>
      </w:r>
      <w:r>
        <w:t>л</w:t>
      </w:r>
      <w:r>
        <w:t>номочен принимать более активные меры в ответ на систематические наруш</w:t>
      </w:r>
      <w:r>
        <w:t>е</w:t>
      </w:r>
      <w:r>
        <w:t>ния прав женщин; в 2000 году международное сообщество провело обзор и оценку прогресса, достигнутого в области осуществления Платформы дейс</w:t>
      </w:r>
      <w:r>
        <w:t>т</w:t>
      </w:r>
      <w:r>
        <w:t>вий, и определила дальнейшие действия и инициативы, направленные на до</w:t>
      </w:r>
      <w:r>
        <w:t>с</w:t>
      </w:r>
      <w:r>
        <w:t>тижение равенства между женщинами и мужчинами; в том же году Совет без</w:t>
      </w:r>
      <w:r>
        <w:t>о</w:t>
      </w:r>
      <w:r>
        <w:t>пасности рассмотрел вопрос о женщинах и мире, тем самым выведя гендерную проблематику на передний план в ведущемся многостороннем диалоге по в</w:t>
      </w:r>
      <w:r>
        <w:t>о</w:t>
      </w:r>
      <w:r>
        <w:t>просам предотвращения конфликтов и миростроительства; в 2001 году Коми</w:t>
      </w:r>
      <w:r>
        <w:t>с</w:t>
      </w:r>
      <w:r>
        <w:t>сия по положению женщин приняла свою новую многолетнюю программу р</w:t>
      </w:r>
      <w:r>
        <w:t>а</w:t>
      </w:r>
      <w:r>
        <w:t>боты, в которой очерчены приоритетные области стратегии по достижению гендерного равенства на 2002-2006 годы; и наконец, в 2002 году Генеральная ассамблея с глубоким удовлетворением приняла резолюцию о "преступлениях чести".</w:t>
      </w:r>
    </w:p>
    <w:p w:rsidR="00000000" w:rsidRDefault="00000000">
      <w:pPr>
        <w:pStyle w:val="SingleTxt"/>
      </w:pPr>
      <w:r>
        <w:t>Для Турции период с 1997 года был ознаменован радикальными правов</w:t>
      </w:r>
      <w:r>
        <w:t>ы</w:t>
      </w:r>
      <w:r>
        <w:t>ми реформами, в ходе которых были устранены основные положения, дискр</w:t>
      </w:r>
      <w:r>
        <w:t>и</w:t>
      </w:r>
      <w:r>
        <w:t>минирующие женщин, а также другими инициативами, направленными на расширение областей, в которых обеспечено равенство и права женщин. В 1997 году продолжительность обязательного базового образования была увел</w:t>
      </w:r>
      <w:r>
        <w:t>и</w:t>
      </w:r>
      <w:r>
        <w:t>чена с пяти до восьми лет; в 1998 году был принят закон о пресечении насилия в семье (Закон о защите семьи); в 1999 году были сняты оговорки к КЛДЖ; в 2002 году, после долгих пяти лет кропотливой работы, был принят новый Гр</w:t>
      </w:r>
      <w:r>
        <w:t>а</w:t>
      </w:r>
      <w:r>
        <w:t>жданский кодекс; в 2001 году парламент ратифицировал факультативный пр</w:t>
      </w:r>
      <w:r>
        <w:t>о</w:t>
      </w:r>
      <w:r>
        <w:t>токол к КЛДЖ; и указанное изменение законодательной базы позволило неда</w:t>
      </w:r>
      <w:r>
        <w:t>в</w:t>
      </w:r>
      <w:r>
        <w:t>но сформированному пятьдесят восьмому правительству включить в свою пр</w:t>
      </w:r>
      <w:r>
        <w:t>о</w:t>
      </w:r>
      <w:r>
        <w:t>грамму меры по обеспечению соблюдения принципов КЛДЖ, в частности, в целях борьбы с насилием в отношении женщин, нищетой среди женщин и эк</w:t>
      </w:r>
      <w:r>
        <w:t>о</w:t>
      </w:r>
      <w:r>
        <w:t>номической эксплуатацией женщин.</w:t>
      </w:r>
    </w:p>
    <w:p w:rsidR="00000000" w:rsidRDefault="00000000">
      <w:pPr>
        <w:pStyle w:val="SingleTxt"/>
      </w:pPr>
      <w:r>
        <w:t>Однако успехи, достигнутые внутри страны и за рубежом, омрачаются н</w:t>
      </w:r>
      <w:r>
        <w:t>а</w:t>
      </w:r>
      <w:r>
        <w:t>растающими тенденциями политического консерватизма, углубляющимся с</w:t>
      </w:r>
      <w:r>
        <w:t>о</w:t>
      </w:r>
      <w:r>
        <w:t>циально-экономическим неравенством и разрастающимися конфликтами во всем мире. Несомненно, наибольшее потрясение вызвали трагические события 11 сентября 2001 года и последующее развитие ситуации, которое грозит п</w:t>
      </w:r>
      <w:r>
        <w:t>о</w:t>
      </w:r>
      <w:r>
        <w:t>дорвать конструктивный диалог в рамках международного сообщества. Поэт</w:t>
      </w:r>
      <w:r>
        <w:t>о</w:t>
      </w:r>
      <w:r>
        <w:t>му совместный Форум ЕС-ОИК, проведенный по приглашению Турции в Стамбуле 12 и 13 февраля 2002 года, служит хорошим примером усилий, н</w:t>
      </w:r>
      <w:r>
        <w:t>а</w:t>
      </w:r>
      <w:r>
        <w:t>правленных на поддержание такого диалога. Продолжение диалога крайне важно для того, чтобы не допустить обращения вспять достигнутого к насто</w:t>
      </w:r>
      <w:r>
        <w:t>я</w:t>
      </w:r>
      <w:r>
        <w:t>щему времени прогресса в области обеспечения гражданских свобод, всеобщих прав человека и международного сотрудничества. Хорошо известно, что сег</w:t>
      </w:r>
      <w:r>
        <w:t>о</w:t>
      </w:r>
      <w:r>
        <w:t>дня в условиях усиления репрессивных и антидемократических тенденций в первую очередь ущемляются и приносятся в жертву права женщин.</w:t>
      </w:r>
    </w:p>
    <w:p w:rsidR="00000000" w:rsidRDefault="00000000">
      <w:pPr>
        <w:pStyle w:val="SingleTxt"/>
      </w:pPr>
      <w:r>
        <w:t>Что касается ситуации внутри страны, то турецкое общество сталкивается с серьезными проблемами. К 1997 году силам безопасности наконец удалось обуздать волну террора, которая поднялась в середине 80-х годов и разраст</w:t>
      </w:r>
      <w:r>
        <w:t>а</w:t>
      </w:r>
      <w:r>
        <w:t>лась вплоть до первой половины 90-х. Это позволило государству немедленно приступить к реализации действенной программы социально-экономических преобразований восточных провинций, пострадавших в наибольшей степени. Вместе с тем государство постепенно упраздняет чрезвычайные механизмы безопасности, введенные в действие в данном районе с целью борьбы с терр</w:t>
      </w:r>
      <w:r>
        <w:t>о</w:t>
      </w:r>
      <w:r>
        <w:t>ризмом, для восстановления гражданского правопорядка. Благодаря этому со</w:t>
      </w:r>
      <w:r>
        <w:t>з</w:t>
      </w:r>
      <w:r>
        <w:t>даются благоприятные условия для осуществления эффективной политики и программ решения многогранных проблем, с которыми сталкиваются женщины в восточных районах.</w:t>
      </w:r>
    </w:p>
    <w:p w:rsidR="00000000" w:rsidRDefault="00000000">
      <w:pPr>
        <w:pStyle w:val="SingleTxt"/>
      </w:pPr>
      <w:r>
        <w:t>В 1999 году Турцию постигла еще одна трагедия. Мощное землетрясение унесло множество человеческих жизней, причинило значительный материал</w:t>
      </w:r>
      <w:r>
        <w:t>ь</w:t>
      </w:r>
      <w:r>
        <w:t>ный ущерб и вызвало глубокое моральное потрясение в обществе: последствия землетрясения не ликвидированы до сих пор. Усилия по восстановлению руин были подорваны недавним экономическим кризисом, вследствие которого ре</w:t>
      </w:r>
      <w:r>
        <w:t>з</w:t>
      </w:r>
      <w:r>
        <w:t>ко возросла доля населения, живущего за чертой бедности. И хотя на момент подготовки настоящего доклада в стране появились первые признаки эконом</w:t>
      </w:r>
      <w:r>
        <w:t>и</w:t>
      </w:r>
      <w:r>
        <w:t>ческого оживления, как представляется, все еще существует вероятность во</w:t>
      </w:r>
      <w:r>
        <w:t>з</w:t>
      </w:r>
      <w:r>
        <w:t>никновения войны в упомянутом районе, которая создаст угрозу не только для Турции, но и для всего региона в целом.</w:t>
      </w:r>
    </w:p>
    <w:p w:rsidR="00000000" w:rsidRDefault="00000000">
      <w:pPr>
        <w:pStyle w:val="SingleTxt"/>
      </w:pPr>
      <w:r>
        <w:t>Все это нашло свое отражение в четвертом и пятом объединенных пери</w:t>
      </w:r>
      <w:r>
        <w:t>о</w:t>
      </w:r>
      <w:r>
        <w:t>дических докладах Турции. Несмотря на испытываемые Турцией трудности в различных областях государство привержено делу соблюдения принципов КЛДЖ и Пекинской платформы действий (ППД). Смена правительств никак не повлияла на выполнение Турцией своих обязательств. Более того, инициативы, предпринятые в рамках процесса присоединения к ЕС, также способствовали более эффективному выполнению Турцией своих обязательств по КЛДЖ и ППД.</w:t>
      </w:r>
    </w:p>
    <w:p w:rsidR="00000000" w:rsidRDefault="00000000">
      <w:pPr>
        <w:pStyle w:val="SingleTxt"/>
      </w:pPr>
      <w:r>
        <w:t>Турция привлекла к подготовке своего третьего и четвертого объедине</w:t>
      </w:r>
      <w:r>
        <w:t>н</w:t>
      </w:r>
      <w:r>
        <w:t>ного докладов широкий круг участников, а именно соответствующее госуда</w:t>
      </w:r>
      <w:r>
        <w:t>р</w:t>
      </w:r>
      <w:r>
        <w:t>ственное учреждение и ведомства, ученых и неправительственные организ</w:t>
      </w:r>
      <w:r>
        <w:t>а</w:t>
      </w:r>
      <w:r>
        <w:t>ции. Цель доклада – описать прогресс, достигнутый по каждой статье Конве</w:t>
      </w:r>
      <w:r>
        <w:t>н</w:t>
      </w:r>
      <w:r>
        <w:t>ции за период с момента представления предыдущего доклада. Указаны также недостатки, в частности в области осуществления положений Конвенции и с</w:t>
      </w:r>
      <w:r>
        <w:t>о</w:t>
      </w:r>
      <w:r>
        <w:t>храняющиеся препятствия на пути преобразований. Несмотря на значительные достижения, положение женщин в Турции все еще оставляет желать лучшего с точки зрения как основных показателей развития, так и участия женщин в пр</w:t>
      </w:r>
      <w:r>
        <w:t>о</w:t>
      </w:r>
      <w:r>
        <w:t>цессе принятия решений и их представленности в важнейших сферах общес</w:t>
      </w:r>
      <w:r>
        <w:t>т</w:t>
      </w:r>
      <w:r>
        <w:t xml:space="preserve">венной жизни. </w:t>
      </w:r>
    </w:p>
    <w:p w:rsidR="00000000" w:rsidRDefault="00000000">
      <w:pPr>
        <w:pStyle w:val="SingleTxt"/>
      </w:pPr>
      <w:r>
        <w:t>Женщины по-прежнему значительно недопредставлены в парламенте, н</w:t>
      </w:r>
      <w:r>
        <w:t>а</w:t>
      </w:r>
      <w:r>
        <w:t>силие в отношении женщин по-прежнему является укоренившейся социальной болезнью, и распределение ресурсов, в частности средств национального бю</w:t>
      </w:r>
      <w:r>
        <w:t>д</w:t>
      </w:r>
      <w:r>
        <w:t>жета, по-прежнему ущемляет интересы женщин. Следствием такого распред</w:t>
      </w:r>
      <w:r>
        <w:t>е</w:t>
      </w:r>
      <w:r>
        <w:t>ления бюджетных ресурсов является ограниченная кадровая и финансовая база Генерального управления по положению и проблемам женщин. К сожалению, его деятельность не регламентируется никакими законодательными актами: в настоящее время соответствующий закон представлен на рассмотрение парл</w:t>
      </w:r>
      <w:r>
        <w:t>а</w:t>
      </w:r>
      <w:r>
        <w:t>мента. Необходимо проделать большую работу по укреплению институци</w:t>
      </w:r>
      <w:r>
        <w:t>о</w:t>
      </w:r>
      <w:r>
        <w:t>нального потенциала национальных структур, занимающихся вопросами улу</w:t>
      </w:r>
      <w:r>
        <w:t>ч</w:t>
      </w:r>
      <w:r>
        <w:t>шения положения женщин, и по искоренению дискриминации в отношении женщин как в общес</w:t>
      </w:r>
      <w:r>
        <w:t>т</w:t>
      </w:r>
      <w:r>
        <w:t>венной сфере, так и в личной жизни.</w:t>
      </w:r>
    </w:p>
    <w:p w:rsidR="00000000" w:rsidRDefault="00000000">
      <w:pPr>
        <w:pStyle w:val="SingleTxt"/>
      </w:pPr>
      <w:r>
        <w:t>Правительство Турции выражает удовлетворение по поводу усилий и н</w:t>
      </w:r>
      <w:r>
        <w:t>е</w:t>
      </w:r>
      <w:r>
        <w:t>оценимой деятельности Комитета по ликвидации дискриминации в отношении женщин и надеется на то, что в ходе рассмотрения третьего и четвертого объ</w:t>
      </w:r>
      <w:r>
        <w:t>е</w:t>
      </w:r>
      <w:r>
        <w:t>дине</w:t>
      </w:r>
      <w:r>
        <w:t>н</w:t>
      </w:r>
      <w:r>
        <w:t>ных докладов Турции состоится плодотворный обмен мнениями.</w:t>
      </w:r>
    </w:p>
    <w:p w:rsidR="00000000" w:rsidRDefault="00000000">
      <w:pPr>
        <w:pStyle w:val="HCh"/>
      </w:pPr>
      <w:r>
        <w:br w:type="page"/>
        <w:t>Понятие дискриминации в отношении женщин</w:t>
      </w:r>
    </w:p>
    <w:p w:rsidR="00000000" w:rsidRDefault="00000000">
      <w:pPr>
        <w:pStyle w:val="SingleTxt"/>
        <w:rPr>
          <w:i/>
        </w:rPr>
      </w:pPr>
      <w:r>
        <w:rPr>
          <w:b/>
          <w:i/>
        </w:rPr>
        <w:t>Статья 1.</w:t>
      </w:r>
      <w:r>
        <w:rPr>
          <w:i/>
        </w:rPr>
        <w:t xml:space="preserve"> 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w:t>
      </w:r>
      <w:r>
        <w:rPr>
          <w:i/>
        </w:rPr>
        <w:t>а</w:t>
      </w:r>
      <w:r>
        <w:rPr>
          <w:i/>
        </w:rPr>
        <w:t>ние, пользование или осуществление женщинами, независимо от их семейного положения на основе равноправия мужчин и женщин, прав человека и осно</w:t>
      </w:r>
      <w:r>
        <w:rPr>
          <w:i/>
        </w:rPr>
        <w:t>в</w:t>
      </w:r>
      <w:r>
        <w:rPr>
          <w:i/>
        </w:rPr>
        <w:t>ных свобод в политической, экономической, социальной, культурной, гражда</w:t>
      </w:r>
      <w:r>
        <w:rPr>
          <w:i/>
        </w:rPr>
        <w:t>н</w:t>
      </w:r>
      <w:r>
        <w:rPr>
          <w:i/>
        </w:rPr>
        <w:t>ской или любой другой области.</w:t>
      </w:r>
    </w:p>
    <w:p w:rsidR="00000000" w:rsidRDefault="00000000">
      <w:pPr>
        <w:pStyle w:val="SingleTxt"/>
      </w:pPr>
      <w:r>
        <w:t>Турция ратифицировала Конвенцию о ликвидации всех форм дискрим</w:t>
      </w:r>
      <w:r>
        <w:t>и</w:t>
      </w:r>
      <w:r>
        <w:t>нации в отношении женщин в 1985 году и ратифицировала ее в 1986 году, в</w:t>
      </w:r>
      <w:r>
        <w:t>ы</w:t>
      </w:r>
      <w:r>
        <w:t>сказав ряд оговорок, обусловленных тем, что статьи 15 (пункты 2 и 4) и 16 (пункты 1(с) - 1(</w:t>
      </w:r>
      <w:r>
        <w:rPr>
          <w:lang w:val="en-US"/>
        </w:rPr>
        <w:t>g</w:t>
      </w:r>
      <w:r>
        <w:t>)) Конвенции противоречат положениям Гражданского к</w:t>
      </w:r>
      <w:r>
        <w:t>о</w:t>
      </w:r>
      <w:r>
        <w:t>декса Турции, касающимся брака и семьи, в частности положениям о прав</w:t>
      </w:r>
      <w:r>
        <w:t>о</w:t>
      </w:r>
      <w:r>
        <w:t>способности женщин, а именно о праве на вступление в договорные отнош</w:t>
      </w:r>
      <w:r>
        <w:t>е</w:t>
      </w:r>
      <w:r>
        <w:t>ния, обязанностям в отношении детей и выборе места жительства, фамилии, работы и рода занятия. В сентябре 1999 года в ходе пересмотра и внесения п</w:t>
      </w:r>
      <w:r>
        <w:t>о</w:t>
      </w:r>
      <w:r>
        <w:t>правок в Гражданский кодекс эти оговорки были сняты. Факультативный пр</w:t>
      </w:r>
      <w:r>
        <w:t>о</w:t>
      </w:r>
      <w:r>
        <w:t>токол к Конвенции, подписанный 8 сентября 2000 года, был ратифицирован 30 июля 2002 года. Протокол вступит в силу в январе 2003 года. Своим прин</w:t>
      </w:r>
      <w:r>
        <w:t>я</w:t>
      </w:r>
      <w:r>
        <w:t>тием Факультативного протокола турецкое правительство решительно подтве</w:t>
      </w:r>
      <w:r>
        <w:t>р</w:t>
      </w:r>
      <w:r>
        <w:t>дило свою приверженность делу улучшения положения женщин и полного с</w:t>
      </w:r>
      <w:r>
        <w:t>о</w:t>
      </w:r>
      <w:r>
        <w:t>блюдения положений Конвенции о ликвидации всех форм дискриминации в о</w:t>
      </w:r>
      <w:r>
        <w:t>т</w:t>
      </w:r>
      <w:r>
        <w:t>ношении женщин.</w:t>
      </w:r>
    </w:p>
    <w:p w:rsidR="00000000" w:rsidRDefault="00000000">
      <w:pPr>
        <w:pStyle w:val="SingleTxt"/>
      </w:pPr>
      <w:r>
        <w:t>В 1993-2001 годах Гражданский кодекс Турции был подвергнут пересмо</w:t>
      </w:r>
      <w:r>
        <w:t>т</w:t>
      </w:r>
      <w:r>
        <w:t>ру. С учетом принципа не дискриминации были внесены поправки в дискрим</w:t>
      </w:r>
      <w:r>
        <w:t>и</w:t>
      </w:r>
      <w:r>
        <w:t>нирующее положение, благодаря чему Гражданский кодекс был приведен в с</w:t>
      </w:r>
      <w:r>
        <w:t>о</w:t>
      </w:r>
      <w:r>
        <w:t>ответствие с Конвенцией. 22 ноября 2001 года турецкий парламент принял н</w:t>
      </w:r>
      <w:r>
        <w:t>о</w:t>
      </w:r>
      <w:r>
        <w:t>вый Гражданский кодекс, который вступил в силу 1 января 2002 года. Кроме того, в октябре 2001 года в статью 41 Конституции была внесена поправка, в соответствии с которой семья была определена как ячейка, "основанная на р</w:t>
      </w:r>
      <w:r>
        <w:t>а</w:t>
      </w:r>
      <w:r>
        <w:t>венстве супругов". Активное участие в длительном и сложном процессе разр</w:t>
      </w:r>
      <w:r>
        <w:t>а</w:t>
      </w:r>
      <w:r>
        <w:t>ботке нового Гражданского кодекса принимало генеральное управление по п</w:t>
      </w:r>
      <w:r>
        <w:t>о</w:t>
      </w:r>
      <w:r>
        <w:t>ложению и проблемам женщин (ГУЖ), которое обращало внимание комиссии, занимавшейся разработкой Гражданского кодекса по поручению министерства юстиции, на проблемы, нуждающиеся в разрешении, в том числе доводило до ее сведения соответствующие предложения неправительственных организаций относительно исключения дискриминационных положений, а также полож</w:t>
      </w:r>
      <w:r>
        <w:t>е</w:t>
      </w:r>
      <w:r>
        <w:t>ний, закрепляющих дискриминационную практику и ограничивающих возмо</w:t>
      </w:r>
      <w:r>
        <w:t>ж</w:t>
      </w:r>
      <w:r>
        <w:t xml:space="preserve">ности женщин пользоваться своими основными правами и свободами. </w:t>
      </w:r>
    </w:p>
    <w:p w:rsidR="00000000" w:rsidRDefault="00000000">
      <w:pPr>
        <w:pStyle w:val="SingleTxt"/>
      </w:pPr>
      <w:r>
        <w:t>В новом Гражданском кодексе, который детально рассматривается в ча</w:t>
      </w:r>
      <w:r>
        <w:t>с</w:t>
      </w:r>
      <w:r>
        <w:t>тях доклада, посвященных статьям 15 и 16, применен новый подход в отнош</w:t>
      </w:r>
      <w:r>
        <w:t>е</w:t>
      </w:r>
      <w:r>
        <w:t>нии семьи и роли женщины в семье, подход, затрагивающий самые личные в</w:t>
      </w:r>
      <w:r>
        <w:t>о</w:t>
      </w:r>
      <w:r>
        <w:t>просы, без решения которых невозможно разорвать порочный круг дискрим</w:t>
      </w:r>
      <w:r>
        <w:t>и</w:t>
      </w:r>
      <w:r>
        <w:t>нации по признаку пола. Сформулированный простым и доступным языком н</w:t>
      </w:r>
      <w:r>
        <w:t>о</w:t>
      </w:r>
      <w:r>
        <w:t>вый закон устанавливает равенство между супругами несколькими способами: отныне мужчина не является главой брачного союза; в браке супруги являются равными партнерами, наделенными равными правами принимать решения в рамках своего брачного союза; супруги имеют равные права в том, что касается выбора места жительства семьи; и они имеют равные представительские по</w:t>
      </w:r>
      <w:r>
        <w:t>л</w:t>
      </w:r>
      <w:r>
        <w:t>номочия. Отныне не существует понятие "незаконнорожденные дети", которое применялось в старом законе в отношении детей, рожденных вне брака, и функции по попечительству над такими детьми закреплены за матерью. Мин</w:t>
      </w:r>
      <w:r>
        <w:t>и</w:t>
      </w:r>
      <w:r>
        <w:t>мальный брачный возраст женин был увеличен, и теперь для мужчин и женщин он является одинаковым. Наиболее существенные поправки были внесены в те статьи Гражданского кодекса, которые касаются правового режима и прав со</w:t>
      </w:r>
      <w:r>
        <w:t>б</w:t>
      </w:r>
      <w:r>
        <w:t>ственности на приобретенное имущество (статьи 218-241). Более подробно эти законодательные реформы рассматриваются в разделах настоящего доклада, посвященных статьям 15 и 16.</w:t>
      </w:r>
    </w:p>
    <w:p w:rsidR="00000000" w:rsidRDefault="00000000">
      <w:pPr>
        <w:pStyle w:val="SingleTxt"/>
      </w:pPr>
      <w:r>
        <w:t>В настоящее время под общим руководством министерства юстиции ос</w:t>
      </w:r>
      <w:r>
        <w:t>у</w:t>
      </w:r>
      <w:r>
        <w:t>ществляется также пересмотр и реформирование Уголовного кодекса Турции. ГУЖ представил свои замечания по первому проекту измененного закона, сформулированные по итогам обзора, проведенного в рамках учрежденной им специальной комиссии в составе ученых и представителей неправительстве</w:t>
      </w:r>
      <w:r>
        <w:t>н</w:t>
      </w:r>
      <w:r>
        <w:t>ных организаций. Министерство юстиции доработало поправки к Уголовному кодексу и представило их в Канцелярию премьер-министра на рассмотрение (см. раздел доклада, п</w:t>
      </w:r>
      <w:r>
        <w:t>о</w:t>
      </w:r>
      <w:r>
        <w:t>священный статье 2(</w:t>
      </w:r>
      <w:r>
        <w:rPr>
          <w:lang w:val="en-US"/>
        </w:rPr>
        <w:t>g</w:t>
      </w:r>
      <w:r>
        <w:t>)).</w:t>
      </w:r>
    </w:p>
    <w:p w:rsidR="00000000" w:rsidRDefault="00000000">
      <w:pPr>
        <w:pStyle w:val="SingleTxt"/>
      </w:pPr>
      <w:r>
        <w:t>В связи с принятием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w:t>
      </w:r>
      <w:r>
        <w:t>р</w:t>
      </w:r>
      <w:r>
        <w:t>ганизованной преступности, министерство юстиции подготовило законопроект (рад дополнительных статей к Уголовному кодексу Турции и поправку к одной из статей Закона о борьбе с организованной преступностью). В этом закон</w:t>
      </w:r>
      <w:r>
        <w:t>о</w:t>
      </w:r>
      <w:r>
        <w:t>проекте в качестве преступления квалифицируется принудительный труд, нав</w:t>
      </w:r>
      <w:r>
        <w:t>я</w:t>
      </w:r>
      <w:r>
        <w:t>зывание услуг, обращение, подобное рабству, принуждение к передаче доно</w:t>
      </w:r>
      <w:r>
        <w:t>р</w:t>
      </w:r>
      <w:r>
        <w:t>ских органов посредством угроз, применение силы, давление или злоупотре</w:t>
      </w:r>
      <w:r>
        <w:t>б</w:t>
      </w:r>
      <w:r>
        <w:t>ление должностным положением и обман и эксплуатация тех, кто находится в уязвимом положении, с целью их вовлечения в контрабанду, перевозку, соде</w:t>
      </w:r>
      <w:r>
        <w:t>р</w:t>
      </w:r>
      <w:r>
        <w:t>жание в заточении и незаконную торговлю женщинами, детьми и мужчинами (см. раздел доклада, посв</w:t>
      </w:r>
      <w:r>
        <w:t>я</w:t>
      </w:r>
      <w:r>
        <w:t>щенный статье 6).</w:t>
      </w:r>
    </w:p>
    <w:p w:rsidR="00000000" w:rsidRDefault="00000000">
      <w:pPr>
        <w:pStyle w:val="SingleTxt"/>
      </w:pPr>
      <w:r>
        <w:t>17 января 1998 года вступил в силу Закон № 4320 о защите семьи, прин</w:t>
      </w:r>
      <w:r>
        <w:t>я</w:t>
      </w:r>
      <w:r>
        <w:t>тый с целью борьбы с насилием в семье. Ввиду критических замечаний в его адрес и ввиду проблем с его осуществлением на практике был подготовлен и представлен премьер-министру на рассмотрение законопроект о поправках к ряду статей этого закона.</w:t>
      </w:r>
    </w:p>
    <w:p w:rsidR="00000000" w:rsidRDefault="00000000">
      <w:pPr>
        <w:pStyle w:val="SingleTxt"/>
      </w:pPr>
      <w:r>
        <w:t>В целях реализации принципа равных возможностей для женщин на раб</w:t>
      </w:r>
      <w:r>
        <w:t>о</w:t>
      </w:r>
      <w:r>
        <w:t>чем месте, а также закрепления норм ЕС был подготовлен законопроект, рег</w:t>
      </w:r>
      <w:r>
        <w:t>у</w:t>
      </w:r>
      <w:r>
        <w:t>лирующий и уравнивающий мужчин и женщин в правах на родительский о</w:t>
      </w:r>
      <w:r>
        <w:t>т</w:t>
      </w:r>
      <w:r>
        <w:t>пуск в рамках существующей системы социального обеспечения. В этом зак</w:t>
      </w:r>
      <w:r>
        <w:t>о</w:t>
      </w:r>
      <w:r>
        <w:t>нопроекте говорится, что после рождения ребенка оба супруга могут взять шестимесячный неоплачиваемый отпуск. Такое же право предоставлено род</w:t>
      </w:r>
      <w:r>
        <w:t>и</w:t>
      </w:r>
      <w:r>
        <w:t>телям в случае ус</w:t>
      </w:r>
      <w:r>
        <w:t>ы</w:t>
      </w:r>
      <w:r>
        <w:t>новления ребенка. Законопроект представлен премьер-министру на рассмотрение. Включение в закон положения о предоставлении отцу отпуска при рождении ребенка в принципе противоречит традиционным представлениям об отцовстве и идее о том, что воспитание детей является е</w:t>
      </w:r>
      <w:r>
        <w:t>с</w:t>
      </w:r>
      <w:r>
        <w:t>тественным уделом женщины. После вступления в силу перед супругами о</w:t>
      </w:r>
      <w:r>
        <w:t>т</w:t>
      </w:r>
      <w:r>
        <w:t>кроются широкие возможности для организации своей личной жизни и пр</w:t>
      </w:r>
      <w:r>
        <w:t>о</w:t>
      </w:r>
      <w:r>
        <w:t>фессиональной деятельности таким образом, чтобы они должным образом уч</w:t>
      </w:r>
      <w:r>
        <w:t>и</w:t>
      </w:r>
      <w:r>
        <w:t>тывали потребности и интересы как мужчины, так и женщины. Кроме того, з</w:t>
      </w:r>
      <w:r>
        <w:t>а</w:t>
      </w:r>
      <w:r>
        <w:t>кон даст возможность ограничить дискриминационную практику на рынке тр</w:t>
      </w:r>
      <w:r>
        <w:t>у</w:t>
      </w:r>
      <w:r>
        <w:t>да, где работодатели нередко отказывают женщинам в работе или в повышении по службе: некоторые работодатели считают их ненадежными работниками, так как природой на них возложено выполнение репродуктивных функций. Кроме того, ребенок, растущий в доме, где семейные обязанности выполняются обо</w:t>
      </w:r>
      <w:r>
        <w:t>и</w:t>
      </w:r>
      <w:r>
        <w:t>ми родителями, будет воспитываться в духе равноправия мужчины и женщины и равного распределения функций между ними.</w:t>
      </w:r>
    </w:p>
    <w:p w:rsidR="00000000" w:rsidRDefault="00000000">
      <w:pPr>
        <w:pStyle w:val="HCh"/>
      </w:pPr>
      <w:r>
        <w:br w:type="page"/>
        <w:t>Ликвидация дискриминации в отношении женщин</w:t>
      </w:r>
    </w:p>
    <w:p w:rsidR="00000000" w:rsidRDefault="00000000">
      <w:pPr>
        <w:pStyle w:val="SingleTxt"/>
        <w:rPr>
          <w:i/>
        </w:rPr>
      </w:pPr>
      <w:r>
        <w:rPr>
          <w:b/>
          <w:i/>
        </w:rPr>
        <w:t>Статья 2.</w:t>
      </w:r>
      <w:r>
        <w:rPr>
          <w:i/>
        </w:rPr>
        <w:t xml:space="preserve"> Государства-участники осуждают дискриминацию в отн</w:t>
      </w:r>
      <w:r>
        <w:rPr>
          <w:i/>
        </w:rPr>
        <w:t>о</w:t>
      </w:r>
      <w:r>
        <w:rPr>
          <w:i/>
        </w:rPr>
        <w:t>шении женщин во всех ее формах, соглашаются безотлагательно всеми соо</w:t>
      </w:r>
      <w:r>
        <w:rPr>
          <w:i/>
        </w:rPr>
        <w:t>т</w:t>
      </w:r>
      <w:r>
        <w:rPr>
          <w:i/>
        </w:rPr>
        <w:t>ветствующими способам проводить политику ликвидации дискриминации в отн</w:t>
      </w:r>
      <w:r>
        <w:rPr>
          <w:i/>
        </w:rPr>
        <w:t>о</w:t>
      </w:r>
      <w:r>
        <w:rPr>
          <w:i/>
        </w:rPr>
        <w:t>шении женщин и с этой целью обязуются:</w:t>
      </w:r>
    </w:p>
    <w:p w:rsidR="00000000" w:rsidRDefault="00000000">
      <w:pPr>
        <w:pStyle w:val="SingleTxt"/>
        <w:tabs>
          <w:tab w:val="clear" w:pos="1267"/>
        </w:tabs>
        <w:ind w:left="2246" w:hanging="505"/>
        <w:rPr>
          <w:i/>
        </w:rPr>
      </w:pPr>
      <w:r>
        <w:rPr>
          <w:b/>
        </w:rPr>
        <w:t>(а)</w:t>
      </w:r>
      <w:r>
        <w:tab/>
      </w:r>
      <w:r>
        <w:rPr>
          <w:i/>
        </w:rPr>
        <w:t>Включить принцип равноправия мужчин и женщин в свои наци</w:t>
      </w:r>
      <w:r>
        <w:rPr>
          <w:i/>
        </w:rPr>
        <w:t>о</w:t>
      </w:r>
      <w:r>
        <w:rPr>
          <w:i/>
        </w:rPr>
        <w:t>нальные конституции или другое соответствующее законодател</w:t>
      </w:r>
      <w:r>
        <w:rPr>
          <w:i/>
        </w:rPr>
        <w:t>ь</w:t>
      </w:r>
      <w:r>
        <w:rPr>
          <w:i/>
        </w:rPr>
        <w:t>ство, если это еще не было сделано, и обеспечить с помощью зак</w:t>
      </w:r>
      <w:r>
        <w:rPr>
          <w:i/>
        </w:rPr>
        <w:t>о</w:t>
      </w:r>
      <w:r>
        <w:rPr>
          <w:i/>
        </w:rPr>
        <w:t>на и других соответствующих средств практическое осуществл</w:t>
      </w:r>
      <w:r>
        <w:rPr>
          <w:i/>
        </w:rPr>
        <w:t>е</w:t>
      </w:r>
      <w:r>
        <w:rPr>
          <w:i/>
        </w:rPr>
        <w:t>ние этого при</w:t>
      </w:r>
      <w:r>
        <w:rPr>
          <w:i/>
        </w:rPr>
        <w:t>н</w:t>
      </w:r>
      <w:r>
        <w:rPr>
          <w:i/>
        </w:rPr>
        <w:t>ципа.</w:t>
      </w:r>
    </w:p>
    <w:p w:rsidR="00000000" w:rsidRDefault="00000000">
      <w:pPr>
        <w:pStyle w:val="SingleTxt"/>
      </w:pPr>
      <w:r>
        <w:t>Соответствующая информация содержится во втором и третьем объед</w:t>
      </w:r>
      <w:r>
        <w:t>и</w:t>
      </w:r>
      <w:r>
        <w:t>ненных докладах Турции, а также в разделах настоящего доклада, посвяще</w:t>
      </w:r>
      <w:r>
        <w:t>н</w:t>
      </w:r>
      <w:r>
        <w:t>ных статьям 15 и16.</w:t>
      </w:r>
    </w:p>
    <w:p w:rsidR="00000000" w:rsidRDefault="00000000">
      <w:pPr>
        <w:pStyle w:val="SingleTxt"/>
      </w:pPr>
      <w:r>
        <w:t>Государства-участники... обязуются:</w:t>
      </w:r>
    </w:p>
    <w:p w:rsidR="00000000" w:rsidRDefault="00000000">
      <w:pPr>
        <w:pStyle w:val="SingleTxt"/>
        <w:ind w:left="2246" w:hanging="505"/>
        <w:rPr>
          <w:i/>
        </w:rPr>
      </w:pPr>
      <w:r>
        <w:rPr>
          <w:b/>
          <w:i/>
        </w:rPr>
        <w:t>(</w:t>
      </w:r>
      <w:r>
        <w:rPr>
          <w:b/>
          <w:i/>
          <w:lang w:val="en-US"/>
        </w:rPr>
        <w:t>b</w:t>
      </w:r>
      <w:r>
        <w:rPr>
          <w:b/>
          <w:i/>
        </w:rPr>
        <w:t>)</w:t>
      </w:r>
      <w:r>
        <w:rPr>
          <w:b/>
          <w:i/>
        </w:rPr>
        <w:tab/>
      </w:r>
      <w:r>
        <w:rPr>
          <w:i/>
        </w:rPr>
        <w:t>Принимать соответствующие законодательные и другие меры, включая санкции, там где это необходимо, запрещающие всякую дискрим</w:t>
      </w:r>
      <w:r>
        <w:rPr>
          <w:i/>
        </w:rPr>
        <w:t>и</w:t>
      </w:r>
      <w:r>
        <w:rPr>
          <w:i/>
        </w:rPr>
        <w:t>нацию в отношении женщин.</w:t>
      </w:r>
    </w:p>
    <w:p w:rsidR="00000000" w:rsidRDefault="00000000">
      <w:pPr>
        <w:pStyle w:val="SingleTxt"/>
      </w:pPr>
      <w:r>
        <w:t>Задача улучшения положения женщин с самого начала являлась неотъе</w:t>
      </w:r>
      <w:r>
        <w:t>м</w:t>
      </w:r>
      <w:r>
        <w:t>лемой частью проекта модернизации Турецкой Республики. Несмотря на мн</w:t>
      </w:r>
      <w:r>
        <w:t>о</w:t>
      </w:r>
      <w:r>
        <w:t>гочисленные попытки реформ в этой области задача улучшения положения женщин нашла свое конкретное отражение лишь в пятом пятилетнем плане развития (1985-1990 годы). В восьмом пятилетнем плане (2001-2005 годы), о</w:t>
      </w:r>
      <w:r>
        <w:t>п</w:t>
      </w:r>
      <w:r>
        <w:t>ределяющем стратегические направления развития предусмотрен ряд конкре</w:t>
      </w:r>
      <w:r>
        <w:t>т</w:t>
      </w:r>
      <w:r>
        <w:t>ных мер по улучшению положения женщин. Так, в статье 10 (е) перечислены меры по обеспечению равных возможностей для женщин, в частности в обла</w:t>
      </w:r>
      <w:r>
        <w:t>с</w:t>
      </w:r>
      <w:r>
        <w:t xml:space="preserve">ти образования. </w:t>
      </w:r>
      <w:r>
        <w:rPr>
          <w:caps/>
        </w:rPr>
        <w:t>к</w:t>
      </w:r>
      <w:r>
        <w:t>роме того, в разделе Плана, посвященном организационно-правовой перестройке, предусматривается внесение изменений в Гражданский кодекс Турции с целью отразить новые социально-экономические реалии. Как было отмечено выше, новый, измененный Гражданский кодекс вступил в силу 1 января 2002 года (см. разделы доклада, посвященные статьям 15 и 16).</w:t>
      </w:r>
    </w:p>
    <w:p w:rsidR="00000000" w:rsidRDefault="00000000">
      <w:pPr>
        <w:pStyle w:val="SingleTxt"/>
      </w:pPr>
      <w:r>
        <w:t>Задача по улучшению положения женщин неизменно находила свое отр</w:t>
      </w:r>
      <w:r>
        <w:t>а</w:t>
      </w:r>
      <w:r>
        <w:t>жение во всех последующих правительственных программах. Например, в пр</w:t>
      </w:r>
      <w:r>
        <w:t>о</w:t>
      </w:r>
      <w:r>
        <w:t>грамме пятьдесят седьмого правительства, сформированного после всеобщих выборов 1999 года, говорится, что "будет поощряться действенное участие женщин во всех областях социальной и экономической жизни и будут актив</w:t>
      </w:r>
      <w:r>
        <w:t>и</w:t>
      </w:r>
      <w:r>
        <w:t>зированы усилия по улучшению положения женщин". В нынешней правител</w:t>
      </w:r>
      <w:r>
        <w:t>ь</w:t>
      </w:r>
      <w:r>
        <w:t>ственной программе (пятьдесят восьмое правительство было сформировано после всеобщих выборов, проведенных 3 ноября 2002 года) также подтвержд</w:t>
      </w:r>
      <w:r>
        <w:t>а</w:t>
      </w:r>
      <w:r>
        <w:t>ется важность обеспечения равноправия мужчин и женщин во всех сферах жизни и подчеркивается, что практическая реализация принципов КЛДЖ явл</w:t>
      </w:r>
      <w:r>
        <w:t>я</w:t>
      </w:r>
      <w:r>
        <w:t>ется приоритетным пунктом пе</w:t>
      </w:r>
      <w:r>
        <w:t>р</w:t>
      </w:r>
      <w:r>
        <w:t>спективной программы правительства.</w:t>
      </w:r>
    </w:p>
    <w:p w:rsidR="00000000" w:rsidRDefault="00000000">
      <w:pPr>
        <w:pStyle w:val="SingleTxt"/>
      </w:pPr>
      <w:r>
        <w:t>Государства-участники... обязуются:</w:t>
      </w:r>
    </w:p>
    <w:p w:rsidR="00000000" w:rsidRDefault="00000000">
      <w:pPr>
        <w:pStyle w:val="SingleTxt"/>
        <w:tabs>
          <w:tab w:val="clear" w:pos="1267"/>
        </w:tabs>
        <w:ind w:left="2246" w:hanging="505"/>
        <w:rPr>
          <w:i/>
        </w:rPr>
      </w:pPr>
      <w:r>
        <w:rPr>
          <w:b/>
          <w:i/>
        </w:rPr>
        <w:t>(с)</w:t>
      </w:r>
      <w:r>
        <w:rPr>
          <w:i/>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w:t>
      </w:r>
      <w:r>
        <w:rPr>
          <w:i/>
        </w:rPr>
        <w:t>н</w:t>
      </w:r>
      <w:r>
        <w:rPr>
          <w:i/>
        </w:rPr>
        <w:t>щин против любого акта дискриминации.</w:t>
      </w:r>
    </w:p>
    <w:p w:rsidR="00000000" w:rsidRDefault="00000000">
      <w:pPr>
        <w:pStyle w:val="SingleTxt"/>
      </w:pPr>
      <w:r>
        <w:t>На втором и третьем объединенных докладах Турции рассказывалось о создании и организации работы ГУЖ, национального органа, занимающегося вопросами защиты женщин от дискриминации. С момента представления п</w:t>
      </w:r>
      <w:r>
        <w:t>о</w:t>
      </w:r>
      <w:r>
        <w:t>следнего доклада соответствующие парламентские комиссии одобрили закон</w:t>
      </w:r>
      <w:r>
        <w:t>о</w:t>
      </w:r>
      <w:r>
        <w:t>проект о реорганизации ГУЖ; однако решение по нему пока не принято. Зак</w:t>
      </w:r>
      <w:r>
        <w:t>о</w:t>
      </w:r>
      <w:r>
        <w:t>нопроектом предусматривается создание Консультативного совета по полож</w:t>
      </w:r>
      <w:r>
        <w:t>е</w:t>
      </w:r>
      <w:r>
        <w:t>нию женщин, органа, на который будет возложена задача по обеспечению учета гендерного а</w:t>
      </w:r>
      <w:r>
        <w:t>с</w:t>
      </w:r>
      <w:r>
        <w:t xml:space="preserve">пекта во всех правительственных планах и программа. </w:t>
      </w:r>
    </w:p>
    <w:p w:rsidR="00000000" w:rsidRDefault="00000000">
      <w:pPr>
        <w:pStyle w:val="SingleTxt"/>
      </w:pPr>
      <w:r>
        <w:t>ГУЖ представило премьер-министру законопроект, предусматривающий внесение изменений в положение об организации работы парламента, которое дадут возможность создать "Комиссию по вопросам равноправия женщин и мужчин". В настоящее время в парламенте действует шестнадцать специал</w:t>
      </w:r>
      <w:r>
        <w:t>ь</w:t>
      </w:r>
      <w:r>
        <w:t>ных комиссий. В случае принятия указанного законопроекта в парламенте на</w:t>
      </w:r>
      <w:r>
        <w:t>ч</w:t>
      </w:r>
      <w:r>
        <w:t>нет функционировать орган, правомочный пересмотреть все законодательство на предмет его с</w:t>
      </w:r>
      <w:r>
        <w:t>о</w:t>
      </w:r>
      <w:r>
        <w:t>ответствия принципу равноправия мужчин и женщин.</w:t>
      </w:r>
    </w:p>
    <w:p w:rsidR="00000000" w:rsidRDefault="00000000">
      <w:pPr>
        <w:pStyle w:val="SingleTxt"/>
      </w:pPr>
      <w:r>
        <w:t>Другим достижением в этой области являются предпринимаемые мин</w:t>
      </w:r>
      <w:r>
        <w:t>и</w:t>
      </w:r>
      <w:r>
        <w:t>стерством юстиции усилия по учреждению института омбудсмена для рассмо</w:t>
      </w:r>
      <w:r>
        <w:t>т</w:t>
      </w:r>
      <w:r>
        <w:t>рения жалоб частных лиц на ущемление их прав решениями и действиями о</w:t>
      </w:r>
      <w:r>
        <w:t>р</w:t>
      </w:r>
      <w:r>
        <w:t>ганами г</w:t>
      </w:r>
      <w:r>
        <w:t>о</w:t>
      </w:r>
      <w:r>
        <w:t>сударственного управления. В этом процессе также участвует ГУЖ.</w:t>
      </w:r>
    </w:p>
    <w:p w:rsidR="00000000" w:rsidRDefault="00000000">
      <w:pPr>
        <w:pStyle w:val="SingleTxt"/>
      </w:pPr>
      <w:r>
        <w:t>Государства-участники... обязуются:</w:t>
      </w:r>
    </w:p>
    <w:p w:rsidR="00000000" w:rsidRDefault="00000000">
      <w:pPr>
        <w:pStyle w:val="SingleTxt"/>
        <w:ind w:left="2251" w:hanging="488"/>
        <w:rPr>
          <w:i/>
        </w:rPr>
      </w:pPr>
      <w:r>
        <w:rPr>
          <w:b/>
          <w:i/>
        </w:rPr>
        <w:t>(</w:t>
      </w:r>
      <w:r>
        <w:rPr>
          <w:b/>
          <w:i/>
          <w:lang w:val="en-US"/>
        </w:rPr>
        <w:t>d</w:t>
      </w:r>
      <w:r>
        <w:rPr>
          <w:b/>
          <w:i/>
        </w:rPr>
        <w:t>)</w:t>
      </w:r>
      <w:r>
        <w:rPr>
          <w:b/>
          <w:i/>
        </w:rPr>
        <w:tab/>
      </w:r>
      <w:r>
        <w:rPr>
          <w:i/>
        </w:rPr>
        <w:t>Воздерживаться от совершения каких-либо дискриминационных а</w:t>
      </w:r>
      <w:r>
        <w:rPr>
          <w:i/>
        </w:rPr>
        <w:t>к</w:t>
      </w:r>
      <w:r>
        <w:rPr>
          <w:i/>
        </w:rPr>
        <w:t>тов или действий в отношении женщин и гарантировать, что г</w:t>
      </w:r>
      <w:r>
        <w:rPr>
          <w:i/>
        </w:rPr>
        <w:t>о</w:t>
      </w:r>
      <w:r>
        <w:rPr>
          <w:i/>
        </w:rPr>
        <w:t>сударственные органы и учреждения будут действовать в соо</w:t>
      </w:r>
      <w:r>
        <w:rPr>
          <w:i/>
        </w:rPr>
        <w:t>т</w:t>
      </w:r>
      <w:r>
        <w:rPr>
          <w:i/>
        </w:rPr>
        <w:t>ветствии с этим обязател</w:t>
      </w:r>
      <w:r>
        <w:rPr>
          <w:i/>
        </w:rPr>
        <w:t>ь</w:t>
      </w:r>
      <w:r>
        <w:rPr>
          <w:i/>
        </w:rPr>
        <w:t>ством.</w:t>
      </w:r>
    </w:p>
    <w:p w:rsidR="00000000" w:rsidRDefault="00000000">
      <w:pPr>
        <w:pStyle w:val="SingleTxt"/>
      </w:pPr>
      <w:r>
        <w:t>Соответствующая информация приводится во втором и третьем объед</w:t>
      </w:r>
      <w:r>
        <w:t>и</w:t>
      </w:r>
      <w:r>
        <w:t>ненных докладах Турции.</w:t>
      </w:r>
    </w:p>
    <w:p w:rsidR="00000000" w:rsidRDefault="00000000">
      <w:pPr>
        <w:pStyle w:val="SingleTxt"/>
      </w:pPr>
      <w:r>
        <w:t>Государства-участники... обязуются:</w:t>
      </w:r>
    </w:p>
    <w:p w:rsidR="00000000" w:rsidRDefault="00000000">
      <w:pPr>
        <w:pStyle w:val="SingleTxt"/>
        <w:ind w:left="2268" w:hanging="505"/>
        <w:rPr>
          <w:i/>
        </w:rPr>
      </w:pPr>
      <w:r>
        <w:rPr>
          <w:b/>
          <w:i/>
        </w:rPr>
        <w:t>(е)</w:t>
      </w:r>
      <w:r>
        <w:rPr>
          <w:b/>
          <w:i/>
        </w:rPr>
        <w:tab/>
      </w:r>
      <w:r>
        <w:rPr>
          <w:i/>
        </w:rPr>
        <w:t>принимать все соответствующие меры для ликвидации дискрим</w:t>
      </w:r>
      <w:r>
        <w:rPr>
          <w:i/>
        </w:rPr>
        <w:t>и</w:t>
      </w:r>
      <w:r>
        <w:rPr>
          <w:i/>
        </w:rPr>
        <w:t>нации в отношении женщин со стороны какого-либо лица, орган</w:t>
      </w:r>
      <w:r>
        <w:rPr>
          <w:i/>
        </w:rPr>
        <w:t>и</w:t>
      </w:r>
      <w:r>
        <w:rPr>
          <w:i/>
        </w:rPr>
        <w:t>зации или предпр</w:t>
      </w:r>
      <w:r>
        <w:rPr>
          <w:i/>
        </w:rPr>
        <w:t>и</w:t>
      </w:r>
      <w:r>
        <w:rPr>
          <w:i/>
        </w:rPr>
        <w:t>ятия.</w:t>
      </w:r>
    </w:p>
    <w:p w:rsidR="00000000" w:rsidRDefault="00000000">
      <w:pPr>
        <w:pStyle w:val="SingleTxt"/>
      </w:pPr>
      <w:r>
        <w:t>Меры, принятые в этой области, рассматриваются в разделах доклада, п</w:t>
      </w:r>
      <w:r>
        <w:t>о</w:t>
      </w:r>
      <w:r>
        <w:t>священных конкретным статьям.</w:t>
      </w:r>
    </w:p>
    <w:p w:rsidR="00000000" w:rsidRDefault="00000000">
      <w:pPr>
        <w:pStyle w:val="SingleTxt"/>
      </w:pPr>
      <w:r>
        <w:t>Государства-участники... обязуются:</w:t>
      </w:r>
    </w:p>
    <w:p w:rsidR="00000000" w:rsidRDefault="00000000">
      <w:pPr>
        <w:pStyle w:val="SingleTxt"/>
        <w:tabs>
          <w:tab w:val="clear" w:pos="1742"/>
        </w:tabs>
        <w:ind w:left="2268" w:hanging="505"/>
        <w:rPr>
          <w:i/>
        </w:rPr>
      </w:pPr>
      <w:r>
        <w:rPr>
          <w:b/>
          <w:i/>
        </w:rPr>
        <w:t>(</w:t>
      </w:r>
      <w:r>
        <w:rPr>
          <w:b/>
          <w:i/>
          <w:lang w:val="en-US"/>
        </w:rPr>
        <w:t>f</w:t>
      </w:r>
      <w:r>
        <w:rPr>
          <w:b/>
          <w:i/>
        </w:rPr>
        <w:t>)</w:t>
      </w:r>
      <w:r>
        <w:rPr>
          <w:i/>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w:t>
      </w:r>
      <w:r>
        <w:rPr>
          <w:i/>
        </w:rPr>
        <w:t>е</w:t>
      </w:r>
      <w:r>
        <w:rPr>
          <w:i/>
        </w:rPr>
        <w:t>нии женщин.</w:t>
      </w:r>
    </w:p>
    <w:p w:rsidR="00000000" w:rsidRDefault="00000000">
      <w:pPr>
        <w:pStyle w:val="SingleTxt"/>
      </w:pPr>
      <w:r>
        <w:t>В целях распространения информации о новом Гражданском кодексе и его популяризации ГУЖ, в сотрудничестве с государственными учреждениями и ведомствами, ассоциацией адвокатов и женскими НПО, провело в 2002 году ряд общенациональных совещаний.</w:t>
      </w:r>
    </w:p>
    <w:p w:rsidR="00000000" w:rsidRDefault="00000000">
      <w:pPr>
        <w:pStyle w:val="SingleTxt"/>
      </w:pPr>
      <w:r>
        <w:t>Реформирование Гражданского кодекса является важным достижением в области отмены дискриминационных законодательных положений и закрепл</w:t>
      </w:r>
      <w:r>
        <w:t>е</w:t>
      </w:r>
      <w:r>
        <w:t>нии подхода, основанного на равноправии мужчин и женщин в семье и во взаимоотношениях. О некоторых из этих изменений уже упоминалось выше, а основные поправки кратко описываются в разделах доклада, посвященных статьям 15 и 16. Новый кодекс не только расширит права женщин и повысит их правовой статус, но и обусловит изменение взглядов, обычаев и практики, н</w:t>
      </w:r>
      <w:r>
        <w:t>о</w:t>
      </w:r>
      <w:r>
        <w:t>сящих дискриминационный характер по отношению к женщине, в долгосро</w:t>
      </w:r>
      <w:r>
        <w:t>ч</w:t>
      </w:r>
      <w:r>
        <w:t>ном плане.</w:t>
      </w:r>
    </w:p>
    <w:p w:rsidR="00000000" w:rsidRDefault="00000000">
      <w:pPr>
        <w:pStyle w:val="SingleTxt"/>
      </w:pPr>
      <w:r>
        <w:t>Процесс реформирования стимулировал дебаты по широкому кругу пр</w:t>
      </w:r>
      <w:r>
        <w:t>о</w:t>
      </w:r>
      <w:r>
        <w:t>блем, касающихся равноправия мужчин и женщин, среди законодателей, пол</w:t>
      </w:r>
      <w:r>
        <w:t>и</w:t>
      </w:r>
      <w:r>
        <w:t>тиков и широкой общественности. Так, подготовлен и представлен в парламент законопроект об учреждении судов о семейных делах, который должен быть принят в ближайшем будущем. Указанные суды будут рассматривать дела, по</w:t>
      </w:r>
      <w:r>
        <w:t>д</w:t>
      </w:r>
      <w:r>
        <w:t>падающие под действие закона о семье и закона 1998 года о пресечении нас</w:t>
      </w:r>
      <w:r>
        <w:t>и</w:t>
      </w:r>
      <w:r>
        <w:t>лия в семье. Наличие таких специализированных судов и соответствующей з</w:t>
      </w:r>
      <w:r>
        <w:t>а</w:t>
      </w:r>
      <w:r>
        <w:t>конодательной базы, несомненно, расширит возможности правовой системы по более эффективному реагированию на нарушения принципа недискриминации и, тем самым, сведет к минимуму те препятствия, с которыми женщины ста</w:t>
      </w:r>
      <w:r>
        <w:t>л</w:t>
      </w:r>
      <w:r>
        <w:t>киваются в сфере судопроизводства.</w:t>
      </w:r>
    </w:p>
    <w:p w:rsidR="00000000" w:rsidRDefault="00000000">
      <w:pPr>
        <w:pStyle w:val="SingleTxt"/>
      </w:pPr>
      <w:r>
        <w:t>Необходимо продолжить проведение реформ, с тем чтобы исключить ди</w:t>
      </w:r>
      <w:r>
        <w:t>с</w:t>
      </w:r>
      <w:r>
        <w:t>криминационные положения, все еще сохраняющиеся в Конституции, Уголо</w:t>
      </w:r>
      <w:r>
        <w:t>в</w:t>
      </w:r>
      <w:r>
        <w:t>ном кодексе, Законе о гражданстве, Кодексе о гражданской службе, Трудовом кодексе и кодексе о социальном обеспечении. Как уже упоминалось выше, в ряде из вышеперечисленных областей уже ведется соответствующая работа. Предлагаемые изменения в Уголовном кодексе рассматриваются в разделе, п</w:t>
      </w:r>
      <w:r>
        <w:t>о</w:t>
      </w:r>
      <w:r>
        <w:t>священном статье 2(). Другие важные инициативы по изменению дискримин</w:t>
      </w:r>
      <w:r>
        <w:t>а</w:t>
      </w:r>
      <w:r>
        <w:t>ционных положений включают следующее.</w:t>
      </w:r>
    </w:p>
    <w:p w:rsidR="00000000" w:rsidRDefault="00000000">
      <w:pPr>
        <w:pStyle w:val="H1"/>
      </w:pPr>
      <w:r>
        <w:t>Закон о пресечении насилия в семье</w:t>
      </w:r>
    </w:p>
    <w:p w:rsidR="00000000" w:rsidRDefault="00000000">
      <w:pPr>
        <w:pStyle w:val="SingleTxt"/>
      </w:pPr>
      <w:r>
        <w:t>Вышеупомянутый Закон о защите семьи, принятый 17 января 1998 года, послужил позитивным шагом на пути решения проблемы насилия в отношении женщин, совершаемого преимущественно в рамках семьи. При разработке с</w:t>
      </w:r>
      <w:r>
        <w:t>о</w:t>
      </w:r>
      <w:r>
        <w:t>ответствующих законодательных положений полезную роль сыграли рекоме</w:t>
      </w:r>
      <w:r>
        <w:t>н</w:t>
      </w:r>
      <w:r>
        <w:t>дации, высказанные Комитетом по предыдущему докладу Турции. До принятия данного закона дела о насилии в семье рассматривались в соответствии с о</w:t>
      </w:r>
      <w:r>
        <w:t>б</w:t>
      </w:r>
      <w:r>
        <w:t>щими положениями Уголовного кодекса. При квалификации таких правонар</w:t>
      </w:r>
      <w:r>
        <w:t>у</w:t>
      </w:r>
      <w:r>
        <w:t>шений и установлении наказания за них возникали трудности, поскольку час</w:t>
      </w:r>
      <w:r>
        <w:t>т</w:t>
      </w:r>
      <w:r>
        <w:t>ная семейная жизнь в значительной степени оставалась за рамками правового регулирования. Новый же закон о пресечении насилия в семье позволил по</w:t>
      </w:r>
      <w:r>
        <w:t>д</w:t>
      </w:r>
      <w:r>
        <w:t>ключить к решению этих некогда "частных" дел общественные институты, применяя в отношении правонарушителей различные меры наказания. Такие меры включают принуждение правонарушителя покинуть дом, конфискацию оружия, принадлежащего правонарушителю, выплату временного содержания, предписание не беспокоить семью с помощью средств связи и предписание не причинять ущерба имуществу, принадлежащему другим членам семьи. Нар</w:t>
      </w:r>
      <w:r>
        <w:t>у</w:t>
      </w:r>
      <w:r>
        <w:t>шение этих запретов и предписаний наказывается лишением свободы сроком от трех до шести месяцев. Положения закона применяются в случае подачи в органы полиции жалобы потерпевшим или любым другим лицом. После всту</w:t>
      </w:r>
      <w:r>
        <w:t>п</w:t>
      </w:r>
      <w:r>
        <w:t>ления Закона о защите семьи число соответствующих дел растет. За период с 1 января 1999 года по 31 декабря 2001 года в суды было передано в общей сложности 7613 дел о насилии в семье, из них по 7449 были вынесены реш</w:t>
      </w:r>
      <w:r>
        <w:t>е</w:t>
      </w:r>
      <w:r>
        <w:t>ния.</w:t>
      </w:r>
    </w:p>
    <w:p w:rsidR="00000000" w:rsidRDefault="00000000">
      <w:pPr>
        <w:pStyle w:val="SingleTxt"/>
      </w:pPr>
      <w:r>
        <w:t>ГУЖ подготовил брошюру с изложением положений закона и распростр</w:t>
      </w:r>
      <w:r>
        <w:t>а</w:t>
      </w:r>
      <w:r>
        <w:t>нил ее по всей стране. Он также следит за осуществлением самого закона. Так, он представил свои поправки в Канцелярию премьер-министра на рассмотр</w:t>
      </w:r>
      <w:r>
        <w:t>е</w:t>
      </w:r>
      <w:r>
        <w:t>ние. Кроме того, 15 ноября 2002 года министерство юстиции издало инстру</w:t>
      </w:r>
      <w:r>
        <w:t>к</w:t>
      </w:r>
      <w:r>
        <w:t>цию, содержащую руководящее положение относительно толкования и прим</w:t>
      </w:r>
      <w:r>
        <w:t>е</w:t>
      </w:r>
      <w:r>
        <w:t>нения п</w:t>
      </w:r>
      <w:r>
        <w:t>о</w:t>
      </w:r>
      <w:r>
        <w:t>ложений закона.</w:t>
      </w:r>
    </w:p>
    <w:p w:rsidR="00000000" w:rsidRDefault="00000000">
      <w:pPr>
        <w:pStyle w:val="H1"/>
      </w:pPr>
      <w:r>
        <w:t>Женское целомудрие</w:t>
      </w:r>
    </w:p>
    <w:p w:rsidR="00000000" w:rsidRDefault="00000000">
      <w:pPr>
        <w:pStyle w:val="SingleTxt"/>
      </w:pPr>
      <w:r>
        <w:t>Наиболее ожесточенные споры в прошлом десятилетии в Турции вызвал вопрос о так называемой проверке на девственность, проверке, которая счит</w:t>
      </w:r>
      <w:r>
        <w:t>а</w:t>
      </w:r>
      <w:r>
        <w:t>ется грубым попранием прав человека, женщины, покушением на неприкосн</w:t>
      </w:r>
      <w:r>
        <w:t>о</w:t>
      </w:r>
      <w:r>
        <w:t>венность ее половой жизни и нарушением статьи 17 Конституции Турции. С</w:t>
      </w:r>
      <w:r>
        <w:t>о</w:t>
      </w:r>
      <w:r>
        <w:t>гласно последней, никто не может нарушить личную неприкосновенность ч</w:t>
      </w:r>
      <w:r>
        <w:t>е</w:t>
      </w:r>
      <w:r>
        <w:t>ловека, кроме как по медицинским показаниям и в случаях, оговоренных зак</w:t>
      </w:r>
      <w:r>
        <w:t>о</w:t>
      </w:r>
      <w:r>
        <w:t>ном. В прошлом в оправдание допустимости проверки на девственность пр</w:t>
      </w:r>
      <w:r>
        <w:t>и</w:t>
      </w:r>
      <w:r>
        <w:t>водились различные законодательные положения. Одним из таких нормати</w:t>
      </w:r>
      <w:r>
        <w:t>в</w:t>
      </w:r>
      <w:r>
        <w:t>ных документов является Инструкция министерства образования о поощрении и наказании учащихся средних школ, которая вступила в силу 31 января 1995 года. В этой Инструкции говорилось, что "доказательство нецеломудрия" является веским основанием для исключения из официального учебного зав</w:t>
      </w:r>
      <w:r>
        <w:t>е</w:t>
      </w:r>
      <w:r>
        <w:t>дения. Нередко требуемые доказательства "добывались" с помощью проверки на девственность. Под давлением женских групп и общественного мнения по рекомендации ГУЖ 26 февраля 2002 года министерство образования исключ</w:t>
      </w:r>
      <w:r>
        <w:t>и</w:t>
      </w:r>
      <w:r>
        <w:t>ло положение о "нецеломудренности" из пересмотренного текста своей Инс</w:t>
      </w:r>
      <w:r>
        <w:t>т</w:t>
      </w:r>
      <w:r>
        <w:t>рукции, ликвидировав, тем самым, источник серьезной дискриминации по пр</w:t>
      </w:r>
      <w:r>
        <w:t>и</w:t>
      </w:r>
      <w:r>
        <w:t>знаку пола.</w:t>
      </w:r>
    </w:p>
    <w:p w:rsidR="00000000" w:rsidRDefault="00000000">
      <w:pPr>
        <w:pStyle w:val="SingleTxt"/>
      </w:pPr>
      <w:r>
        <w:t>До этого, 13 января 1999 года, министерство юстиции – в ответ на проте</w:t>
      </w:r>
      <w:r>
        <w:t>с</w:t>
      </w:r>
      <w:r>
        <w:t>ты и под давлением общественности – издало инструкцию, запрещающую пр</w:t>
      </w:r>
      <w:r>
        <w:t>о</w:t>
      </w:r>
      <w:r>
        <w:t>изводить в связи с вынесением дисциплинарного наказания личный осмотр женщин без их согласия или с причинением им боли или страданий. Инстру</w:t>
      </w:r>
      <w:r>
        <w:t>к</w:t>
      </w:r>
      <w:r>
        <w:t>ция исключила какую бы то ни было возможность проведения проверки на де</w:t>
      </w:r>
      <w:r>
        <w:t>в</w:t>
      </w:r>
      <w:r>
        <w:t>ственность, приведя различия между такой проверкой и предусмотренным з</w:t>
      </w:r>
      <w:r>
        <w:t>а</w:t>
      </w:r>
      <w:r>
        <w:t>коном осмотром вагины или анального отверстия в тех случаях, когда имело место изнасилование, сексуальные контакты с несовершеннолетними или в</w:t>
      </w:r>
      <w:r>
        <w:t>о</w:t>
      </w:r>
      <w:r>
        <w:t>влечение в проституцию или сводничество. В подобных случаях, если это н</w:t>
      </w:r>
      <w:r>
        <w:t>е</w:t>
      </w:r>
      <w:r>
        <w:t>обходимо, судья может вынести постановление о проведении осмотра вагины или анального отверстия без согласия женщины. Однако судебное решение должно быть сопровождено письменным одобрением государственного прок</w:t>
      </w:r>
      <w:r>
        <w:t>у</w:t>
      </w:r>
      <w:r>
        <w:t>рора.</w:t>
      </w:r>
    </w:p>
    <w:p w:rsidR="00000000" w:rsidRDefault="00000000">
      <w:pPr>
        <w:pStyle w:val="H1"/>
      </w:pPr>
      <w:r>
        <w:t>Законы об охране материнства</w:t>
      </w:r>
    </w:p>
    <w:p w:rsidR="00000000" w:rsidRDefault="00000000">
      <w:pPr>
        <w:pStyle w:val="SingleTxt"/>
      </w:pPr>
      <w:r>
        <w:t>Вопросы предоставления отпуска по беременности и родам и связанные с этим вопросы регулируются Законом о гражданской службе и Законом о труде. Закон о гражданской службе предусматривает предоставление трехнедельного отпуска до родов и шестинедельного оплачиваемого и годичного неоплачива</w:t>
      </w:r>
      <w:r>
        <w:t>е</w:t>
      </w:r>
      <w:r>
        <w:t>мого отпуск после родов. Закон же о труде предусматривает предоставление шестинедельного отпуска до родов и шестинедельного оплачиваемого и ше</w:t>
      </w:r>
      <w:r>
        <w:t>с</w:t>
      </w:r>
      <w:r>
        <w:t>тимесячн</w:t>
      </w:r>
      <w:r>
        <w:t>о</w:t>
      </w:r>
      <w:r>
        <w:t>го неоплачиваемого отпуска после родов. Гуж представил премьер-министру подготовленный законопроект, цель которого – согласовать между собой права, предусматриваемые двумя вышеуказанными нормативными акт</w:t>
      </w:r>
      <w:r>
        <w:t>а</w:t>
      </w:r>
      <w:r>
        <w:t>ми. Кроме того, в законопроекте предлагается заменить отпуск по беременн</w:t>
      </w:r>
      <w:r>
        <w:t>о</w:t>
      </w:r>
      <w:r>
        <w:t>сти и родам родительским отпуском, предоставив право на отпуск обоим род</w:t>
      </w:r>
      <w:r>
        <w:t>и</w:t>
      </w:r>
      <w:r>
        <w:t>телям в случае усыновления ребенка и для обеспечения активного участия отца в уходе за ребенком и его воспитании.</w:t>
      </w:r>
    </w:p>
    <w:p w:rsidR="00000000" w:rsidRDefault="00000000">
      <w:pPr>
        <w:pStyle w:val="H1"/>
      </w:pPr>
      <w:r>
        <w:t>Гарантия занятости</w:t>
      </w:r>
    </w:p>
    <w:p w:rsidR="00000000" w:rsidRDefault="00000000">
      <w:pPr>
        <w:pStyle w:val="SingleTxt"/>
      </w:pPr>
      <w:r>
        <w:t>В статьи Трудового кодекса и другие соответствующие законы, содерж</w:t>
      </w:r>
      <w:r>
        <w:t>а</w:t>
      </w:r>
      <w:r>
        <w:t>щие положения о гарантии занятости внесены поправки, и предполагается, что они вступят в силу 15 марта 2003 года. В соответствии с этими поправками трудовой договор не может быть расторгнут по причине членства или участия в союзной деятельности и работодатель может быть привлечен к суду за наруш</w:t>
      </w:r>
      <w:r>
        <w:t>е</w:t>
      </w:r>
      <w:r>
        <w:t>ние условий договора и трудовых норм. Кроме того, измененный закон обесп</w:t>
      </w:r>
      <w:r>
        <w:t>е</w:t>
      </w:r>
      <w:r>
        <w:t>чивает защиту наемного работника от всех форм дискриминации на основании расы, пола, семейного положения, семейных обязанностей, беременности, р</w:t>
      </w:r>
      <w:r>
        <w:t>е</w:t>
      </w:r>
      <w:r>
        <w:t>лигии, политических взглядов и социального и этнического происхождения. При расторжении договора работодатель обязан представить письменное обо</w:t>
      </w:r>
      <w:r>
        <w:t>с</w:t>
      </w:r>
      <w:r>
        <w:t>нование причин расторжения, а в случае спора на него ложится и бремя док</w:t>
      </w:r>
      <w:r>
        <w:t>а</w:t>
      </w:r>
      <w:r>
        <w:t>зывания.</w:t>
      </w:r>
    </w:p>
    <w:p w:rsidR="00000000" w:rsidRDefault="00000000">
      <w:pPr>
        <w:pStyle w:val="SingleTxt"/>
      </w:pPr>
      <w:r>
        <w:t>Государства-участники... обязуются:</w:t>
      </w:r>
    </w:p>
    <w:p w:rsidR="00000000" w:rsidRDefault="00000000">
      <w:pPr>
        <w:pStyle w:val="SingleTxt"/>
        <w:tabs>
          <w:tab w:val="clear" w:pos="1267"/>
        </w:tabs>
        <w:ind w:left="2246" w:hanging="505"/>
        <w:rPr>
          <w:i/>
        </w:rPr>
      </w:pPr>
      <w:r>
        <w:rPr>
          <w:b/>
          <w:i/>
        </w:rPr>
        <w:t>(</w:t>
      </w:r>
      <w:r>
        <w:rPr>
          <w:b/>
          <w:i/>
          <w:lang w:val="en-US"/>
        </w:rPr>
        <w:t>g</w:t>
      </w:r>
      <w:r>
        <w:rPr>
          <w:b/>
          <w:i/>
        </w:rPr>
        <w:t>)</w:t>
      </w:r>
      <w:r>
        <w:rPr>
          <w:b/>
          <w:i/>
        </w:rPr>
        <w:tab/>
      </w:r>
      <w:r>
        <w:rPr>
          <w:i/>
        </w:rPr>
        <w:t>отменить все положения своего уголовного законодательства, к</w:t>
      </w:r>
      <w:r>
        <w:rPr>
          <w:i/>
        </w:rPr>
        <w:t>о</w:t>
      </w:r>
      <w:r>
        <w:rPr>
          <w:i/>
        </w:rPr>
        <w:t>торые представляют собой дискриминацию в отношении женщин.</w:t>
      </w:r>
    </w:p>
    <w:p w:rsidR="00000000" w:rsidRDefault="00000000">
      <w:pPr>
        <w:pStyle w:val="SingleTxt"/>
      </w:pPr>
      <w:r>
        <w:t>9 октября 2002 года министерство юстиции представило премьер-министру законопроект о внесении поправок в Уголовный кодекс. В частности, эти поправки включают следующее:</w:t>
      </w:r>
    </w:p>
    <w:p w:rsidR="00000000" w:rsidRDefault="00000000">
      <w:pPr>
        <w:pStyle w:val="dot"/>
      </w:pPr>
      <w:r>
        <w:tab/>
      </w:r>
      <w:r>
        <w:rPr>
          <w:lang w:val="en-US"/>
        </w:rPr>
        <w:tab/>
      </w:r>
      <w:r>
        <w:t>•</w:t>
      </w:r>
      <w:r>
        <w:tab/>
        <w:t>Пытки определяются как самостоятельная категория правонарушений, с</w:t>
      </w:r>
      <w:r>
        <w:t>о</w:t>
      </w:r>
      <w:r>
        <w:t>вершаемых физическими лицами. Такие правонарушения, совершаемые в отношении несовершеннолетних лиц в возрасте до 18 лет и в отношении супруга/супруги, рассматриваются в качестве фактора, усугубляющего вину и, как следствие, отягощающего наказание;</w:t>
      </w:r>
    </w:p>
    <w:p w:rsidR="00000000" w:rsidRDefault="00000000">
      <w:pPr>
        <w:pStyle w:val="dot"/>
      </w:pPr>
      <w:r>
        <w:tab/>
      </w:r>
      <w:r>
        <w:rPr>
          <w:lang w:val="en-US"/>
        </w:rPr>
        <w:tab/>
      </w:r>
      <w:r>
        <w:t>•</w:t>
      </w:r>
      <w:r>
        <w:tab/>
        <w:t>изъятие статьи 423, в которой лишение девственности лицом, обещавшим ж</w:t>
      </w:r>
      <w:r>
        <w:t>е</w:t>
      </w:r>
      <w:r>
        <w:t>ниться, квалифицируется в качестве преступления;</w:t>
      </w:r>
    </w:p>
    <w:p w:rsidR="00000000" w:rsidRDefault="00000000">
      <w:pPr>
        <w:pStyle w:val="dot"/>
      </w:pPr>
      <w:r>
        <w:tab/>
      </w:r>
      <w:r>
        <w:rPr>
          <w:lang w:val="en-US"/>
        </w:rPr>
        <w:tab/>
      </w:r>
      <w:r>
        <w:t>•</w:t>
      </w:r>
      <w:r>
        <w:tab/>
        <w:t>изъятие статьи 462, предусматривающей смягчение наказания виновному в убийстве или нападении или избиении супруги/сестры, брата или друг</w:t>
      </w:r>
      <w:r>
        <w:t>о</w:t>
      </w:r>
      <w:r>
        <w:t>го родственника, который, как однозначно установлено, нарушил супр</w:t>
      </w:r>
      <w:r>
        <w:t>у</w:t>
      </w:r>
      <w:r>
        <w:t>жескую верность или вступил в незаконную половую связь;</w:t>
      </w:r>
    </w:p>
    <w:p w:rsidR="00000000" w:rsidRDefault="00000000">
      <w:pPr>
        <w:pStyle w:val="dot"/>
      </w:pPr>
      <w:r>
        <w:tab/>
      </w:r>
      <w:r>
        <w:tab/>
        <w:t>•</w:t>
      </w:r>
      <w:r>
        <w:tab/>
        <w:t>квалификация в делах об изнасиловании или покушении на изнасилов</w:t>
      </w:r>
      <w:r>
        <w:t>а</w:t>
      </w:r>
      <w:r>
        <w:t>ние "психологического давления" в качестве насилия;</w:t>
      </w:r>
    </w:p>
    <w:p w:rsidR="00000000" w:rsidRDefault="00000000">
      <w:pPr>
        <w:pStyle w:val="dot"/>
      </w:pPr>
      <w:r>
        <w:tab/>
      </w:r>
      <w:r>
        <w:tab/>
        <w:t>•</w:t>
      </w:r>
      <w:r>
        <w:tab/>
        <w:t>определение "преступлений на сексуальной почве" в качестве преступл</w:t>
      </w:r>
      <w:r>
        <w:t>е</w:t>
      </w:r>
      <w:r>
        <w:t>ний не против общественных нравов, а против личности;</w:t>
      </w:r>
    </w:p>
    <w:p w:rsidR="00000000" w:rsidRDefault="00000000">
      <w:pPr>
        <w:pStyle w:val="dot"/>
      </w:pPr>
      <w:r>
        <w:tab/>
      </w:r>
      <w:r>
        <w:tab/>
        <w:t>•</w:t>
      </w:r>
      <w:r>
        <w:tab/>
        <w:t>включение положения об изнасиловании супругом супруги;</w:t>
      </w:r>
    </w:p>
    <w:p w:rsidR="00000000" w:rsidRDefault="00000000">
      <w:pPr>
        <w:pStyle w:val="dot"/>
      </w:pPr>
      <w:r>
        <w:tab/>
      </w:r>
      <w:r>
        <w:rPr>
          <w:lang w:val="en-US"/>
        </w:rPr>
        <w:tab/>
      </w:r>
      <w:r>
        <w:t>•</w:t>
      </w:r>
      <w:r>
        <w:tab/>
        <w:t>степень наказания за изнасилование зависит от возраста пострадавшего лица, при этом наиболее суровое наказание предусматривается за прест</w:t>
      </w:r>
      <w:r>
        <w:t>у</w:t>
      </w:r>
      <w:r>
        <w:t>пления на сексуальной почве, совершенные в отношении детей в возрасте до 12 лет;</w:t>
      </w:r>
    </w:p>
    <w:p w:rsidR="00000000" w:rsidRDefault="00000000">
      <w:pPr>
        <w:pStyle w:val="dot"/>
      </w:pPr>
      <w:r>
        <w:tab/>
      </w:r>
      <w:r>
        <w:tab/>
        <w:t>•</w:t>
      </w:r>
      <w:r>
        <w:tab/>
        <w:t>исключение положения, в котором проводятся различия между женщин</w:t>
      </w:r>
      <w:r>
        <w:t>а</w:t>
      </w:r>
      <w:r>
        <w:t>ми, ставшими жертвами похищения на сексуальной почве, в зависимости от их семейного положения;</w:t>
      </w:r>
    </w:p>
    <w:p w:rsidR="00000000" w:rsidRDefault="00000000">
      <w:pPr>
        <w:pStyle w:val="dot"/>
      </w:pPr>
      <w:r>
        <w:tab/>
      </w:r>
      <w:r>
        <w:tab/>
        <w:t>•</w:t>
      </w:r>
      <w:r>
        <w:tab/>
        <w:t>что касается преступлений на сексуальной почве, то в случае, если поте</w:t>
      </w:r>
      <w:r>
        <w:t>р</w:t>
      </w:r>
      <w:r>
        <w:t>певшая выходит замуж за правонарушителя, исполнение приговора пр</w:t>
      </w:r>
      <w:r>
        <w:t>и</w:t>
      </w:r>
      <w:r>
        <w:t>останавливается, однако после внесения поправок будет установлен сл</w:t>
      </w:r>
      <w:r>
        <w:t>е</w:t>
      </w:r>
      <w:r>
        <w:t>дующий порядок: сначала судья будет обязан выслушать потерпевшую и правонарушителя и вынести постановление о приведении приговора в и</w:t>
      </w:r>
      <w:r>
        <w:t>с</w:t>
      </w:r>
      <w:r>
        <w:t>полнение лишь в том случае, если он будет убежден в том, что обе стор</w:t>
      </w:r>
      <w:r>
        <w:t>о</w:t>
      </w:r>
      <w:r>
        <w:t>ны желают вступить в брак по своей воле. Если в совершении преступл</w:t>
      </w:r>
      <w:r>
        <w:t>е</w:t>
      </w:r>
      <w:r>
        <w:t>ния принимало участие несколько человек, и один из них женился на п</w:t>
      </w:r>
      <w:r>
        <w:t>о</w:t>
      </w:r>
      <w:r>
        <w:t>терпевшей, положение о приостановлении исполнения приговора в отн</w:t>
      </w:r>
      <w:r>
        <w:t>о</w:t>
      </w:r>
      <w:r>
        <w:t>ш</w:t>
      </w:r>
      <w:r>
        <w:t>е</w:t>
      </w:r>
      <w:r>
        <w:t>нии других правонарушителей не применяется;</w:t>
      </w:r>
    </w:p>
    <w:p w:rsidR="00000000" w:rsidRDefault="00000000">
      <w:pPr>
        <w:pStyle w:val="dot"/>
      </w:pPr>
      <w:r>
        <w:rPr>
          <w:lang w:val="en-US"/>
        </w:rPr>
        <w:tab/>
      </w:r>
      <w:r>
        <w:tab/>
        <w:t>•</w:t>
      </w:r>
      <w:r>
        <w:tab/>
        <w:t>в делах об изнасиловании любые действия, кроме "сексуальных крайн</w:t>
      </w:r>
      <w:r>
        <w:t>о</w:t>
      </w:r>
      <w:r>
        <w:t>стей" квалифицируются в качестве изнасилования;</w:t>
      </w:r>
    </w:p>
    <w:p w:rsidR="00000000" w:rsidRDefault="00000000">
      <w:pPr>
        <w:pStyle w:val="dot"/>
      </w:pPr>
      <w:r>
        <w:tab/>
      </w:r>
      <w:r>
        <w:tab/>
        <w:t>•</w:t>
      </w:r>
      <w:r>
        <w:tab/>
        <w:t>в рамках "пакета мер", принятого парламентом 3 августа 2002 года в связи с присоединением к ЕС, были внесены поправки в статью Уголовного к</w:t>
      </w:r>
      <w:r>
        <w:t>о</w:t>
      </w:r>
      <w:r>
        <w:t>декса, посвященную преступлениям против права на труд и свободного труда. Эти поправки предусматривают детализацию соответствующих п</w:t>
      </w:r>
      <w:r>
        <w:t>о</w:t>
      </w:r>
      <w:r>
        <w:t>ложений и ужесточение наказания за организацию незаконной торговли людьми.</w:t>
      </w:r>
    </w:p>
    <w:p w:rsidR="00000000" w:rsidRDefault="00000000">
      <w:pPr>
        <w:pStyle w:val="SingleTxt"/>
      </w:pPr>
      <w:r>
        <w:t>Перечисленные выше поправки представляют собой существенный пр</w:t>
      </w:r>
      <w:r>
        <w:t>о</w:t>
      </w:r>
      <w:r>
        <w:t>рыв в патриархальных представлениях о роли мужчины и женщины, которые закреплены в действующем законодательстве: сегодня преступления на секс</w:t>
      </w:r>
      <w:r>
        <w:t>у</w:t>
      </w:r>
      <w:r>
        <w:t>альной почве, совершаемые в отношении женщин и девочек, рассматриваются в качестве преступлений против общественной морали и семейных устоев. З</w:t>
      </w:r>
      <w:r>
        <w:t>а</w:t>
      </w:r>
      <w:r>
        <w:t>конопроект, в котором преступления на сексуальной почве квалифицируются в качестве преступлений против личности, не только укрепит правосудие, но и в конечном счете наполнит новым содержанием понятие о чести в турецком о</w:t>
      </w:r>
      <w:r>
        <w:t>б</w:t>
      </w:r>
      <w:r>
        <w:t>ществе, понятие, которое все еще напрямую увязывается с характером половых отношений, поддерживаемых женщиной, и которое служит основным факт</w:t>
      </w:r>
      <w:r>
        <w:t>о</w:t>
      </w:r>
      <w:r>
        <w:t>ром, обусловливающим дискриминацию по признаку пола.</w:t>
      </w:r>
    </w:p>
    <w:p w:rsidR="00000000" w:rsidRDefault="00000000">
      <w:pPr>
        <w:pStyle w:val="SingleTxt"/>
      </w:pPr>
      <w:r>
        <w:t>В предыдущем докладе Турции было указано на то, что в 1996 году Ко</w:t>
      </w:r>
      <w:r>
        <w:t>н</w:t>
      </w:r>
      <w:r>
        <w:t>ституционный суд отменил статью 441 Уголовного кодекса, касающуюся нар</w:t>
      </w:r>
      <w:r>
        <w:t>у</w:t>
      </w:r>
      <w:r>
        <w:t>шения мужчиной супружеской верности, на том основании, что он противор</w:t>
      </w:r>
      <w:r>
        <w:t>е</w:t>
      </w:r>
      <w:r>
        <w:t>чит конституционному принципу равенства. Поскольку новый нормативный акт не был принят в установленный законом годичный срок, нарушение му</w:t>
      </w:r>
      <w:r>
        <w:t>ж</w:t>
      </w:r>
      <w:r>
        <w:t>чиной супружеской верности автоматически перестало квалифицироваться в качестве преступления. Вместе с тем статья 440 о нарушении женщиной су</w:t>
      </w:r>
      <w:r>
        <w:t>п</w:t>
      </w:r>
      <w:r>
        <w:t>ружеской верности продолжала оставаться в силе. Конституционный суд отм</w:t>
      </w:r>
      <w:r>
        <w:t>е</w:t>
      </w:r>
      <w:r>
        <w:t>нил ее 23 июня 1998 года, устранив возникшее несоответствие. Таким образом, по турецкому законодательству нарушение супружеской верности не является преступлением, однако оно может служить основанием для развода в соотве</w:t>
      </w:r>
      <w:r>
        <w:t>т</w:t>
      </w:r>
      <w:r>
        <w:t>ствии с Гражданским кодексом (статья 161). Возбуждение иска о разводе по причине супружеской неверности дает право потерпевшей стороне требовать возмещения генеральных убытков (статья 174 Гражданского кодекса).</w:t>
      </w:r>
    </w:p>
    <w:p w:rsidR="00000000" w:rsidRDefault="00000000">
      <w:pPr>
        <w:pStyle w:val="HCh"/>
      </w:pPr>
      <w:r>
        <w:br w:type="page"/>
        <w:t>Развитие и прогресс женщин</w:t>
      </w:r>
    </w:p>
    <w:p w:rsidR="00000000" w:rsidRDefault="00000000">
      <w:pPr>
        <w:pStyle w:val="SingleTxt"/>
        <w:rPr>
          <w:i/>
        </w:rPr>
      </w:pPr>
      <w:r>
        <w:rPr>
          <w:b/>
          <w:i/>
        </w:rPr>
        <w:t>Статья 3.</w:t>
      </w:r>
      <w:r>
        <w:rPr>
          <w:i/>
        </w:rPr>
        <w:t xml:space="preserve"> Государства-участники принимают во всех областях, и в ч</w:t>
      </w:r>
      <w:r>
        <w:rPr>
          <w:i/>
        </w:rPr>
        <w:t>а</w:t>
      </w:r>
      <w:r>
        <w:rPr>
          <w:i/>
        </w:rPr>
        <w:t>стности в политической, социальной, экономической и культурной областях все соответствующие меры, включая законодательные, для обеспечения вс</w:t>
      </w:r>
      <w:r>
        <w:rPr>
          <w:i/>
        </w:rPr>
        <w:t>е</w:t>
      </w:r>
      <w:r>
        <w:rPr>
          <w:i/>
        </w:rPr>
        <w:t>стороннего развития и прогресса женщин с тем, чтобы гарантировать им осуществление и пользование правами человека о основными свободами на о</w:t>
      </w:r>
      <w:r>
        <w:rPr>
          <w:i/>
        </w:rPr>
        <w:t>с</w:t>
      </w:r>
      <w:r>
        <w:rPr>
          <w:i/>
        </w:rPr>
        <w:t>нове р</w:t>
      </w:r>
      <w:r>
        <w:rPr>
          <w:i/>
        </w:rPr>
        <w:t>а</w:t>
      </w:r>
      <w:r>
        <w:rPr>
          <w:i/>
        </w:rPr>
        <w:t>венства с мужчинами.</w:t>
      </w:r>
    </w:p>
    <w:p w:rsidR="00000000" w:rsidRDefault="00000000">
      <w:pPr>
        <w:pStyle w:val="SingleTxt"/>
      </w:pPr>
      <w:r>
        <w:t>Развитие и прогресс женщин является одним из главных направлений усилий Турецкой Республики по модернизации с момента ее возникновения. Как уже описывалось в предыдущих докладах, в ходе этого процесса турецкие женщины получили многие из своих гражданских свобод на сравнительно ра</w:t>
      </w:r>
      <w:r>
        <w:t>н</w:t>
      </w:r>
      <w:r>
        <w:t>нем – по мировым меркам – этапе. Как было упомянуто выше, начиная с пятого Пятилетнего плана развития (1985-1990 годы) женская проблематика является важной самостоятельной областью государственной политики и планирования. Как указано в разделе доклада, посвященном статье 14, в проектах развития женщины рассматриваются в качестве приоритетных целевых групп, призва</w:t>
      </w:r>
      <w:r>
        <w:t>н</w:t>
      </w:r>
      <w:r>
        <w:t>ных устранить существующий разрыв в уровнях развития отдельных регионов и секторов.</w:t>
      </w:r>
    </w:p>
    <w:p w:rsidR="00000000" w:rsidRDefault="00000000">
      <w:pPr>
        <w:pStyle w:val="SingleTxt"/>
      </w:pPr>
      <w:r>
        <w:t>Стремясь реализовать на практике установленные международные ста</w:t>
      </w:r>
      <w:r>
        <w:t>н</w:t>
      </w:r>
      <w:r>
        <w:t>дарты, Турция присоединилась к КЛДЖ и Факультативному протоколу к ней, а также к Конвенции о правах ребенка и другим соответствующим междунаро</w:t>
      </w:r>
      <w:r>
        <w:t>д</w:t>
      </w:r>
      <w:r>
        <w:t>ным соглашениям, включая те, которые были выработаны, в частности, в ра</w:t>
      </w:r>
      <w:r>
        <w:t>м</w:t>
      </w:r>
      <w:r>
        <w:t>ках МОТ, УСР, Совета Европы и Организации по безопасности и сотруднич</w:t>
      </w:r>
      <w:r>
        <w:t>е</w:t>
      </w:r>
      <w:r>
        <w:t>ству в Европе. Кроме того, Турция поддерживает все региональные и глобал</w:t>
      </w:r>
      <w:r>
        <w:t>ь</w:t>
      </w:r>
      <w:r>
        <w:t>ные инициативы по поощрению равенства и защите прав человека и участвует в соответствующей международной деятельности.</w:t>
      </w:r>
    </w:p>
    <w:p w:rsidR="00000000" w:rsidRDefault="00000000">
      <w:pPr>
        <w:pStyle w:val="SingleTxt"/>
      </w:pPr>
      <w:r>
        <w:t>В ноябре 1997 года в Стамбуле была проведена четвертая Конференция министров Совета Европы о проблеме гендерного равенства. Тема этой Конф</w:t>
      </w:r>
      <w:r>
        <w:t>е</w:t>
      </w:r>
      <w:r>
        <w:t>ренции была сформулирована следующим образом: "Демократия и гендерное равенство". Обсуждения проходили по двум подтемам: "Гендерное равенство как основной критерий демократии" и "Достижение гендерного равенства в демократическом обществе: роль мужчин". Конференция завершилась прин</w:t>
      </w:r>
      <w:r>
        <w:t>я</w:t>
      </w:r>
      <w:r>
        <w:t>тием "Стамбульской декларации", содержащей руководящие принципы относ</w:t>
      </w:r>
      <w:r>
        <w:t>и</w:t>
      </w:r>
      <w:r>
        <w:t>тельно пол</w:t>
      </w:r>
      <w:r>
        <w:t>и</w:t>
      </w:r>
      <w:r>
        <w:t>тики в области обеспечения гендерного равенства.</w:t>
      </w:r>
    </w:p>
    <w:p w:rsidR="00000000" w:rsidRDefault="00000000">
      <w:pPr>
        <w:pStyle w:val="SingleTxt"/>
      </w:pPr>
      <w:r>
        <w:t>Турция поддерживает и активно участвует во всех инициативах и усилиях Генеральной Ассамблеи ООН, экономического и социального совета и Коми</w:t>
      </w:r>
      <w:r>
        <w:t>с</w:t>
      </w:r>
      <w:r>
        <w:t>сии по положению женщин, направленной на поощрение и защиту прав чел</w:t>
      </w:r>
      <w:r>
        <w:t>о</w:t>
      </w:r>
      <w:r>
        <w:t>века женщин. Так, ГУЖ активно сотрудничала с неправительственными орг</w:t>
      </w:r>
      <w:r>
        <w:t>а</w:t>
      </w:r>
      <w:r>
        <w:t>низациями в подготовке к процессу "Пекин+5". Официальная делегация в с</w:t>
      </w:r>
      <w:r>
        <w:t>о</w:t>
      </w:r>
      <w:r>
        <w:t>ставе представителей правительственных и неправительственных организаций активно участвовала как в региональном подготовительном совещании в ра</w:t>
      </w:r>
      <w:r>
        <w:t>м</w:t>
      </w:r>
      <w:r>
        <w:t xml:space="preserve">ках "Пекин+5", организованном ЕК, так и в специальной сессии Генеральной Ассамблеи ООН по теме "Женщины в 2000 году: равенство между мужчинами и женщинами, развитие и мир в </w:t>
      </w:r>
      <w:r>
        <w:rPr>
          <w:lang w:val="en-US"/>
        </w:rPr>
        <w:t>XXI</w:t>
      </w:r>
      <w:r>
        <w:t xml:space="preserve"> веке". Турецкая делегация внесла сущес</w:t>
      </w:r>
      <w:r>
        <w:t>т</w:t>
      </w:r>
      <w:r>
        <w:t>венный вклад в согласование текста заключительного документа "Пекин+5", особенно тех его разделов, которые касались репродуктивных прав, преступл</w:t>
      </w:r>
      <w:r>
        <w:t>е</w:t>
      </w:r>
      <w:r>
        <w:t>ний против чести и н</w:t>
      </w:r>
      <w:r>
        <w:t>а</w:t>
      </w:r>
      <w:r>
        <w:t>сильственных и ранних браков.</w:t>
      </w:r>
    </w:p>
    <w:p w:rsidR="00000000" w:rsidRDefault="00000000">
      <w:pPr>
        <w:pStyle w:val="SingleTxt"/>
      </w:pPr>
      <w:r>
        <w:t>6-9 ноября 2001 года ГУЖ, в сотрудничестве с Отделом по улучшению положения женщин Организации Объединенных Наций, провел совещание группы экспертов по теме "Рациональное использование окружающей среды и смягчение последствий стихийных бедствий: гендерный аспект". Совещание было приурочено к сорок шестой сессии Комиссии по положению женщин, п</w:t>
      </w:r>
      <w:r>
        <w:t>о</w:t>
      </w:r>
      <w:r>
        <w:t>священной проблеме стихийных бедствий.</w:t>
      </w:r>
    </w:p>
    <w:p w:rsidR="00000000" w:rsidRDefault="00000000">
      <w:pPr>
        <w:pStyle w:val="SingleTxt"/>
      </w:pPr>
      <w:r>
        <w:t>На национальном уровне одним из важнейших направлений длительности области развития и прогресса женщин является обработка и распространение данных с разбивкой по признаку пола. Главным органом, отвечающим за по</w:t>
      </w:r>
      <w:r>
        <w:t>д</w:t>
      </w:r>
      <w:r>
        <w:t>готовку статистических данных о людских ресурсах в Турции, является Гос</w:t>
      </w:r>
      <w:r>
        <w:t>у</w:t>
      </w:r>
      <w:r>
        <w:t>дарственный статистический институт. Созданная Отделом социальной стат</w:t>
      </w:r>
      <w:r>
        <w:t>и</w:t>
      </w:r>
      <w:r>
        <w:t>стики и статистики по проблемам женщин указанного Института, служит н</w:t>
      </w:r>
      <w:r>
        <w:t>а</w:t>
      </w:r>
      <w:r>
        <w:t>дежным источником свежей информации, необходимой для разработки полит</w:t>
      </w:r>
      <w:r>
        <w:t>и</w:t>
      </w:r>
      <w:r>
        <w:t>ки, а также для осуществления контроля и оценки программ развития.</w:t>
      </w:r>
    </w:p>
    <w:p w:rsidR="00000000" w:rsidRDefault="00000000">
      <w:pPr>
        <w:pStyle w:val="SingleTxt"/>
      </w:pPr>
      <w:r>
        <w:t>В 1998 году ГУЖ и Отдел статистики по проблемам женщин, при по</w:t>
      </w:r>
      <w:r>
        <w:t>д</w:t>
      </w:r>
      <w:r>
        <w:t>держке со стороны ООН, реализовали проект по созданию базы данных по ге</w:t>
      </w:r>
      <w:r>
        <w:t>н</w:t>
      </w:r>
      <w:r>
        <w:t>дерной статистике и гендерным показателям с особым упором на таких обла</w:t>
      </w:r>
      <w:r>
        <w:t>с</w:t>
      </w:r>
      <w:r>
        <w:t>тях, как демография, структура семьи, образование и занятость. Доступ к этой базе данных открыт через веб-сайт Государственного статистического инстит</w:t>
      </w:r>
      <w:r>
        <w:t>у</w:t>
      </w:r>
      <w:r>
        <w:t>та (</w:t>
      </w:r>
      <w:r>
        <w:rPr>
          <w:lang w:val="en-US"/>
        </w:rPr>
        <w:t>www</w:t>
      </w:r>
      <w:r>
        <w:t>.</w:t>
      </w:r>
      <w:r>
        <w:rPr>
          <w:lang w:val="en-US"/>
        </w:rPr>
        <w:t>die</w:t>
      </w:r>
      <w:r>
        <w:t>.</w:t>
      </w:r>
      <w:r>
        <w:rPr>
          <w:lang w:val="en-US"/>
        </w:rPr>
        <w:t>gov</w:t>
      </w:r>
      <w:r>
        <w:t>.</w:t>
      </w:r>
      <w:r>
        <w:rPr>
          <w:lang w:val="en-US"/>
        </w:rPr>
        <w:t>tr</w:t>
      </w:r>
      <w:r>
        <w:t>). В соответствии с рекомендацией, сформулированной в рамках Программы сотрудничества между правительством Турции и ЮНИСЕФ на период 2001-2005 годов, предпринимаются усилия по укреплению базы да</w:t>
      </w:r>
      <w:r>
        <w:t>н</w:t>
      </w:r>
      <w:r>
        <w:t>ных по статистике и показателям, касающимся женщин, и базы данных инфо</w:t>
      </w:r>
      <w:r>
        <w:t>р</w:t>
      </w:r>
      <w:r>
        <w:t>мационной сети по проблемам детей в целях обеспечения более эффективного контроля за соблюдением положений как Конвенции о правах ребенка, так и Конвенции о ликвидации всех форм дискриминации в отнош</w:t>
      </w:r>
      <w:r>
        <w:t>е</w:t>
      </w:r>
      <w:r>
        <w:t>нии женщин.</w:t>
      </w:r>
    </w:p>
    <w:p w:rsidR="00000000" w:rsidRDefault="00000000">
      <w:pPr>
        <w:pStyle w:val="SingleTxt"/>
      </w:pPr>
      <w:r>
        <w:t>Параллельно с этим Государственный статистический институт пересма</w:t>
      </w:r>
      <w:r>
        <w:t>т</w:t>
      </w:r>
      <w:r>
        <w:t>ривает свои подходы к сбору данных с учетом гендерного аспекта и разрабат</w:t>
      </w:r>
      <w:r>
        <w:t>ы</w:t>
      </w:r>
      <w:r>
        <w:t>вает методологии проведения исследований и осуществления проектов, осн</w:t>
      </w:r>
      <w:r>
        <w:t>о</w:t>
      </w:r>
      <w:r>
        <w:t>вывающиеся на принципе привлечения максимально большого числа участн</w:t>
      </w:r>
      <w:r>
        <w:t>и</w:t>
      </w:r>
      <w:r>
        <w:t>ков.</w:t>
      </w:r>
    </w:p>
    <w:p w:rsidR="00000000" w:rsidRDefault="00000000">
      <w:pPr>
        <w:pStyle w:val="H1"/>
      </w:pPr>
      <w:r>
        <w:t>Ускорение установления равенства между женщинами и</w:t>
      </w:r>
      <w:r>
        <w:rPr>
          <w:lang w:val="en-US"/>
        </w:rPr>
        <w:t> </w:t>
      </w:r>
      <w:r>
        <w:t>мужчинами</w:t>
      </w:r>
    </w:p>
    <w:p w:rsidR="00000000" w:rsidRDefault="00000000">
      <w:pPr>
        <w:pStyle w:val="SingleTxt"/>
        <w:rPr>
          <w:i/>
        </w:rPr>
      </w:pPr>
      <w:r>
        <w:rPr>
          <w:b/>
          <w:i/>
        </w:rPr>
        <w:t>Статья 4.1.</w:t>
      </w:r>
      <w:r>
        <w:rPr>
          <w:i/>
        </w:rPr>
        <w:t xml:space="preserve"> Принятие государствами-участниками временных спец</w:t>
      </w:r>
      <w:r>
        <w:rPr>
          <w:i/>
        </w:rPr>
        <w:t>и</w:t>
      </w:r>
      <w:r>
        <w:rPr>
          <w:i/>
        </w:rPr>
        <w:t>альных мер, направленных на ускорение установления фактического равенства между мужчинами и женщинами, не считается, как это определяется н</w:t>
      </w:r>
      <w:r>
        <w:rPr>
          <w:i/>
        </w:rPr>
        <w:t>а</w:t>
      </w:r>
      <w:r>
        <w:rPr>
          <w:i/>
        </w:rPr>
        <w:t>стоящей Конвенцией, дискриминационным, однако оно ни в коей мере не дол</w:t>
      </w:r>
      <w:r>
        <w:rPr>
          <w:i/>
        </w:rPr>
        <w:t>ж</w:t>
      </w:r>
      <w:r>
        <w:rPr>
          <w:i/>
        </w:rPr>
        <w:t>но влечь за собой сохранение неравноправных или дифференцированных ста</w:t>
      </w:r>
      <w:r>
        <w:rPr>
          <w:i/>
        </w:rPr>
        <w:t>н</w:t>
      </w:r>
      <w:r>
        <w:rPr>
          <w:i/>
        </w:rPr>
        <w:t>дартов; эти меры должны быть отменены, когда будут достигнуты цели р</w:t>
      </w:r>
      <w:r>
        <w:rPr>
          <w:i/>
        </w:rPr>
        <w:t>а</w:t>
      </w:r>
      <w:r>
        <w:rPr>
          <w:i/>
        </w:rPr>
        <w:t>венства возможностей и равноправного отношения.</w:t>
      </w:r>
    </w:p>
    <w:p w:rsidR="00000000" w:rsidRDefault="00000000">
      <w:pPr>
        <w:pStyle w:val="SingleTxt"/>
        <w:rPr>
          <w:i/>
        </w:rPr>
      </w:pPr>
      <w:r>
        <w:rPr>
          <w:b/>
          <w:i/>
        </w:rPr>
        <w:t>4.2.</w:t>
      </w:r>
      <w:r>
        <w:rPr>
          <w:i/>
        </w:rPr>
        <w:t xml:space="preserve"> Принятие государствами-участниками специальных мер, направле</w:t>
      </w:r>
      <w:r>
        <w:rPr>
          <w:i/>
        </w:rPr>
        <w:t>н</w:t>
      </w:r>
      <w:r>
        <w:rPr>
          <w:i/>
        </w:rPr>
        <w:t>ных на охрану материнства, включая меры, содержащиеся в настоящей Ко</w:t>
      </w:r>
      <w:r>
        <w:rPr>
          <w:i/>
        </w:rPr>
        <w:t>н</w:t>
      </w:r>
      <w:r>
        <w:rPr>
          <w:i/>
        </w:rPr>
        <w:t>венции, не считается ди</w:t>
      </w:r>
      <w:r>
        <w:rPr>
          <w:i/>
        </w:rPr>
        <w:t>с</w:t>
      </w:r>
      <w:r>
        <w:rPr>
          <w:i/>
        </w:rPr>
        <w:t>криминационным.</w:t>
      </w:r>
    </w:p>
    <w:p w:rsidR="00000000" w:rsidRDefault="00000000">
      <w:pPr>
        <w:spacing w:line="360" w:lineRule="auto"/>
        <w:rPr>
          <w:i/>
          <w:sz w:val="24"/>
        </w:rPr>
      </w:pPr>
    </w:p>
    <w:p w:rsidR="00000000" w:rsidRDefault="00000000">
      <w:pPr>
        <w:pStyle w:val="SingleTxt"/>
      </w:pPr>
      <w:r>
        <w:t>Соответствующая информация приводится в объединенных втором и третьем докл</w:t>
      </w:r>
      <w:r>
        <w:t>а</w:t>
      </w:r>
      <w:r>
        <w:t>дах Турции.</w:t>
      </w:r>
    </w:p>
    <w:p w:rsidR="00000000" w:rsidRDefault="00000000">
      <w:pPr>
        <w:pStyle w:val="SingleTxt"/>
      </w:pPr>
      <w:r>
        <w:t>Как было отмечено в предыдущем докладе Турции, Турецкий народный банк и Турецкий фондовый банк приступили к реализации специальных кр</w:t>
      </w:r>
      <w:r>
        <w:t>е</w:t>
      </w:r>
      <w:r>
        <w:t>дитных программ для женщин с целью обеспечить активное участие женщин в развитии и стимулировать их предпринимательскую деятельность. Осущест</w:t>
      </w:r>
      <w:r>
        <w:t>в</w:t>
      </w:r>
      <w:r>
        <w:t>ление этих пр</w:t>
      </w:r>
      <w:r>
        <w:t>о</w:t>
      </w:r>
      <w:r>
        <w:t>грамм продолжается.</w:t>
      </w:r>
    </w:p>
    <w:p w:rsidR="00000000" w:rsidRDefault="00000000">
      <w:pPr>
        <w:pStyle w:val="SingleTxt"/>
      </w:pPr>
      <w:r>
        <w:t>Информация о специальных мерах, принятых политическими партиями с целью расширить участие женщин в политической жизни, содержится в разд</w:t>
      </w:r>
      <w:r>
        <w:t>е</w:t>
      </w:r>
      <w:r>
        <w:t>ле доклада, посвяще</w:t>
      </w:r>
      <w:r>
        <w:t>н</w:t>
      </w:r>
      <w:r>
        <w:t>ном статье 7.</w:t>
      </w:r>
    </w:p>
    <w:p w:rsidR="00000000" w:rsidRDefault="00000000">
      <w:pPr>
        <w:pStyle w:val="SingleTxt"/>
      </w:pPr>
      <w:r>
        <w:t>Положения о защите работающих женщин, содержащиеся в Законе № 1475 о труде, расширены и включены в новый проект Закона о труде (№ 4857). В указанном законопроекте предусматривается следующее: работодатель не может расторгнуть договор по причине беременности и родов работницы (ст</w:t>
      </w:r>
      <w:r>
        <w:t>а</w:t>
      </w:r>
      <w:r>
        <w:t>тья 18); недопустима ни прямая, ни косвенная дискриминация по признаку п</w:t>
      </w:r>
      <w:r>
        <w:t>о</w:t>
      </w:r>
      <w:r>
        <w:t>ла или по причине беременности (статья 5); законный отпуск по беременности и родам засчитывается в трудовой стаж; и работница может кормить своего грудного ребенка в рабочие часы (статья 66).</w:t>
      </w:r>
    </w:p>
    <w:p w:rsidR="00000000" w:rsidRDefault="00000000">
      <w:pPr>
        <w:pStyle w:val="SingleTxt"/>
      </w:pPr>
      <w:r>
        <w:t>Законом конкретно оговариваются места и виды работ, где нельзя прим</w:t>
      </w:r>
      <w:r>
        <w:t>е</w:t>
      </w:r>
      <w:r>
        <w:t>нять труд женщин. Запрещается использовать труд женщин любого возраста для выполнения работ под землей или под водой (статья 72). Законом также предусматривается, что по рекомендации врача беременная женщина может быть переведена на более легкую работу с сохранением прежнего заработка (статья 74).</w:t>
      </w:r>
    </w:p>
    <w:p w:rsidR="00000000" w:rsidRDefault="00000000">
      <w:pPr>
        <w:pStyle w:val="SingleTxt"/>
      </w:pPr>
      <w:r>
        <w:t>В законе определяются тяжелые и опасные виды работ (статья 85), к в</w:t>
      </w:r>
      <w:r>
        <w:t>ы</w:t>
      </w:r>
      <w:r>
        <w:t>полнению которых нельзя привлекать женщин, а также условия их работы в ночное время (статья 73). Ограничения в этой области устанавливаются совм</w:t>
      </w:r>
      <w:r>
        <w:t>е</w:t>
      </w:r>
      <w:r>
        <w:t>стно министерствами здравоохран</w:t>
      </w:r>
      <w:r>
        <w:t>е</w:t>
      </w:r>
      <w:r>
        <w:t>ния и труда и социального обеспечения.</w:t>
      </w:r>
    </w:p>
    <w:p w:rsidR="00000000" w:rsidRDefault="00000000">
      <w:pPr>
        <w:pStyle w:val="SingleTxt"/>
      </w:pPr>
      <w:r>
        <w:t>По закону работница, в отношении которой совершаются акты полового принуждения или домогательства на работе, может расторгнуть свой договор без предварительного уведомления и потребовать как выплаты выходного п</w:t>
      </w:r>
      <w:r>
        <w:t>о</w:t>
      </w:r>
      <w:r>
        <w:t>собия, так и возмещения общего ущерба. Правовой основой для возбуждения дела в суде в связи с сексуальными домогательствами служат положения Уг</w:t>
      </w:r>
      <w:r>
        <w:t>о</w:t>
      </w:r>
      <w:r>
        <w:t>ловного кодекса.</w:t>
      </w:r>
    </w:p>
    <w:p w:rsidR="00000000" w:rsidRDefault="00000000">
      <w:pPr>
        <w:pStyle w:val="HCh"/>
      </w:pPr>
      <w:r>
        <w:br w:type="page"/>
        <w:t>Роль мужчин и женщин и ее стереотипирование</w:t>
      </w:r>
    </w:p>
    <w:p w:rsidR="00000000" w:rsidRDefault="00000000">
      <w:pPr>
        <w:pStyle w:val="SingleTxt"/>
        <w:rPr>
          <w:i/>
        </w:rPr>
      </w:pPr>
      <w:r>
        <w:rPr>
          <w:b/>
          <w:i/>
        </w:rPr>
        <w:t>Статья 5.</w:t>
      </w:r>
      <w:r>
        <w:rPr>
          <w:i/>
        </w:rPr>
        <w:t xml:space="preserve"> Государства-участники принимают все соответствующие меры с целью:</w:t>
      </w:r>
    </w:p>
    <w:p w:rsidR="00000000" w:rsidRDefault="00000000">
      <w:pPr>
        <w:pStyle w:val="SingleTxt"/>
        <w:tabs>
          <w:tab w:val="clear" w:pos="1267"/>
        </w:tabs>
        <w:ind w:left="2246" w:hanging="505"/>
        <w:rPr>
          <w:i/>
        </w:rPr>
      </w:pPr>
      <w:r>
        <w:rPr>
          <w:i/>
        </w:rPr>
        <w:t>а)</w:t>
      </w:r>
      <w:r>
        <w:rPr>
          <w:i/>
        </w:rPr>
        <w:tab/>
        <w:t>изменить социальные и культурные модели поведения мужчин и женщин с целью достижения искоренения предрассудков и упраз</w:t>
      </w:r>
      <w:r>
        <w:rPr>
          <w:i/>
        </w:rPr>
        <w:t>д</w:t>
      </w:r>
      <w:r>
        <w:rPr>
          <w:i/>
        </w:rPr>
        <w:t>нения обычаев и всей прочей практики, которые основаны на идее неполноценности или превосходства одного из полов или стере</w:t>
      </w:r>
      <w:r>
        <w:rPr>
          <w:i/>
        </w:rPr>
        <w:t>о</w:t>
      </w:r>
      <w:r>
        <w:rPr>
          <w:i/>
        </w:rPr>
        <w:t>типности роли мужчин и женщин.</w:t>
      </w:r>
    </w:p>
    <w:p w:rsidR="00000000" w:rsidRDefault="00000000">
      <w:pPr>
        <w:pStyle w:val="SingleTxt"/>
      </w:pPr>
      <w:r>
        <w:t>В целях искоренения предрассудков и практики, являющихся причиной негативного стереотипирования роли мужчин и женщин, в Турции предприн</w:t>
      </w:r>
      <w:r>
        <w:t>и</w:t>
      </w:r>
      <w:r>
        <w:t>маются усилия по обеспечению учета гендерного аспекта во всех стратегиях, планах и программах. ГУЖ стремится разрабатывать и осуществлять свои пр</w:t>
      </w:r>
      <w:r>
        <w:t>о</w:t>
      </w:r>
      <w:r>
        <w:t>граммы и мероприятия в сотрудничестве и координации с другими государс</w:t>
      </w:r>
      <w:r>
        <w:t>т</w:t>
      </w:r>
      <w:r>
        <w:t>венными учреждениями и ведомствами, неправительственными организаци</w:t>
      </w:r>
      <w:r>
        <w:t>я</w:t>
      </w:r>
      <w:r>
        <w:t>ми, университетскими научно-исследовательскими центрами и программами по изучению гендерной проблематики, а также другими соответствующими о</w:t>
      </w:r>
      <w:r>
        <w:t>р</w:t>
      </w:r>
      <w:r>
        <w:t>ганизациями.</w:t>
      </w:r>
    </w:p>
    <w:p w:rsidR="00000000" w:rsidRDefault="00000000">
      <w:pPr>
        <w:pStyle w:val="SingleTxt"/>
      </w:pPr>
      <w:r>
        <w:t>ГУЖ создало во всех соответствующих министерствах коммуникацио</w:t>
      </w:r>
      <w:r>
        <w:t>н</w:t>
      </w:r>
      <w:r>
        <w:t>ные сети, цель которых – способствовать и поощрять учет гендерного аспекта в осуществляемых стратегиях и программах во всем государственном секторе. Важным достижением в этом отношении явилось открытие координационных центров по положению женщин при губернаторских канцеляриях в ряде пр</w:t>
      </w:r>
      <w:r>
        <w:t>о</w:t>
      </w:r>
      <w:r>
        <w:t>винций. Хотя за период с 1998 года было сформировано лишь 14 таких коорд</w:t>
      </w:r>
      <w:r>
        <w:t>и</w:t>
      </w:r>
      <w:r>
        <w:t>национных центров и хотя они, как правило, ощущают нехватку персонала и финансирования, с их помощью удалось децентрализовать стратегии и пр</w:t>
      </w:r>
      <w:r>
        <w:t>о</w:t>
      </w:r>
      <w:r>
        <w:t>граммы обеспечения гендерного равенства, реализуемые национальными структурами, а также организовать распространение информации по гендерной проблематике на периферии, что способствует искоренению негативных ст</w:t>
      </w:r>
      <w:r>
        <w:t>е</w:t>
      </w:r>
      <w:r>
        <w:t>реотипов в отношении женщин в тех провинциях, где все еще сильны старые традиции.</w:t>
      </w:r>
    </w:p>
    <w:p w:rsidR="00000000" w:rsidRDefault="00000000">
      <w:pPr>
        <w:pStyle w:val="H1"/>
      </w:pPr>
      <w:r>
        <w:t>Исследовательские и учебные институты по гендерной проблематике</w:t>
      </w:r>
    </w:p>
    <w:p w:rsidR="00000000" w:rsidRDefault="00000000">
      <w:pPr>
        <w:pStyle w:val="SingleTxt"/>
      </w:pPr>
      <w:r>
        <w:t>Важную роль в формировании общественного мнения в отношении прав человека и равноправия женщин играют академические институты, в которых, в частности, функционируют исследовательские программы и центры по ге</w:t>
      </w:r>
      <w:r>
        <w:t>н</w:t>
      </w:r>
      <w:r>
        <w:t>дерной проблематике. В принципе существуют два вида таких университетских программ и центров: i) междисциплинарные основные учебные программы, в рамках которых проводятся научные исследования и по завершении которых присваивается степень магистра по женской проблематике – в настоящее время в университетах страны действуют четыре такие программы; и ii) исследов</w:t>
      </w:r>
      <w:r>
        <w:t>а</w:t>
      </w:r>
      <w:r>
        <w:t>тельские и прикладные центры по женской проблематике, которые в дополн</w:t>
      </w:r>
      <w:r>
        <w:t>е</w:t>
      </w:r>
      <w:r>
        <w:t>ние к учебным программам предлагают программы специальной подготовки – за период с середины 90-х годов число таких центров достигло 14. Создание таких центров при университетах активно поощряется Советом по высшему образованию. Финансовую поддержку в создании ряда программ/центров ок</w:t>
      </w:r>
      <w:r>
        <w:t>а</w:t>
      </w:r>
      <w:r>
        <w:t>зало ГУЖ.</w:t>
      </w:r>
    </w:p>
    <w:p w:rsidR="00000000" w:rsidRDefault="00000000">
      <w:pPr>
        <w:pStyle w:val="SingleTxt"/>
      </w:pPr>
      <w:r>
        <w:t>Эти академические учреждения готовят молодых специалистов по ге</w:t>
      </w:r>
      <w:r>
        <w:t>н</w:t>
      </w:r>
      <w:r>
        <w:t>дерной проблематике, накапливают знания о положении женщин и о взаимоо</w:t>
      </w:r>
      <w:r>
        <w:t>т</w:t>
      </w:r>
      <w:r>
        <w:t>ношениях между мужчинами и женщинами, стимулируют учет гендерного а</w:t>
      </w:r>
      <w:r>
        <w:t>с</w:t>
      </w:r>
      <w:r>
        <w:t>пекта в учебных программах и научных исследованиях, способствуют форм</w:t>
      </w:r>
      <w:r>
        <w:t>и</w:t>
      </w:r>
      <w:r>
        <w:t>рованию политики в этой области, организуют учебные семинары и практик</w:t>
      </w:r>
      <w:r>
        <w:t>у</w:t>
      </w:r>
      <w:r>
        <w:t>мы для государственных служащих и представителей частного сектора, зан</w:t>
      </w:r>
      <w:r>
        <w:t>и</w:t>
      </w:r>
      <w:r>
        <w:t>мающихся женской проблематикой, включая, в частности, сотрудников служб безопасности, юристов и членов неправительственных организаций, а также с помощью информационно-пропагандистской работы повышают степень осо</w:t>
      </w:r>
      <w:r>
        <w:t>з</w:t>
      </w:r>
      <w:r>
        <w:t>нания обществом необходимости обеспечения прав человека женщин и их ра</w:t>
      </w:r>
      <w:r>
        <w:t>в</w:t>
      </w:r>
      <w:r>
        <w:t>ноправия. Некоторые преподаватели этих институтов принимают активное уч</w:t>
      </w:r>
      <w:r>
        <w:t>а</w:t>
      </w:r>
      <w:r>
        <w:t>стие в формировании международной гендерной стратегии, внося, тем самым, свой вклад в решение гендерных проблем на глобальном уровне, а также с</w:t>
      </w:r>
      <w:r>
        <w:t>о</w:t>
      </w:r>
      <w:r>
        <w:t>действуя применению международных норм гендерного равенства на наци</w:t>
      </w:r>
      <w:r>
        <w:t>о</w:t>
      </w:r>
      <w:r>
        <w:t>нальном уровне. Проводя свои исследования, публикуя труды и участвуя в м</w:t>
      </w:r>
      <w:r>
        <w:t>е</w:t>
      </w:r>
      <w:r>
        <w:t>ждународных конференциях, ученые-феминисты вносят свой вклад в увелич</w:t>
      </w:r>
      <w:r>
        <w:t>е</w:t>
      </w:r>
      <w:r>
        <w:t>ние объема как теоретических и методологических знаний, так и конкретной инфо</w:t>
      </w:r>
      <w:r>
        <w:t>р</w:t>
      </w:r>
      <w:r>
        <w:t>мации о положении женщин в Турции.</w:t>
      </w:r>
    </w:p>
    <w:p w:rsidR="00000000" w:rsidRDefault="00000000">
      <w:pPr>
        <w:pStyle w:val="SingleTxt"/>
      </w:pPr>
      <w:r>
        <w:t>Научные и учебные программы и центры по женской проблематике ста</w:t>
      </w:r>
      <w:r>
        <w:t>л</w:t>
      </w:r>
      <w:r>
        <w:t>киваются с финансовыми трудностями. Основными источниками их финанс</w:t>
      </w:r>
      <w:r>
        <w:t>и</w:t>
      </w:r>
      <w:r>
        <w:t>рования являются многосторонние и индивидуальные донорские фонды, выд</w:t>
      </w:r>
      <w:r>
        <w:t>е</w:t>
      </w:r>
      <w:r>
        <w:t>ляющие средства на проекты и другую внеучебную деятельность. ГУЖ, кот</w:t>
      </w:r>
      <w:r>
        <w:t>о</w:t>
      </w:r>
      <w:r>
        <w:t>рое само в значительной степени финансируется из внешних источников, ок</w:t>
      </w:r>
      <w:r>
        <w:t>а</w:t>
      </w:r>
      <w:r>
        <w:t>зывает финансовую поддержку исследовательской и учебной деятельности ук</w:t>
      </w:r>
      <w:r>
        <w:t>а</w:t>
      </w:r>
      <w:r>
        <w:t>занных академических институтов. Важным источником финансирования, к</w:t>
      </w:r>
      <w:r>
        <w:t>о</w:t>
      </w:r>
      <w:r>
        <w:t>торый на протяжении многих лет дает возможность ГУЖ оказывать такую по</w:t>
      </w:r>
      <w:r>
        <w:t>д</w:t>
      </w:r>
      <w:r>
        <w:t>держку, служит техническая помощь со стороны Программы развития Орган</w:t>
      </w:r>
      <w:r>
        <w:t>и</w:t>
      </w:r>
      <w:r>
        <w:t>зации Объ</w:t>
      </w:r>
      <w:r>
        <w:t>е</w:t>
      </w:r>
      <w:r>
        <w:t>диненных Наций (ПРООН).</w:t>
      </w:r>
    </w:p>
    <w:p w:rsidR="00000000" w:rsidRDefault="00000000">
      <w:pPr>
        <w:pStyle w:val="H1"/>
      </w:pPr>
      <w:r>
        <w:t>Дискриминация по признаку пола в средствах массовой информации</w:t>
      </w:r>
    </w:p>
    <w:p w:rsidR="00000000" w:rsidRDefault="00000000">
      <w:pPr>
        <w:pStyle w:val="SingleTxt"/>
      </w:pPr>
      <w:r>
        <w:t>Средства массовой информации продолжают выпускать материалы, ст</w:t>
      </w:r>
      <w:r>
        <w:t>е</w:t>
      </w:r>
      <w:r>
        <w:t>реотипирующие роль мужчин и женщин таким образом, что это дискриминир</w:t>
      </w:r>
      <w:r>
        <w:t>у</w:t>
      </w:r>
      <w:r>
        <w:t>ет женщин. Не акцентируя внимания на особенностях женского тела, средства массовой информации представляют мужчин и женщин в их традиционных "ипостасях": нередко женщина изображается как лишенная женственности мать и домохозяйка, а мужчина – как работник и лицо, наделенное властью и авторитетом.</w:t>
      </w:r>
    </w:p>
    <w:p w:rsidR="00000000" w:rsidRDefault="00000000">
      <w:pPr>
        <w:pStyle w:val="SingleTxt"/>
      </w:pPr>
      <w:r>
        <w:t>Однако по мере роста женского движения с 90-х годов и благодаря де</w:t>
      </w:r>
      <w:r>
        <w:t>я</w:t>
      </w:r>
      <w:r>
        <w:t>тельности национальных структур по улучшению положения женщин и осущ</w:t>
      </w:r>
      <w:r>
        <w:t>е</w:t>
      </w:r>
      <w:r>
        <w:t>ствлению программ изучения женской проблематики дискриминация женщин в средствах массовой информации – с точки зрения как их представленности, так и профессионального участия в работе различных медиа-организаций – стан</w:t>
      </w:r>
      <w:r>
        <w:t>о</w:t>
      </w:r>
      <w:r>
        <w:t>вилась все более очевидной и все чаще подвергалась критике и анализу. Пр</w:t>
      </w:r>
      <w:r>
        <w:t>и</w:t>
      </w:r>
      <w:r>
        <w:t>влечению внимания к этой проблеме способствовало постоянно растущее чи</w:t>
      </w:r>
      <w:r>
        <w:t>с</w:t>
      </w:r>
      <w:r>
        <w:t>ло научных публикаций и дипломных работ, в которых анализировались проя</w:t>
      </w:r>
      <w:r>
        <w:t>в</w:t>
      </w:r>
      <w:r>
        <w:t>ления дискриминации по признаку пола при подготовке новостей, в рекламе и т. п., в печатных и визуальных средствах массовой информации. Свою лепту в этом отношении внес также женский журнал "Манди" ("Понедельник"), изд</w:t>
      </w:r>
      <w:r>
        <w:t>а</w:t>
      </w:r>
      <w:r>
        <w:t>ваемый с 1995 года Фондом по вопросам женщин, культуры и коммуникаций. В отличие от других, менее успешных феминистских изданий, "Манди" с 1995 года удается раз в два месяца выходить в свет, причем это первое и еди</w:t>
      </w:r>
      <w:r>
        <w:t>н</w:t>
      </w:r>
      <w:r>
        <w:t>ственное женское издание, распространяемое по всей террит</w:t>
      </w:r>
      <w:r>
        <w:t>о</w:t>
      </w:r>
      <w:r>
        <w:t>рии страны.</w:t>
      </w:r>
    </w:p>
    <w:p w:rsidR="00000000" w:rsidRDefault="00000000">
      <w:pPr>
        <w:pStyle w:val="SingleTxt"/>
      </w:pPr>
      <w:r>
        <w:t>Сохранение дискриминации в средствах массовой информации обусло</w:t>
      </w:r>
      <w:r>
        <w:t>в</w:t>
      </w:r>
      <w:r>
        <w:t>лено также тем, что женщины значительно недопредставлены в различных се</w:t>
      </w:r>
      <w:r>
        <w:t>к</w:t>
      </w:r>
      <w:r>
        <w:t>торах средств массовой информации. Однако с увеличением числа частных м</w:t>
      </w:r>
      <w:r>
        <w:t>е</w:t>
      </w:r>
      <w:r>
        <w:t>диа-компаний за последнее десятилетие возросло и число женщин, работа</w:t>
      </w:r>
      <w:r>
        <w:t>ю</w:t>
      </w:r>
      <w:r>
        <w:t>щих, например, на телевидении и в киноиндустрии. Несмотря на это, доля женщин на руководящих должностях по-прежнему незначительна. Данные о женщинах, занятых в различных секторах средств массовой информации, я</w:t>
      </w:r>
      <w:r>
        <w:t>в</w:t>
      </w:r>
      <w:r>
        <w:t>ляются скудными, поэтому можно привести лишь отрывочную информацию. Например, по состоянию на июнь 2000 года из 11 322 выданных "желтых" журналистских удостоверений на долю женщин приходилось лишь 1873. В н</w:t>
      </w:r>
      <w:r>
        <w:t>е</w:t>
      </w:r>
      <w:r>
        <w:t>зависимой Турецкой радио- и телевещательной корпорации (ТРТ) на долю женщин приходилось 2030 из 8180 рабочих мест, включая 116 из 214 руководящих должностей. Что касается последних, то женщины предста</w:t>
      </w:r>
      <w:r>
        <w:t>в</w:t>
      </w:r>
      <w:r>
        <w:t>лены преимущественно в среднем звене руководства; на высшем руководящем уровне их доля составляет менее одного процента. Доля программ для женщин на телеканалах ТРТ (по данным за год) составляет 6,9 процента, а на радиок</w:t>
      </w:r>
      <w:r>
        <w:t>а</w:t>
      </w:r>
      <w:r>
        <w:t>налах – 15–17 процентов.</w:t>
      </w:r>
    </w:p>
    <w:p w:rsidR="00000000" w:rsidRDefault="00000000">
      <w:pPr>
        <w:pStyle w:val="H1"/>
      </w:pPr>
      <w:r>
        <w:t>Насилие в отношении женщин</w:t>
      </w:r>
    </w:p>
    <w:p w:rsidR="00000000" w:rsidRDefault="00000000">
      <w:pPr>
        <w:pStyle w:val="SingleTxt"/>
      </w:pPr>
      <w:r>
        <w:t>Насилие в отношении женщин является серьезной проблемой, прямо или косвенно затрагивающей широкие слои общества, и требуются срочные меры для его сдерживания и искоренения. Сохраняющееся насилие в отношении женщин обусловлено действием множества факторов, включая трудности с практическим применением законов и других норм, запрещающих совершение таких актов, отсутствие информации о существовании правовых норм и мех</w:t>
      </w:r>
      <w:r>
        <w:t>а</w:t>
      </w:r>
      <w:r>
        <w:t>низмов, неэффективность мер по устранению глубинных причин данной пр</w:t>
      </w:r>
      <w:r>
        <w:t>о</w:t>
      </w:r>
      <w:r>
        <w:t>блемы и провоцирующая манера освещения актов насилия средствами масс</w:t>
      </w:r>
      <w:r>
        <w:t>о</w:t>
      </w:r>
      <w:r>
        <w:t>вой информации.</w:t>
      </w:r>
    </w:p>
    <w:p w:rsidR="00000000" w:rsidRDefault="00000000">
      <w:pPr>
        <w:pStyle w:val="SingleTxt"/>
      </w:pPr>
      <w:r>
        <w:t>Особо следует отметить следующие структуры и механизмы оказания поддержки и помощи женщинам, ставшим жертвами н</w:t>
      </w:r>
      <w:r>
        <w:t>а</w:t>
      </w:r>
      <w:r>
        <w:t>силия.</w:t>
      </w:r>
    </w:p>
    <w:p w:rsidR="00000000" w:rsidRDefault="00000000">
      <w:pPr>
        <w:pStyle w:val="H23"/>
      </w:pPr>
      <w:r>
        <w:t>1)</w:t>
      </w:r>
      <w:r>
        <w:tab/>
        <w:t>Консультационные центры и приюты</w:t>
      </w:r>
    </w:p>
    <w:p w:rsidR="00000000" w:rsidRDefault="00000000">
      <w:pPr>
        <w:pStyle w:val="SingleTxt"/>
      </w:pPr>
      <w:r>
        <w:t>Внимание общества к проблеме насилия в отношении женщин удалось привлечь благодаря усилиям феминистского движения в Турции. Широкие кампании против насилия и в защиту прав человека женщин сыграли важную роль в повышении уровня осведомленности населения о проблеме насилия в отношении женщин, а также в информировании женщин о действующем зак</w:t>
      </w:r>
      <w:r>
        <w:t>о</w:t>
      </w:r>
      <w:r>
        <w:t>нодательстве и механизмах защиты их прав.</w:t>
      </w:r>
    </w:p>
    <w:p w:rsidR="00000000" w:rsidRDefault="00000000">
      <w:pPr>
        <w:pStyle w:val="SingleTxt"/>
      </w:pPr>
      <w:r>
        <w:t>Во исполнение своего мандата по искоренению насилия в отношении женщин неправительственные организации проводят исследования и собирают данные по этой теме и разрабатывают стратегии решения обусловленных нас</w:t>
      </w:r>
      <w:r>
        <w:t>и</w:t>
      </w:r>
      <w:r>
        <w:t>лием материальных, психологических, социальных, финансовых и юридич</w:t>
      </w:r>
      <w:r>
        <w:t>е</w:t>
      </w:r>
      <w:r>
        <w:t>ских проблем. В частности, они предоставляют консультационные услуги и создают приюты для женщин, подвергшихся побоям. Несмотря на закрытие двух приютов, созданных НПО, по причине финансовых трудностей, число консультационных центров НПО увеличилось с трех в 1995 году до восьми в 2000 году. Наряду с этим управления социальных услуг в 81 провинции, а та</w:t>
      </w:r>
      <w:r>
        <w:t>к</w:t>
      </w:r>
      <w:r>
        <w:t>же ГУЖ предоставляют женщинам консультационные услуги и вырабатывают для них соответс</w:t>
      </w:r>
      <w:r>
        <w:t>т</w:t>
      </w:r>
      <w:r>
        <w:t>вующие рекомендации.</w:t>
      </w:r>
    </w:p>
    <w:p w:rsidR="00000000" w:rsidRDefault="00000000">
      <w:pPr>
        <w:pStyle w:val="SingleTxt"/>
      </w:pPr>
      <w:r>
        <w:t>ГУЖ и Генеральное управление по вопросам социального обслуживания и защиты детей (ГУСД) уполномочены разрабатывать национальную политику и планы для государственных служб и программ в целях искоренения насилия в отношении женщин и детей.</w:t>
      </w:r>
    </w:p>
    <w:p w:rsidR="00000000" w:rsidRDefault="00000000">
      <w:pPr>
        <w:pStyle w:val="SingleTxt"/>
      </w:pPr>
      <w:r>
        <w:t>ГУСД предоставляет услуги женщинам, подвергшимся побоям, и тем, в отношении которых существует угроза совершения насилия, на базе управля</w:t>
      </w:r>
      <w:r>
        <w:t>е</w:t>
      </w:r>
      <w:r>
        <w:t>мых им приютов для женщин. Хотя число таких приютов и ограничено, они служат убежищем для вышеуказанных категорий женщин и их детей, если т</w:t>
      </w:r>
      <w:r>
        <w:t>а</w:t>
      </w:r>
      <w:r>
        <w:t>ковые у них имеются, и в приютах им оказывается терапевтическая помощь, насколько это позволяют скудные бюджетные ресурсы. В ведении ГУСД нах</w:t>
      </w:r>
      <w:r>
        <w:t>о</w:t>
      </w:r>
      <w:r>
        <w:t>дятся восемь из девяти приютов для женщин, ставших жертвами насилия. За период с 1995 по 2002 год через приюты прошло в общей сложности 3139 женщин и 2609 детей, находящихся на их иждивении, и 541 женщина б</w:t>
      </w:r>
      <w:r>
        <w:t>ы</w:t>
      </w:r>
      <w:r>
        <w:t>ла трудоустроена. О</w:t>
      </w:r>
      <w:r>
        <w:t>д</w:t>
      </w:r>
      <w:r>
        <w:t>ним приютом управляет муниципалитет Стамбула.</w:t>
      </w:r>
    </w:p>
    <w:p w:rsidR="00000000" w:rsidRDefault="00000000">
      <w:pPr>
        <w:pStyle w:val="SingleTxt"/>
      </w:pPr>
      <w:r>
        <w:t>Кроме того, услуги женщинам и девочкам, подвергшимся насилию, пр</w:t>
      </w:r>
      <w:r>
        <w:t>е</w:t>
      </w:r>
      <w:r>
        <w:t>доставляют различные общинные центры, семейные консультационные це</w:t>
      </w:r>
      <w:r>
        <w:t>н</w:t>
      </w:r>
      <w:r>
        <w:t>тры, центры по дневному уходу, сиротские приюты, реабилитационные це</w:t>
      </w:r>
      <w:r>
        <w:t>н</w:t>
      </w:r>
      <w:r>
        <w:t>тры, дома для престарелых и т. д.: среди прочего, они оказывают помощь нат</w:t>
      </w:r>
      <w:r>
        <w:t>у</w:t>
      </w:r>
      <w:r>
        <w:t>рой и наличными. Приюты для женщин, ставших жертвами насилия, – сравн</w:t>
      </w:r>
      <w:r>
        <w:t>и</w:t>
      </w:r>
      <w:r>
        <w:t>тельно новое явление для Турции, особенно для государственного сектора. В настоящее время предпринимаются усилия по укреплению и расширению приютов, в том числе для того, чтобы они могли принимать несовершенноле</w:t>
      </w:r>
      <w:r>
        <w:t>т</w:t>
      </w:r>
      <w:r>
        <w:t>них и незамужних матерей. Кроме того, в 21 провинции открыта прямая тел</w:t>
      </w:r>
      <w:r>
        <w:t>е</w:t>
      </w:r>
      <w:r>
        <w:t>фонная линия для консультирования женщин, подвергшихся побоям, и тех, в отношении которых существует угроза насилия, в целях оказания им морал</w:t>
      </w:r>
      <w:r>
        <w:t>ь</w:t>
      </w:r>
      <w:r>
        <w:t>ной, юридической и финансовой по</w:t>
      </w:r>
      <w:r>
        <w:t>д</w:t>
      </w:r>
      <w:r>
        <w:t>держки.</w:t>
      </w:r>
    </w:p>
    <w:p w:rsidR="00000000" w:rsidRDefault="00000000">
      <w:pPr>
        <w:pStyle w:val="SingleTxt"/>
      </w:pPr>
      <w:r>
        <w:t>Подобные службы для оказания помощи девочкам, ставшим жертвами ф</w:t>
      </w:r>
      <w:r>
        <w:t>и</w:t>
      </w:r>
      <w:r>
        <w:t>зического, психологического или сексуального насилия, пока не созданы. Н</w:t>
      </w:r>
      <w:r>
        <w:t>е</w:t>
      </w:r>
      <w:r>
        <w:t>обходимо продолжить работу в этом н</w:t>
      </w:r>
      <w:r>
        <w:t>а</w:t>
      </w:r>
      <w:r>
        <w:t>правлении.</w:t>
      </w:r>
    </w:p>
    <w:p w:rsidR="00000000" w:rsidRDefault="00000000">
      <w:pPr>
        <w:pStyle w:val="H23"/>
      </w:pPr>
      <w:r>
        <w:t>2)</w:t>
      </w:r>
      <w:r>
        <w:tab/>
        <w:t>Просвещение и подготовка</w:t>
      </w:r>
    </w:p>
    <w:p w:rsidR="00000000" w:rsidRDefault="00000000">
      <w:pPr>
        <w:pStyle w:val="SingleTxt"/>
      </w:pPr>
      <w:r>
        <w:t>Другой высокоприоритетной задачей в области борьбы с насилием в о</w:t>
      </w:r>
      <w:r>
        <w:t>т</w:t>
      </w:r>
      <w:r>
        <w:t>ношении женщин является подготовка сотрудников сил безопасности, мед</w:t>
      </w:r>
      <w:r>
        <w:t>и</w:t>
      </w:r>
      <w:r>
        <w:t>цинского персонала и других государственных служащих. Помимо осущест</w:t>
      </w:r>
      <w:r>
        <w:t>в</w:t>
      </w:r>
      <w:r>
        <w:t>ления своих собственных программ ГУЖ сотрудничает с НПО, занимающим</w:t>
      </w:r>
      <w:r>
        <w:t>и</w:t>
      </w:r>
      <w:r>
        <w:t>ся этой проблематикой. В частности, было снято 14 видеороликов и 3 короткометражных фильма о проблеме насилия в отношении женщин и о де</w:t>
      </w:r>
      <w:r>
        <w:t>я</w:t>
      </w:r>
      <w:r>
        <w:t>тельности центров для женщин, подвергшихся п</w:t>
      </w:r>
      <w:r>
        <w:t>о</w:t>
      </w:r>
      <w:r>
        <w:t>боям.</w:t>
      </w:r>
    </w:p>
    <w:p w:rsidR="00000000" w:rsidRDefault="00000000">
      <w:pPr>
        <w:pStyle w:val="SingleTxt"/>
      </w:pPr>
      <w:r>
        <w:t>ГУСД также осуществляет просветительские программы в сотрудничес</w:t>
      </w:r>
      <w:r>
        <w:t>т</w:t>
      </w:r>
      <w:r>
        <w:t>ве с неправительственными организациями. Начиная с 1998 года каждые три месяца раз в неделю проводятся дневные курсы по правам человека женщин, цель которых – повысить уровень осведомленности женщин и девочек о своих правах, воспитать в них чувство собственного достоинства и расширить их возможности по защите своих прав и свобод. Другие образовательные пр</w:t>
      </w:r>
      <w:r>
        <w:t>о</w:t>
      </w:r>
      <w:r>
        <w:t>граммы включают программу просвещения по вопросам защиты материнства и детства (с 1995 года), программу повышения грамотности среди взрослых и программу поддержки отцов семейств (обе начали осуществляться 14 мая 1998 года).</w:t>
      </w:r>
    </w:p>
    <w:p w:rsidR="00000000" w:rsidRDefault="00000000">
      <w:pPr>
        <w:pStyle w:val="SingleTxt"/>
      </w:pPr>
      <w:r>
        <w:t>С 1999 года правительство и НПО предпринимают энергичные усилия по развертыванию общественной дискуссии по проблеме "преступлений чести". В частности, проводятся различные совещания групп экспертов для обсуждения проблемы самых жестоких преступлений, совершаемых под предлогом кул</w:t>
      </w:r>
      <w:r>
        <w:t>ь</w:t>
      </w:r>
      <w:r>
        <w:t>турных традиций, и неэффективности реагирования правовой системы на это явление. 25 ноября 2000 года, в Международный день за прекращение насилия в отношении женщин, было организовано тематическое с</w:t>
      </w:r>
      <w:r>
        <w:t>о</w:t>
      </w:r>
      <w:r>
        <w:t>вещание в Юго-Восточной Анатолии, где преступления чести сохраняют глубокие культурные корни. Отчет о работе совещания был опубликован и распространен среди всех государственных учреждений и ведомств и университетов, а также предоста</w:t>
      </w:r>
      <w:r>
        <w:t>в</w:t>
      </w:r>
      <w:r>
        <w:t>лялся всем желающим по их просьбе. Следует также отметить изменившееся в последнее время отношение к преступлениям чести со стороны средств масс</w:t>
      </w:r>
      <w:r>
        <w:t>о</w:t>
      </w:r>
      <w:r>
        <w:t>вой информации: такие преступления широко освещаются по радио и телев</w:t>
      </w:r>
      <w:r>
        <w:t>и</w:t>
      </w:r>
      <w:r>
        <w:t>дению и сообщения о них помещаются на первых полосах газет.</w:t>
      </w:r>
    </w:p>
    <w:p w:rsidR="00000000" w:rsidRDefault="00000000">
      <w:pPr>
        <w:pStyle w:val="SingleTxt"/>
      </w:pPr>
      <w:r>
        <w:t>С 1998 года женские НПО проводят ежегодный конгресс по теме "Приюты для женщин" с целью повысить уровень осведомленности общественности о</w:t>
      </w:r>
      <w:r>
        <w:t>т</w:t>
      </w:r>
      <w:r>
        <w:t>носительно важной функции приютов как институционального механизма борьбы с насилием в отношении женщин и мобилизовать поддержку в пользу создания приютов и консультационных центров для женщин, ставших жертв</w:t>
      </w:r>
      <w:r>
        <w:t>а</w:t>
      </w:r>
      <w:r>
        <w:t>ми насилия. В работе конгресса принимают также участие государственные о</w:t>
      </w:r>
      <w:r>
        <w:t>р</w:t>
      </w:r>
      <w:r>
        <w:t>ганы.</w:t>
      </w:r>
    </w:p>
    <w:p w:rsidR="00000000" w:rsidRDefault="00000000">
      <w:pPr>
        <w:pStyle w:val="SingleTxt"/>
      </w:pPr>
      <w:r>
        <w:t>Просветительская и консультационную деятельность осуществляют также комиссии по "женскому" законодательству, учрежденные при адвокатских ко</w:t>
      </w:r>
      <w:r>
        <w:t>л</w:t>
      </w:r>
      <w:r>
        <w:t>легиях в 28 провинциях. Для повышения эффективности своей работы указа</w:t>
      </w:r>
      <w:r>
        <w:t>н</w:t>
      </w:r>
      <w:r>
        <w:t>ные комиссии учредили в мае 1999 года Турецкое объединение адвокатских к</w:t>
      </w:r>
      <w:r>
        <w:t>о</w:t>
      </w:r>
      <w:r>
        <w:t>миссий по проблемам женщин. Деятельность комиссий по "женскому" закон</w:t>
      </w:r>
      <w:r>
        <w:t>о</w:t>
      </w:r>
      <w:r>
        <w:t>дательству осуществляется по следующим направлениям: просвещение и ко</w:t>
      </w:r>
      <w:r>
        <w:t>н</w:t>
      </w:r>
      <w:r>
        <w:t>сультирование, определение в законодательных актах и механизмах положений, дискриминирующих женщин, и принятие мер по их упразднению.</w:t>
      </w:r>
    </w:p>
    <w:p w:rsidR="00000000" w:rsidRDefault="00000000">
      <w:pPr>
        <w:pStyle w:val="SingleTxt"/>
      </w:pPr>
      <w:r>
        <w:t>Государства-участники принимают все соответствующие м</w:t>
      </w:r>
      <w:r>
        <w:t>е</w:t>
      </w:r>
      <w:r>
        <w:t>ры с целью:</w:t>
      </w:r>
    </w:p>
    <w:p w:rsidR="00000000" w:rsidRDefault="00000000">
      <w:pPr>
        <w:pStyle w:val="SingleTxt"/>
        <w:tabs>
          <w:tab w:val="clear" w:pos="1267"/>
        </w:tabs>
        <w:ind w:left="2246" w:hanging="505"/>
      </w:pPr>
      <w:r>
        <w:rPr>
          <w:b/>
          <w:i/>
        </w:rPr>
        <w:t>b)</w:t>
      </w:r>
      <w:r>
        <w:t xml:space="preserve"> </w:t>
      </w:r>
      <w:r>
        <w:tab/>
      </w:r>
      <w:r>
        <w:rPr>
          <w:i/>
        </w:rPr>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w:t>
      </w:r>
      <w:r>
        <w:rPr>
          <w:i/>
        </w:rPr>
        <w:t>я</w:t>
      </w:r>
      <w:r>
        <w:rPr>
          <w:i/>
        </w:rPr>
        <w:t>ются преобладающими.</w:t>
      </w:r>
    </w:p>
    <w:p w:rsidR="00000000" w:rsidRDefault="00000000">
      <w:pPr>
        <w:pStyle w:val="SingleTxt"/>
      </w:pPr>
      <w:r>
        <w:t>ГУСД уполномочено оказывать нуждающимся детям и семьям помощь натурой или наличными, а также через центры по дневному уходу, сиротские приюты, приемные семьи и службы по усыновлению, детские и молодежные центры для бездомных детей и медицинские и реабилитационные центры для детей-инвалидов. Так, услугами 84 центров по дневному уходу и 104 сиротских приютов охвачено примерно 18 тыс. детей. Кроме того, 22 детских и юнош</w:t>
      </w:r>
      <w:r>
        <w:t>е</w:t>
      </w:r>
      <w:r>
        <w:t>ских центра оказывают консультационные услуги, услуги по образованию и реабилитации работающим и/или бездомным детям и их семьям. Предприн</w:t>
      </w:r>
      <w:r>
        <w:t>и</w:t>
      </w:r>
      <w:r>
        <w:t>маются также усилия по созданию специального центра для девочек, зан</w:t>
      </w:r>
      <w:r>
        <w:t>и</w:t>
      </w:r>
      <w:r>
        <w:t>мающихся пр</w:t>
      </w:r>
      <w:r>
        <w:t>о</w:t>
      </w:r>
      <w:r>
        <w:t>ституцией.</w:t>
      </w:r>
    </w:p>
    <w:p w:rsidR="00000000" w:rsidRDefault="00000000">
      <w:pPr>
        <w:pStyle w:val="SingleTxt"/>
      </w:pPr>
      <w:r>
        <w:t>В 1998 году другое государственное учреждение, Научно-исследовательский институт по вопросам семьи, приступил к осуществлению проекта под названием "Школа матери и отца", в рамках которого для родит</w:t>
      </w:r>
      <w:r>
        <w:t>е</w:t>
      </w:r>
      <w:r>
        <w:t>лей проводятся семинары, посвященные воспитанию и образованию детей, р</w:t>
      </w:r>
      <w:r>
        <w:t>о</w:t>
      </w:r>
      <w:r>
        <w:t>ли и поведению родителей и повышению уровня информированности по самым разным вопросам, включая ранние браки, браки между родственниками, нег</w:t>
      </w:r>
      <w:r>
        <w:t>а</w:t>
      </w:r>
      <w:r>
        <w:t>тивное отношение к девочкам, употребление наркотиков и психотропных в</w:t>
      </w:r>
      <w:r>
        <w:t>е</w:t>
      </w:r>
      <w:r>
        <w:t>ществ, беременность, бесплодие, дородовой уход, уход за младенцами и дет</w:t>
      </w:r>
      <w:r>
        <w:t>ь</w:t>
      </w:r>
      <w:r>
        <w:t>ми, подростковый возраст, зрелость, старение, развитие личности, половые о</w:t>
      </w:r>
      <w:r>
        <w:t>т</w:t>
      </w:r>
      <w:r>
        <w:t>ношения и последствия развода и семейных конфликтов для детей и т. д. Эти семинары в течение месяца транслировались по государственному телевид</w:t>
      </w:r>
      <w:r>
        <w:t>е</w:t>
      </w:r>
      <w:r>
        <w:t>нию, что позволило охватить широкие слои насел</w:t>
      </w:r>
      <w:r>
        <w:t>е</w:t>
      </w:r>
      <w:r>
        <w:t>ния.</w:t>
      </w:r>
    </w:p>
    <w:p w:rsidR="00000000" w:rsidRDefault="00000000">
      <w:pPr>
        <w:pStyle w:val="HCh"/>
      </w:pPr>
      <w:r>
        <w:br w:type="page"/>
        <w:t>Эксплуатация женщин</w:t>
      </w:r>
    </w:p>
    <w:p w:rsidR="00000000" w:rsidRDefault="00000000">
      <w:pPr>
        <w:pStyle w:val="SingleTxt"/>
        <w:rPr>
          <w:i/>
        </w:rPr>
      </w:pPr>
      <w:r>
        <w:rPr>
          <w:b/>
          <w:i/>
        </w:rPr>
        <w:t>Статья 6.</w:t>
      </w:r>
      <w:r>
        <w:rPr>
          <w:i/>
        </w:rPr>
        <w:t xml:space="preserve"> Государства-участники принимают все соответствующие меры, включая законодательные, для пресечения всех видов торговли женщ</w:t>
      </w:r>
      <w:r>
        <w:rPr>
          <w:i/>
        </w:rPr>
        <w:t>и</w:t>
      </w:r>
      <w:r>
        <w:rPr>
          <w:i/>
        </w:rPr>
        <w:t>нами и эксплуатации проституции же</w:t>
      </w:r>
      <w:r>
        <w:rPr>
          <w:i/>
        </w:rPr>
        <w:t>н</w:t>
      </w:r>
      <w:r>
        <w:rPr>
          <w:i/>
        </w:rPr>
        <w:t>щин.</w:t>
      </w:r>
    </w:p>
    <w:p w:rsidR="00000000" w:rsidRDefault="00000000">
      <w:pPr>
        <w:pStyle w:val="SingleTxt"/>
      </w:pPr>
      <w:r>
        <w:t>Процесс глобальной реструктуризации лишает людей привычных исто</w:t>
      </w:r>
      <w:r>
        <w:t>ч</w:t>
      </w:r>
      <w:r>
        <w:t>ников средств к существованию во всем мире. Как следствие, многие женщ</w:t>
      </w:r>
      <w:r>
        <w:t>и</w:t>
      </w:r>
      <w:r>
        <w:t>ны, для того чтобы заработать на жизнь, начинают заниматься проституцией. Этот доходный трансграничный бизнес контролируется международными пр</w:t>
      </w:r>
      <w:r>
        <w:t>е</w:t>
      </w:r>
      <w:r>
        <w:t>ступными группировками. Все большее число женщин и девочек становятся объектами незаконной торговли во всем мире для целей их сексуальной эк</w:t>
      </w:r>
      <w:r>
        <w:t>с</w:t>
      </w:r>
      <w:r>
        <w:t>плуатации указанными группировками. За последние два десятилетия Турция превратилась в один из центров такого рода проституции и страну транзита "живого товара". Все это создает серьезные проблемы в области обеспечения общественного порядка, соблюдения прав человека-женщин, являющихся предметом торговли, распространения венерических заболеваний, передава</w:t>
      </w:r>
      <w:r>
        <w:t>е</w:t>
      </w:r>
      <w:r>
        <w:t>мых половым путем, и т. д.</w:t>
      </w:r>
    </w:p>
    <w:p w:rsidR="00000000" w:rsidRDefault="00000000">
      <w:pPr>
        <w:pStyle w:val="SingleTxt"/>
      </w:pPr>
      <w:r>
        <w:t>Деятельность, которая первоначально осуществлялась в форме так наз</w:t>
      </w:r>
      <w:r>
        <w:t>ы</w:t>
      </w:r>
      <w:r>
        <w:t>ваемой "челночной торговли", – когда иностранки въезжали в страну в качестве туристов для покупки и продажи товаров – быстро приобрела организованные формы, в том числе форму проституции. Поскольку иностранке, вышедшей з</w:t>
      </w:r>
      <w:r>
        <w:t>а</w:t>
      </w:r>
      <w:r>
        <w:t>муж за турецкого гражданина, легко получить турецкое гражданство, стали з</w:t>
      </w:r>
      <w:r>
        <w:t>а</w:t>
      </w:r>
      <w:r>
        <w:t>ключаться фиктивные браки, что способствовало быстрому распространению деятельности преступных группировок на территории Турции. Однако в конце концов эта ситуация вызвала обеспокоенность у государственных органов, к</w:t>
      </w:r>
      <w:r>
        <w:t>о</w:t>
      </w:r>
      <w:r>
        <w:t>торые выступили с инициативой внесения поправок в законодательство, рег</w:t>
      </w:r>
      <w:r>
        <w:t>у</w:t>
      </w:r>
      <w:r>
        <w:t>лирующее вопросы гражданства (см. раздел доклада, посвященный статье 9).</w:t>
      </w:r>
    </w:p>
    <w:p w:rsidR="00000000" w:rsidRDefault="00000000">
      <w:pPr>
        <w:pStyle w:val="SingleTxt"/>
      </w:pPr>
      <w:r>
        <w:t>Преступные группировки привлекает то, что Турция не имеет ни спец</w:t>
      </w:r>
      <w:r>
        <w:t>и</w:t>
      </w:r>
      <w:r>
        <w:t>альной нормативной базы, ни механизмов борьбы с незаконной торговлей людьми. Кроме того, расширению транснациональных форм проституции сп</w:t>
      </w:r>
      <w:r>
        <w:t>о</w:t>
      </w:r>
      <w:r>
        <w:t>собствуют такие факторы, как отсутствие эффективных карательных норм и мер, нехватка официальных публичных домов и общественные табу, дейс</w:t>
      </w:r>
      <w:r>
        <w:t>т</w:t>
      </w:r>
      <w:r>
        <w:t>вующие в сфере половых отношений.</w:t>
      </w:r>
    </w:p>
    <w:p w:rsidR="00000000" w:rsidRDefault="00000000">
      <w:pPr>
        <w:pStyle w:val="SingleTxt"/>
      </w:pPr>
      <w:r>
        <w:t>Незаконная торговля женщинами для целей сексуальной эксплуатации и транснациональной проституции подпадает под действие статей Уголовного кодекса, касающихся проституции, и законодательства, регулирующего статус иностранных граждан. Однако и Уголовный кодекс, и указанное законодател</w:t>
      </w:r>
      <w:r>
        <w:t>ь</w:t>
      </w:r>
      <w:r>
        <w:t>ство ограничены по своему охвату и не могут решить эту проблему всеобъе</w:t>
      </w:r>
      <w:r>
        <w:t>м</w:t>
      </w:r>
      <w:r>
        <w:t>лющим образом.</w:t>
      </w:r>
    </w:p>
    <w:p w:rsidR="00000000" w:rsidRDefault="00000000">
      <w:pPr>
        <w:pStyle w:val="H1"/>
      </w:pPr>
      <w:r>
        <w:t>Статьи Уголовного кодекса, касающиеся проституции</w:t>
      </w:r>
    </w:p>
    <w:p w:rsidR="00000000" w:rsidRDefault="00000000">
      <w:pPr>
        <w:pStyle w:val="SingleTxt"/>
      </w:pPr>
      <w:r>
        <w:t>В Турции проституцией, или оказанием сексуальных услуг на коммерч</w:t>
      </w:r>
      <w:r>
        <w:t>е</w:t>
      </w:r>
      <w:r>
        <w:t>ской основе, можно заниматься на законном основании лишь в том случае, если получена соответствующая лицензия. Все положения Уголовного кодекса, к</w:t>
      </w:r>
      <w:r>
        <w:t>а</w:t>
      </w:r>
      <w:r>
        <w:t>сающиеся предоставления сексуальных услуг и открытия публичных домов, сформулированы таким образом, что под работниками сексуальной индустрии понимаются только женщины. Женщинами, работающими в публичных домах, занимаются также службы системы социального обеспечения. В соответствии с Законом об общественном здравоохранении владельцы публичных домов об</w:t>
      </w:r>
      <w:r>
        <w:t>я</w:t>
      </w:r>
      <w:r>
        <w:t>заны принимать необходимые меры по предотвращению распространения з</w:t>
      </w:r>
      <w:r>
        <w:t>а</w:t>
      </w:r>
      <w:r>
        <w:t>болеваний, передаваемых половым путем. Несмотря на то, что закон разрешает предоставлять сексуальные услуги, акты принуждения, подстрекательства или склонения женщин к занятию проституцией являются противоправными и подпадают под действие статей 420, 435 и 436 Уголовного кодекса Турции.</w:t>
      </w:r>
    </w:p>
    <w:p w:rsidR="00000000" w:rsidRDefault="00000000">
      <w:pPr>
        <w:pStyle w:val="SingleTxt"/>
      </w:pPr>
      <w:r>
        <w:t>Согласно статье 436, любое лицо, изнасиловавшее, предоставившее, до</w:t>
      </w:r>
      <w:r>
        <w:t>с</w:t>
      </w:r>
      <w:r>
        <w:t>тавившее или перевозившее девственницу или женщину в возрасте моложе 21 года по поручению другого лица с целью склонения ее к занятию простит</w:t>
      </w:r>
      <w:r>
        <w:t>у</w:t>
      </w:r>
      <w:r>
        <w:t>цией, подлежит привлечению к ответственности, даже если соответствующая женщина дала на совершение такого действия свое согласие. Наказанию по</w:t>
      </w:r>
      <w:r>
        <w:t>д</w:t>
      </w:r>
      <w:r>
        <w:t>лежит также лицо, совершившее такие же действия в отношении девственницы или женщины в возрасте старше 21 года с применением силы и насилия или с помощью угрозы или обмана.</w:t>
      </w:r>
    </w:p>
    <w:p w:rsidR="00000000" w:rsidRDefault="00000000">
      <w:pPr>
        <w:pStyle w:val="H1"/>
      </w:pPr>
      <w:r>
        <w:t>Законодательство, регулирующее статус иностранных граждан</w:t>
      </w:r>
    </w:p>
    <w:p w:rsidR="00000000" w:rsidRDefault="00000000">
      <w:pPr>
        <w:pStyle w:val="SingleTxt"/>
      </w:pPr>
      <w:r>
        <w:t>В соответствии с Законом № 5682 о турецком паспорте (пункт 6 статьи 8) в Турцию запрещен въезд проституток, лиц, которые зарабатывают себе на жизнь продажей услуг проституток, лиц, торгующих женщинами и любых ко</w:t>
      </w:r>
      <w:r>
        <w:t>н</w:t>
      </w:r>
      <w:r>
        <w:t>трабандистов.</w:t>
      </w:r>
    </w:p>
    <w:p w:rsidR="00000000" w:rsidRDefault="00000000">
      <w:pPr>
        <w:pStyle w:val="SingleTxt"/>
      </w:pPr>
      <w:r>
        <w:t>Закон № 5683 о въезде и пребывании иностранных граждан на территории Турции разрешает министерству иностранных дел депортировать иностранцев, которые представляют угрозу общественной безопасности и которые действ</w:t>
      </w:r>
      <w:r>
        <w:t>у</w:t>
      </w:r>
      <w:r>
        <w:t>ют в нарушение политических ограничений и административных норм. Статья 7 этого закона гласит, что иностранным гражданам, поведение которых прот</w:t>
      </w:r>
      <w:r>
        <w:t>и</w:t>
      </w:r>
      <w:r>
        <w:t>воречит общественным традициям и законам страны, запрещается пребывать на территории Турции.</w:t>
      </w:r>
    </w:p>
    <w:p w:rsidR="00000000" w:rsidRDefault="00000000">
      <w:pPr>
        <w:pStyle w:val="SingleTxt"/>
      </w:pPr>
      <w:r>
        <w:t>Таким образом, при задержании иностранный гражданин, занимающийся проституцией, подлежит медицинскому осмотру на предмет установления того, заражен ли он каким-либо заболеванием, передаваемым половым путем, и п</w:t>
      </w:r>
      <w:r>
        <w:t>о</w:t>
      </w:r>
      <w:r>
        <w:t>следующей депортации, как это предписано законом. Иностранки, получившие турецкое гражданство на основании заключения брака с турецким граждан</w:t>
      </w:r>
      <w:r>
        <w:t>и</w:t>
      </w:r>
      <w:r>
        <w:t>ном, не могут быть депортированы. В настоящее время на рассмотрении па</w:t>
      </w:r>
      <w:r>
        <w:t>р</w:t>
      </w:r>
      <w:r>
        <w:t>ламента находится законопроект, в котором для иностранных граждан, вст</w:t>
      </w:r>
      <w:r>
        <w:t>у</w:t>
      </w:r>
      <w:r>
        <w:t>пающих в брак с турецкими гражданами, предлагается установить трехлетний период "ожидания" для получения права на турецкое гражданство (см. раздел докл</w:t>
      </w:r>
      <w:r>
        <w:t>а</w:t>
      </w:r>
      <w:r>
        <w:t>да, посвященный статье 9).</w:t>
      </w:r>
    </w:p>
    <w:p w:rsidR="00000000" w:rsidRDefault="00000000">
      <w:pPr>
        <w:pStyle w:val="H1"/>
      </w:pPr>
      <w:r>
        <w:t>Другие меры</w:t>
      </w:r>
    </w:p>
    <w:p w:rsidR="00000000" w:rsidRDefault="00000000">
      <w:pPr>
        <w:pStyle w:val="SingleTxt"/>
      </w:pPr>
      <w:r>
        <w:t>В 2001 году Генеральное управление безопасности издало инструкцию с указанием преследовать и привлекать к ответственности через государстве</w:t>
      </w:r>
      <w:r>
        <w:t>н</w:t>
      </w:r>
      <w:r>
        <w:t>ные суды по вопросам безопасности не лиц, являющихся жертвами незаконной торговли, а организ</w:t>
      </w:r>
      <w:r>
        <w:t>о</w:t>
      </w:r>
      <w:r>
        <w:t>ванные преступные группы.</w:t>
      </w:r>
    </w:p>
    <w:p w:rsidR="00000000" w:rsidRDefault="00000000">
      <w:pPr>
        <w:pStyle w:val="SingleTxt"/>
      </w:pPr>
      <w:r>
        <w:t>Как было отмечено в разделе доклада, посвященном статье 1, в 2002 году министерство юстиции добилось принятия закона о включении ряда дополн</w:t>
      </w:r>
      <w:r>
        <w:t>и</w:t>
      </w:r>
      <w:r>
        <w:t>тельных статей в Уголовный кодекс Турции и о поправке к одной из статей З</w:t>
      </w:r>
      <w:r>
        <w:t>а</w:t>
      </w:r>
      <w:r>
        <w:t>кона о борьбе с организованной преступностью, с тем чтобы повысить эффе</w:t>
      </w:r>
      <w:r>
        <w:t>к</w:t>
      </w:r>
      <w:r>
        <w:t>тивность осуществления Конвенции Организации Объединенных Наций пр</w:t>
      </w:r>
      <w:r>
        <w:t>о</w:t>
      </w:r>
      <w:r>
        <w:t>тив транснациональной организованной преступности и Протокола о пред</w:t>
      </w:r>
      <w:r>
        <w:t>у</w:t>
      </w:r>
      <w:r>
        <w:t>преждении и пресечении торговли людьми, особенно женщинами и детьми, и наказании за нее. Данный закон, квалифицирующий торговлю людьми, в том числе женщинами и девочками, в качестве уголовно-наказуемого деяния, ча</w:t>
      </w:r>
      <w:r>
        <w:t>с</w:t>
      </w:r>
      <w:r>
        <w:t>тично восполнил пробел в законодательстве, направленном на борьбу с нез</w:t>
      </w:r>
      <w:r>
        <w:t>а</w:t>
      </w:r>
      <w:r>
        <w:t>конной торговлей людьми и транснациональной проституцией.</w:t>
      </w:r>
    </w:p>
    <w:p w:rsidR="00000000" w:rsidRDefault="00000000">
      <w:pPr>
        <w:pStyle w:val="SingleTxt"/>
      </w:pPr>
      <w:r>
        <w:t>Турция как страна транзита и назначения транснациональной торговли людьми, особенно женщинами, твердо убеждена в том, что важнейшую роль в борьбе с преступлениями такого рода играет международное сотрудничество, и поэтому активно участвует во всех соответствующих международных иници</w:t>
      </w:r>
      <w:r>
        <w:t>а</w:t>
      </w:r>
      <w:r>
        <w:t>тивах и оказывает им свою поддержку. Помимо вышеупомянутой Конвенции и Протокола к ней Турция подписала Протокол против незаконного ввоза м</w:t>
      </w:r>
      <w:r>
        <w:t>и</w:t>
      </w:r>
      <w:r>
        <w:t>грантов по суше, морю и воздуху от 13 декабря 2000 года. Конвенция и Прот</w:t>
      </w:r>
      <w:r>
        <w:t>о</w:t>
      </w:r>
      <w:r>
        <w:t>колы к ней являются наиболее всеобъемлющими международными договорами по защите прав человека лиц, ставших жертвами незаконной торговли людьми, договорами, в которых определяются меры по искоренению этого зла.</w:t>
      </w:r>
    </w:p>
    <w:p w:rsidR="00000000" w:rsidRDefault="00000000">
      <w:pPr>
        <w:pStyle w:val="SingleTxt"/>
      </w:pPr>
      <w:r>
        <w:t>Благодаря недавним усилиям по борьбе с незаконной торговлей людьми, в том числе женщинами, удалось добиться заметного снижения масштабов транснациональной проституции и увеличения числа привлеченных к ответс</w:t>
      </w:r>
      <w:r>
        <w:t>т</w:t>
      </w:r>
      <w:r>
        <w:t>венности организованных преступных группировок. Так, за период с 1996 по 2002 год из Турции было депортировано 23 422 иностранца (иностранки), з</w:t>
      </w:r>
      <w:r>
        <w:t>а</w:t>
      </w:r>
      <w:r>
        <w:t>нимавшиеся проституцией, а в 2000 и 2001 годах к ответственности было пр</w:t>
      </w:r>
      <w:r>
        <w:t>и</w:t>
      </w:r>
      <w:r>
        <w:t>влечено соответственно 850 и 1155 организаторов незаконной торговлей люд</w:t>
      </w:r>
      <w:r>
        <w:t>ь</w:t>
      </w:r>
      <w:r>
        <w:t>ми.</w:t>
      </w:r>
    </w:p>
    <w:p w:rsidR="00000000" w:rsidRDefault="00000000">
      <w:pPr>
        <w:pStyle w:val="HCh"/>
      </w:pPr>
      <w:r>
        <w:br w:type="page"/>
        <w:t>Политическая и общественная жизнь</w:t>
      </w:r>
    </w:p>
    <w:p w:rsidR="00000000" w:rsidRDefault="00000000">
      <w:pPr>
        <w:pStyle w:val="SingleTxt"/>
        <w:rPr>
          <w:i/>
        </w:rPr>
      </w:pPr>
      <w:r>
        <w:rPr>
          <w:b/>
          <w:i/>
        </w:rPr>
        <w:t>Статья 7.</w:t>
      </w:r>
      <w:r>
        <w:rPr>
          <w:i/>
        </w:rPr>
        <w:t xml:space="preserve"> 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женщинами на равных условиях с му</w:t>
      </w:r>
      <w:r>
        <w:rPr>
          <w:i/>
        </w:rPr>
        <w:t>ж</w:t>
      </w:r>
      <w:r>
        <w:rPr>
          <w:i/>
        </w:rPr>
        <w:t>чинами право:</w:t>
      </w:r>
    </w:p>
    <w:p w:rsidR="00000000" w:rsidRDefault="00000000">
      <w:pPr>
        <w:pStyle w:val="SingleTxt"/>
        <w:tabs>
          <w:tab w:val="clear" w:pos="1267"/>
        </w:tabs>
        <w:ind w:left="2246" w:hanging="505"/>
        <w:rPr>
          <w:i/>
        </w:rPr>
      </w:pPr>
      <w:r>
        <w:rPr>
          <w:b/>
          <w:i/>
        </w:rPr>
        <w:t>а</w:t>
      </w:r>
      <w:r>
        <w:rPr>
          <w:i/>
        </w:rPr>
        <w:t xml:space="preserve">) </w:t>
      </w:r>
      <w:r>
        <w:rPr>
          <w:i/>
        </w:rPr>
        <w:tab/>
        <w:t>голосовать на всех выборах и публичных референдумах и избираться во все публично избираемые органы;</w:t>
      </w:r>
    </w:p>
    <w:p w:rsidR="00000000" w:rsidRDefault="00000000">
      <w:pPr>
        <w:pStyle w:val="SingleTxt"/>
        <w:tabs>
          <w:tab w:val="clear" w:pos="1267"/>
        </w:tabs>
        <w:ind w:left="2246" w:hanging="505"/>
        <w:rPr>
          <w:i/>
        </w:rPr>
      </w:pPr>
      <w:r>
        <w:rPr>
          <w:b/>
          <w:i/>
        </w:rPr>
        <w:t>b</w:t>
      </w:r>
      <w:r>
        <w:rPr>
          <w:i/>
        </w:rPr>
        <w:t>)</w:t>
      </w:r>
      <w:r>
        <w:rPr>
          <w:i/>
        </w:rPr>
        <w:tab/>
        <w:t xml:space="preserve"> участвовать в формулировании и осуществлении политики прав</w:t>
      </w:r>
      <w:r>
        <w:rPr>
          <w:i/>
        </w:rPr>
        <w:t>и</w:t>
      </w:r>
      <w:r>
        <w:rPr>
          <w:i/>
        </w:rPr>
        <w:t>тельства и занимать государственные посты, а также осущест</w:t>
      </w:r>
      <w:r>
        <w:rPr>
          <w:i/>
        </w:rPr>
        <w:t>в</w:t>
      </w:r>
      <w:r>
        <w:rPr>
          <w:i/>
        </w:rPr>
        <w:t>лять все государственные функции на всех уровнях государственн</w:t>
      </w:r>
      <w:r>
        <w:rPr>
          <w:i/>
        </w:rPr>
        <w:t>о</w:t>
      </w:r>
      <w:r>
        <w:rPr>
          <w:i/>
        </w:rPr>
        <w:t>го управления;</w:t>
      </w:r>
    </w:p>
    <w:p w:rsidR="00000000" w:rsidRDefault="00000000">
      <w:pPr>
        <w:pStyle w:val="SingleTxt"/>
        <w:tabs>
          <w:tab w:val="clear" w:pos="1267"/>
        </w:tabs>
        <w:ind w:left="2246" w:hanging="505"/>
        <w:rPr>
          <w:i/>
        </w:rPr>
      </w:pPr>
      <w:r>
        <w:rPr>
          <w:b/>
          <w:i/>
        </w:rPr>
        <w:t>с</w:t>
      </w:r>
      <w:r>
        <w:rPr>
          <w:i/>
        </w:rPr>
        <w:t xml:space="preserve">) </w:t>
      </w:r>
      <w:r>
        <w:rPr>
          <w:i/>
        </w:rPr>
        <w:tab/>
        <w:t>принимать участие в деятельности неправительственных орган</w:t>
      </w:r>
      <w:r>
        <w:rPr>
          <w:i/>
        </w:rPr>
        <w:t>и</w:t>
      </w:r>
      <w:r>
        <w:rPr>
          <w:i/>
        </w:rPr>
        <w:t>заций и ассоциаций, занимающихся проблемами общественной и п</w:t>
      </w:r>
      <w:r>
        <w:rPr>
          <w:i/>
        </w:rPr>
        <w:t>о</w:t>
      </w:r>
      <w:r>
        <w:rPr>
          <w:i/>
        </w:rPr>
        <w:t>литической жизни страны.</w:t>
      </w:r>
    </w:p>
    <w:p w:rsidR="00000000" w:rsidRDefault="00000000">
      <w:pPr>
        <w:pStyle w:val="SingleTxt"/>
      </w:pPr>
      <w:r>
        <w:t>Несмотря на отсутствие правовых барьеров, препятствующих участию женщин в официальной политической деятельности, позитивные изменения в этой области идут медленными темпами, а достигнутые успехи незначительны. Тем не менее ниже приводится информация, дополняющая ту, которая была представлена в предыд</w:t>
      </w:r>
      <w:r>
        <w:t>у</w:t>
      </w:r>
      <w:r>
        <w:t>щем докладе по разделу, посвященному статье 7.</w:t>
      </w:r>
    </w:p>
    <w:p w:rsidR="00000000" w:rsidRDefault="00000000">
      <w:pPr>
        <w:pStyle w:val="SingleTxt"/>
      </w:pPr>
      <w:r>
        <w:t>Поскольку за последние два десятилетия женскому движению удалось д</w:t>
      </w:r>
      <w:r>
        <w:t>о</w:t>
      </w:r>
      <w:r>
        <w:t>биться большего общественного признания и вынесения на повестку дня пр</w:t>
      </w:r>
      <w:r>
        <w:t>о</w:t>
      </w:r>
      <w:r>
        <w:t>блемы равноправия мужчин и женщин, политические партии стали проявлять больший интерес к усилиям, предпринимаемым в этой области, и шире отр</w:t>
      </w:r>
      <w:r>
        <w:t>а</w:t>
      </w:r>
      <w:r>
        <w:t>жать гендерную проблематику в своих партийных стратегиях и программах и в ходе избирательных кампаний. Считается, что это эффективный метод привл</w:t>
      </w:r>
      <w:r>
        <w:t>е</w:t>
      </w:r>
      <w:r>
        <w:t>чения общественного внимания и мобилизации поддержки, однако инициатива в этой области отнюдь не преследует цель расширить участие женщин в пол</w:t>
      </w:r>
      <w:r>
        <w:t>и</w:t>
      </w:r>
      <w:r>
        <w:t>тической жизни. Так, хотя некоторые партии и установили квоты для женщин в своих руководящих органах, на практике эти квоты минимальны и недостато</w:t>
      </w:r>
      <w:r>
        <w:t>ч</w:t>
      </w:r>
      <w:r>
        <w:t>ны для того, чтобы с их помощью можно было расширить представительство женщин в парламенте. Лишь одна партия, представленная в парламенте, закр</w:t>
      </w:r>
      <w:r>
        <w:t>е</w:t>
      </w:r>
      <w:r>
        <w:t>пила за женщинами 10 процентов своих мест. Другие три партии, "женские квоты" в которых составляют 25–35 процентов, не представлены в парламенте и поэтому их квоты не имеют никакого реального значения. Политические па</w:t>
      </w:r>
      <w:r>
        <w:t>р</w:t>
      </w:r>
      <w:r>
        <w:t>тии не применяют систему квотирования при формировании своих списков кандидатов.</w:t>
      </w:r>
    </w:p>
    <w:p w:rsidR="00000000" w:rsidRDefault="00000000">
      <w:pPr>
        <w:pStyle w:val="SingleTxt"/>
      </w:pPr>
      <w:r>
        <w:t>С 1995 года, после отмены запрета на создание женских фракций в пол</w:t>
      </w:r>
      <w:r>
        <w:t>и</w:t>
      </w:r>
      <w:r>
        <w:t>тических партиях, практика создания таких фракций начала возрождаться. О</w:t>
      </w:r>
      <w:r>
        <w:t>д</w:t>
      </w:r>
      <w:r>
        <w:t>нако женские фракции в политических партиях, как правило, выполняют всп</w:t>
      </w:r>
      <w:r>
        <w:t>о</w:t>
      </w:r>
      <w:r>
        <w:t>могательные функции и не являются самостоятельными политическими орг</w:t>
      </w:r>
      <w:r>
        <w:t>а</w:t>
      </w:r>
      <w:r>
        <w:t>нами, содействующими расширению прав и возможностей женщин и их подг</w:t>
      </w:r>
      <w:r>
        <w:t>о</w:t>
      </w:r>
      <w:r>
        <w:t>товке к активному участию в жизни общества. Кроме того, ввиду высокой ст</w:t>
      </w:r>
      <w:r>
        <w:t>е</w:t>
      </w:r>
      <w:r>
        <w:t>пени централизации и организационной иерархии политические партии, оп</w:t>
      </w:r>
      <w:r>
        <w:t>и</w:t>
      </w:r>
      <w:r>
        <w:t>раясь на законодательство, регулирующее деятельность женских фракций, склонны ограничивать применение демократических принципов управления и доступ женщин к процессу принятия решений. В настоящее время лишь в о</w:t>
      </w:r>
      <w:r>
        <w:t>д</w:t>
      </w:r>
      <w:r>
        <w:t>ной партии руководство женской фракции избирается путем голосования. К тому же женские фракции лишены финансовой самостоятельности, так как не имеют ни своего собственного бю</w:t>
      </w:r>
      <w:r>
        <w:t>д</w:t>
      </w:r>
      <w:r>
        <w:t>жета, ни права распоряжаться средствами.</w:t>
      </w:r>
    </w:p>
    <w:p w:rsidR="00000000" w:rsidRDefault="00000000">
      <w:pPr>
        <w:pStyle w:val="SingleTxt"/>
      </w:pPr>
      <w:r>
        <w:t>На выборах 1999 года в парламент были избраны 23 женщины, вследствие чего доля женщин в законодательном органе выросла с 2,4 до 4 процентов. На последних выборах, состоявшихся 3 ноября 2002 года, в парламент были и</w:t>
      </w:r>
      <w:r>
        <w:t>з</w:t>
      </w:r>
      <w:r>
        <w:t>браны 24 женщины и их доля достигла 4,6 процента. С 1997 года в состав ка</w:t>
      </w:r>
      <w:r>
        <w:t>ж</w:t>
      </w:r>
      <w:r>
        <w:t>дого из правительств входило не более двух женщин. В состав нынешнего пр</w:t>
      </w:r>
      <w:r>
        <w:t>а</w:t>
      </w:r>
      <w:r>
        <w:t>вительства входит лишь одна женщина-министр.</w:t>
      </w:r>
    </w:p>
    <w:p w:rsidR="00000000" w:rsidRDefault="00000000">
      <w:pPr>
        <w:pStyle w:val="SingleTxt"/>
      </w:pPr>
      <w:r>
        <w:t>Представленность женщин в органах местной власти также невелика; о</w:t>
      </w:r>
      <w:r>
        <w:t>д</w:t>
      </w:r>
      <w:r>
        <w:t>нако после выборов 1999 года ситуация несколько улучшилась. Так, число женщин-мэров увеличилось с 15 в 1994 году до 20 в 1999 году, и за тот же п</w:t>
      </w:r>
      <w:r>
        <w:t>е</w:t>
      </w:r>
      <w:r>
        <w:t>риод число женщин, входящих в состав муниципальных собраний, возросло с 338 до 540, а число женщин, входящих в состав провинциальных общих собр</w:t>
      </w:r>
      <w:r>
        <w:t>а</w:t>
      </w:r>
      <w:r>
        <w:t>ний, – с 33 до 44. Однако в масштабах всей страны эти показатели оказываются просто мизерными (6 промилле для мэров и 1,5 процента для всех избранных женщин).</w:t>
      </w:r>
    </w:p>
    <w:p w:rsidR="00000000" w:rsidRDefault="00000000">
      <w:pPr>
        <w:pStyle w:val="SingleTxt"/>
      </w:pPr>
      <w:r>
        <w:t>С годами число женщин – гражданских служащих неуклонно росло, и к настоящему времени их доля составляет 33,1 процента. Согласно опубликова</w:t>
      </w:r>
      <w:r>
        <w:t>н</w:t>
      </w:r>
      <w:r>
        <w:t>ным данным за 1996 год в органах государственного управления на долю же</w:t>
      </w:r>
      <w:r>
        <w:t>н</w:t>
      </w:r>
      <w:r>
        <w:t>щин приходится 27,5 процента руководящих должностей среднего и высокого уровня, что сопоставимо с совокупным показателем их представленности в этих о</w:t>
      </w:r>
      <w:r>
        <w:t>р</w:t>
      </w:r>
      <w:r>
        <w:t>ганах.</w:t>
      </w:r>
    </w:p>
    <w:p w:rsidR="00000000" w:rsidRDefault="00000000">
      <w:pPr>
        <w:pStyle w:val="SingleTxt"/>
      </w:pPr>
      <w:r>
        <w:t>Всеобъемлющие и надежные данные о доле женщин, занятых в частном секторе и участвующих в деятельности организаций гражданского общества, отсутствуют. Однако отрывочная информация, основанная на наблюдениях и узких исследованиях, свидетельствует о том, что ситуация в этих секторах м</w:t>
      </w:r>
      <w:r>
        <w:t>а</w:t>
      </w:r>
      <w:r>
        <w:t>ло чем отличается от ситуации в других секторах. Женские неправительстве</w:t>
      </w:r>
      <w:r>
        <w:t>н</w:t>
      </w:r>
      <w:r>
        <w:t>ные организации традиционно занимаются благотворительной деятельностью и предоставлением различного рода услуг. Вместе с тем с середины 90-х годов начался процесс диверсификации деятельности женских добровольных орган</w:t>
      </w:r>
      <w:r>
        <w:t>и</w:t>
      </w:r>
      <w:r>
        <w:t>заций. Несмотря на свою малочисленность, женские НПО играют заметную роль в области защиты прав человека женщин: они отстаивают интересы же</w:t>
      </w:r>
      <w:r>
        <w:t>н</w:t>
      </w:r>
      <w:r>
        <w:t>щин и оказывают давление на органы власти с целью обеспечить учет генде</w:t>
      </w:r>
      <w:r>
        <w:t>р</w:t>
      </w:r>
      <w:r>
        <w:t>ного аспекта в осуществляемой политике, проведение законодательных реформ и соблюдение международных норм в области гендерного равенства. Все это является неоспоримым свидетельством изменения направлений деятельности неправительственных организаций. Ярким примером может служить кампания, которая была инициирована одной из женских НПО в сотрудничестве с Нау</w:t>
      </w:r>
      <w:r>
        <w:t>ч</w:t>
      </w:r>
      <w:r>
        <w:t>но-исследовательским и учебным центром при Университете Анкары под л</w:t>
      </w:r>
      <w:r>
        <w:t>о</w:t>
      </w:r>
      <w:r>
        <w:t>зунгом "Гендерное равенство: женщина и политика". В рамках этой кампании 2000 год был объявлен годом солидарности с женщинами-политиками, было подготовлено учебное пособие по вопросам участия в политической деятел</w:t>
      </w:r>
      <w:r>
        <w:t>ь</w:t>
      </w:r>
      <w:r>
        <w:t>ности и была организована подготовка 80 инструкторов и 3050 женщин, пре</w:t>
      </w:r>
      <w:r>
        <w:t>д</w:t>
      </w:r>
      <w:r>
        <w:t>ставляющих политические партии и НПО, в области ге</w:t>
      </w:r>
      <w:r>
        <w:t>н</w:t>
      </w:r>
      <w:r>
        <w:t>дерной проблематики.</w:t>
      </w:r>
    </w:p>
    <w:p w:rsidR="00000000" w:rsidRDefault="00000000">
      <w:pPr>
        <w:pStyle w:val="HCh"/>
      </w:pPr>
      <w:r>
        <w:br w:type="page"/>
        <w:t>Представленность женщин на международном уровне и</w:t>
      </w:r>
      <w:r>
        <w:rPr>
          <w:lang w:val="en-US"/>
        </w:rPr>
        <w:t> </w:t>
      </w:r>
      <w:r>
        <w:t>участие в деятельности международных организаций</w:t>
      </w:r>
    </w:p>
    <w:p w:rsidR="00000000" w:rsidRDefault="00000000">
      <w:pPr>
        <w:pStyle w:val="SingleTxt"/>
        <w:rPr>
          <w:i/>
        </w:rPr>
      </w:pPr>
      <w:r>
        <w:rPr>
          <w:b/>
          <w:i/>
        </w:rPr>
        <w:t>Статья 8.</w:t>
      </w:r>
      <w:r>
        <w:rPr>
          <w:i/>
        </w:rPr>
        <w:t xml:space="preserve"> Государства-участники принимают все соответствующие меры, чтобы обеспечить женщинам возможность на равных условиях с му</w:t>
      </w:r>
      <w:r>
        <w:rPr>
          <w:i/>
        </w:rPr>
        <w:t>ж</w:t>
      </w:r>
      <w:r>
        <w:rPr>
          <w:i/>
        </w:rPr>
        <w:t>чинами и без какой-либо дискриминации представлять свои правительства на международном уровне и участвовать в работе междунаро</w:t>
      </w:r>
      <w:r>
        <w:rPr>
          <w:i/>
        </w:rPr>
        <w:t>д</w:t>
      </w:r>
      <w:r>
        <w:rPr>
          <w:i/>
        </w:rPr>
        <w:t>ных организаций.</w:t>
      </w:r>
    </w:p>
    <w:p w:rsidR="00000000" w:rsidRDefault="00000000">
      <w:pPr>
        <w:pStyle w:val="SingleTxt"/>
      </w:pPr>
      <w:r>
        <w:t>Женщины и мужчины имеют равные права представлять Турцию за руб</w:t>
      </w:r>
      <w:r>
        <w:t>е</w:t>
      </w:r>
      <w:r>
        <w:t>жом, однако ситуация в этой области меняется к лучшему достаточно медле</w:t>
      </w:r>
      <w:r>
        <w:t>н</w:t>
      </w:r>
      <w:r>
        <w:t>но. Доля женщин, занимающих высокие должности в загранучреждениях м</w:t>
      </w:r>
      <w:r>
        <w:t>и</w:t>
      </w:r>
      <w:r>
        <w:t>нистерства иностранных дел Турции, остается весьма низкой. В 2002 году должность посла занимали 10 женщин, советниками – 22, генерального конс</w:t>
      </w:r>
      <w:r>
        <w:t>у</w:t>
      </w:r>
      <w:r>
        <w:t>ла – 4, заместителя генерального консула – 1 и вице-консула – 9.</w:t>
      </w:r>
    </w:p>
    <w:p w:rsidR="00000000" w:rsidRDefault="00000000">
      <w:pPr>
        <w:pStyle w:val="SingleTxt"/>
      </w:pPr>
      <w:r>
        <w:t>Вместе с тем представленность турецких женщин в международных орг</w:t>
      </w:r>
      <w:r>
        <w:t>а</w:t>
      </w:r>
      <w:r>
        <w:t>низациях является впечатляющей, особенно на сравнительно высоких должн</w:t>
      </w:r>
      <w:r>
        <w:t>о</w:t>
      </w:r>
      <w:r>
        <w:t>стях: штаб-квартира ВОЗ – Директор-исполнитель по вопросам охраны здор</w:t>
      </w:r>
      <w:r>
        <w:t>о</w:t>
      </w:r>
      <w:r>
        <w:t>вья семьи и репродуктивного здоровья (1995–1998 годы); штаб-квартира ВОЗ – старший сотрудник по вопросам политики (1998–2000 годы); штаб-квартира ВОЗ – Директор-исполнитель по вопросам охраны здоровья семьи и населения (октябрь 2000 года – н/в); МУНИУЖ – Директор уровня Д-2 (1971–1999 годы); ОУПЖ – Директор уровня Д-2 (1999–2001 годы); в настоящее время на долю женщин приходится две из шести должностей уровня Д-1 в Секретариате ООН, занимаемых гражданами Турции, и пять из еще девяти должностей категории специалистов; кроме того, гражданка Турции входила в состав Совета попеч</w:t>
      </w:r>
      <w:r>
        <w:t>и</w:t>
      </w:r>
      <w:r>
        <w:t>телей МУНИУЖ (1995–2001 годы) и занимала должность Председателя в 1996 и 1997 годах; в настоящее время в состав Совета МУНИУЖ также входит гражданка Турции (2001 – н/в); с 1997 года гражданка Турции являлась незав</w:t>
      </w:r>
      <w:r>
        <w:t>и</w:t>
      </w:r>
      <w:r>
        <w:t>симым экспертом Комитета по ликвидации дискриминации в отношении же</w:t>
      </w:r>
      <w:r>
        <w:t>н</w:t>
      </w:r>
      <w:r>
        <w:t>щин, а с 2001 года она исполняет обязанности заместителя Председателя этого Комитета (это вторая гражданка Турции, которая когда-либо входила в состав Комитета). Целый ряд женщин представляют Турцию в различных комитетах и ко</w:t>
      </w:r>
      <w:r>
        <w:t>н</w:t>
      </w:r>
      <w:r>
        <w:t>сультативных советах в системе ООН и в Совете Европы.</w:t>
      </w:r>
    </w:p>
    <w:p w:rsidR="00000000" w:rsidRDefault="00000000">
      <w:pPr>
        <w:pStyle w:val="SingleTxt"/>
      </w:pPr>
      <w:r>
        <w:t>Кроме того, женщины входят в состав турецких делегаций на междун</w:t>
      </w:r>
      <w:r>
        <w:t>а</w:t>
      </w:r>
      <w:r>
        <w:t>родных и региональных совещаниях. Турция приняла участие в специальной сессии Генеральной Ассамблеи "Пекин + 5" и в связанных с ней региональных совещаниях, при этом ее женская делегация высокого уровня включала пре</w:t>
      </w:r>
      <w:r>
        <w:t>д</w:t>
      </w:r>
      <w:r>
        <w:t>ставителей как государства, так и гражданского общества. Кроме того, следует отметить, что представительные национальные делегации, в состав которых входят женщины из организаций гражданского общества, участвуют в работе очередных заседаний Комиссии ООН по положению женщин и Руководящего комитета Совета Европы по вопросам равенства мужчин и женщин.</w:t>
      </w:r>
    </w:p>
    <w:p w:rsidR="00000000" w:rsidRDefault="00000000">
      <w:pPr>
        <w:pStyle w:val="HCh"/>
      </w:pPr>
      <w:r>
        <w:br w:type="page"/>
        <w:t>Гражданство</w:t>
      </w:r>
    </w:p>
    <w:p w:rsidR="00000000" w:rsidRDefault="00000000">
      <w:pPr>
        <w:pStyle w:val="SingleTxt"/>
      </w:pPr>
      <w:r>
        <w:rPr>
          <w:b/>
          <w:i/>
        </w:rPr>
        <w:t>Статья 9.1.</w:t>
      </w:r>
      <w:r>
        <w:rPr>
          <w:i/>
        </w:rPr>
        <w:t xml:space="preserve"> 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w:t>
      </w:r>
      <w:r>
        <w:rPr>
          <w:i/>
        </w:rPr>
        <w:t>ж</w:t>
      </w:r>
      <w:r>
        <w:rPr>
          <w:i/>
        </w:rPr>
        <w:t>данство мужа.</w:t>
      </w:r>
    </w:p>
    <w:p w:rsidR="00000000" w:rsidRDefault="00000000">
      <w:pPr>
        <w:pStyle w:val="SingleTxt"/>
      </w:pPr>
      <w:r>
        <w:t>В Законе о турецком гражданстве устанавливаются процедуры получения, изменения и лишения гражданства для женщин и мужчин. Как было отмечено в объединенных втором и третьем докладах Турции, в Законе о гражданстве с</w:t>
      </w:r>
      <w:r>
        <w:t>о</w:t>
      </w:r>
      <w:r>
        <w:t>держится ряд положений, в которых предусматривается дифференцированный режим для женщин и мужчин, состоящих в браке с иностранцем/иностранкой, и дифференцированные права для иностранца и иностранки на получение т</w:t>
      </w:r>
      <w:r>
        <w:t>у</w:t>
      </w:r>
      <w:r>
        <w:t>рецкого гражданства (статьи 5, 19 и 42). После снятия оговорок к статьям 15 и 16 КЛДЖ и исключения выражения "глава семьи" из Гражданского кодекса возникла настоятельная необходимость во внесении поправок в Закон о гра</w:t>
      </w:r>
      <w:r>
        <w:t>ж</w:t>
      </w:r>
      <w:r>
        <w:t>данстве. Новый законопроект, ликвидирующий существующее неравенство, в настоящее время находится на рассмотрении парл</w:t>
      </w:r>
      <w:r>
        <w:t>а</w:t>
      </w:r>
      <w:r>
        <w:t>мента.</w:t>
      </w:r>
    </w:p>
    <w:p w:rsidR="00000000" w:rsidRDefault="00000000">
      <w:pPr>
        <w:pStyle w:val="SingleTxt"/>
      </w:pPr>
      <w:r>
        <w:t>Согласно указанному законопроекту, иностранец/иностранка, состо</w:t>
      </w:r>
      <w:r>
        <w:t>я</w:t>
      </w:r>
      <w:r>
        <w:t>щий/состоящая в браке с гражданкой/гражданином Турции не менее трех лет, имеет право подать заявление о предоставлении гражданства, которое удовл</w:t>
      </w:r>
      <w:r>
        <w:t>е</w:t>
      </w:r>
      <w:r>
        <w:t>творяется с одобрения министерства внутренних дел. В законопроекте также говорится, что гражданс</w:t>
      </w:r>
      <w:r>
        <w:t>т</w:t>
      </w:r>
      <w:r>
        <w:t>во предоставляется супругу-иностранцу/супруге-иностранке, который/которая является лицом без гражданства или кот</w:t>
      </w:r>
      <w:r>
        <w:t>о</w:t>
      </w:r>
      <w:r>
        <w:t>рый/которая утрачивает свое гражданство в результате вступления в такой брак.</w:t>
      </w:r>
    </w:p>
    <w:p w:rsidR="00000000" w:rsidRDefault="00000000">
      <w:pPr>
        <w:pStyle w:val="SingleTxt"/>
        <w:rPr>
          <w:i/>
        </w:rPr>
      </w:pPr>
      <w:r>
        <w:rPr>
          <w:b/>
          <w:i/>
        </w:rPr>
        <w:t>Статья 9.2.</w:t>
      </w:r>
      <w:r>
        <w:rPr>
          <w:i/>
        </w:rPr>
        <w:t xml:space="preserve"> Государства-участники предоставляют женщинам равные с мужчинами права в отношении гражданства их детей.</w:t>
      </w:r>
    </w:p>
    <w:p w:rsidR="00000000" w:rsidRDefault="00000000">
      <w:pPr>
        <w:pStyle w:val="SingleTxt"/>
      </w:pPr>
      <w:r>
        <w:t>Соответствующая информация приводится в объединенных втором и третьем докл</w:t>
      </w:r>
      <w:r>
        <w:t>а</w:t>
      </w:r>
      <w:r>
        <w:t>дах Турции.</w:t>
      </w:r>
    </w:p>
    <w:p w:rsidR="00000000" w:rsidRDefault="00000000">
      <w:pPr>
        <w:pStyle w:val="SingleTxt"/>
      </w:pPr>
      <w:r>
        <w:t>В период после представления предыдущих докладов, а именно в 2001 году, в статью 66 Конституции, которая гласила следующее: "Ребенок, отец и мать которого являются гражданами Турции, также является граждан</w:t>
      </w:r>
      <w:r>
        <w:t>и</w:t>
      </w:r>
      <w:r>
        <w:t>ном Турции. Гражданство ребенка, отец которого является иностранцем, а мать – гражданской Турции, определяется законом", была внесена поправка. Сущ</w:t>
      </w:r>
      <w:r>
        <w:t>е</w:t>
      </w:r>
      <w:r>
        <w:t>ствовавшее неравенство было ликвидировано посредством исключения из те</w:t>
      </w:r>
      <w:r>
        <w:t>к</w:t>
      </w:r>
      <w:r>
        <w:t>ста статьи второй фразы. Поправка вступила в силу 17 октября 2001 года.</w:t>
      </w:r>
    </w:p>
    <w:p w:rsidR="00000000" w:rsidRDefault="00000000">
      <w:pPr>
        <w:pStyle w:val="HCh"/>
      </w:pPr>
      <w:r>
        <w:br w:type="page"/>
        <w:t>Образование</w:t>
      </w:r>
    </w:p>
    <w:p w:rsidR="00000000" w:rsidRDefault="00000000">
      <w:pPr>
        <w:pStyle w:val="SingleTxt"/>
        <w:rPr>
          <w:i/>
        </w:rPr>
      </w:pPr>
      <w:r>
        <w:rPr>
          <w:b/>
          <w:i/>
        </w:rPr>
        <w:t>Статья 10.</w:t>
      </w:r>
      <w:r>
        <w:rPr>
          <w:i/>
        </w:rPr>
        <w:t xml:space="preserve"> 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w:t>
      </w:r>
      <w:r>
        <w:rPr>
          <w:i/>
        </w:rPr>
        <w:t>с</w:t>
      </w:r>
      <w:r>
        <w:rPr>
          <w:i/>
        </w:rPr>
        <w:t>нове равенства мужчин и женщин:</w:t>
      </w:r>
    </w:p>
    <w:p w:rsidR="00000000" w:rsidRDefault="00000000">
      <w:pPr>
        <w:pStyle w:val="SingleTxt"/>
        <w:tabs>
          <w:tab w:val="clear" w:pos="1267"/>
        </w:tabs>
        <w:ind w:left="2246" w:hanging="505"/>
        <w:rPr>
          <w:i/>
        </w:rPr>
      </w:pPr>
      <w:r>
        <w:rPr>
          <w:b/>
          <w:i/>
        </w:rPr>
        <w:t>а</w:t>
      </w:r>
      <w:r>
        <w:rPr>
          <w:i/>
        </w:rPr>
        <w:t>)</w:t>
      </w:r>
      <w:r>
        <w:rPr>
          <w:i/>
        </w:rPr>
        <w:tab/>
        <w:t>одинаковые условия для ориентации в выборе профессии или спец</w:t>
      </w:r>
      <w:r>
        <w:rPr>
          <w:i/>
        </w:rPr>
        <w:t>и</w:t>
      </w:r>
      <w:r>
        <w:rPr>
          <w:i/>
        </w:rPr>
        <w:t>альности, для доступа к образованию и получения диплома в уче</w:t>
      </w:r>
      <w:r>
        <w:rPr>
          <w:i/>
        </w:rPr>
        <w:t>б</w:t>
      </w:r>
      <w:r>
        <w:rPr>
          <w:i/>
        </w:rPr>
        <w:t>ных заведениях всех категорий как в сельских, так и в городских районах; это равенство обеспечивается в дошкольном, общем, сп</w:t>
      </w:r>
      <w:r>
        <w:rPr>
          <w:i/>
        </w:rPr>
        <w:t>е</w:t>
      </w:r>
      <w:r>
        <w:rPr>
          <w:i/>
        </w:rPr>
        <w:t>циальном и высшем техническом образовании, а также во всех в</w:t>
      </w:r>
      <w:r>
        <w:rPr>
          <w:i/>
        </w:rPr>
        <w:t>и</w:t>
      </w:r>
      <w:r>
        <w:rPr>
          <w:i/>
        </w:rPr>
        <w:t>дах профессионал</w:t>
      </w:r>
      <w:r>
        <w:rPr>
          <w:i/>
        </w:rPr>
        <w:t>ь</w:t>
      </w:r>
      <w:r>
        <w:rPr>
          <w:i/>
        </w:rPr>
        <w:t>ной подготовки.</w:t>
      </w:r>
    </w:p>
    <w:p w:rsidR="00000000" w:rsidRDefault="00000000">
      <w:pPr>
        <w:pStyle w:val="SingleTxt"/>
      </w:pPr>
      <w:r>
        <w:t>Светское образование являлось главным, центральным элементом проце</w:t>
      </w:r>
      <w:r>
        <w:t>с</w:t>
      </w:r>
      <w:r>
        <w:t>са формирования нации в Турции. Как следствие, равные возможности в обла</w:t>
      </w:r>
      <w:r>
        <w:t>с</w:t>
      </w:r>
      <w:r>
        <w:t>ти образования в целом и в области образования женщин в частности закре</w:t>
      </w:r>
      <w:r>
        <w:t>п</w:t>
      </w:r>
      <w:r>
        <w:t>лены законом в виде юридических прав. Это отражено в разделе Закона о н</w:t>
      </w:r>
      <w:r>
        <w:t>а</w:t>
      </w:r>
      <w:r>
        <w:t>циональном базовом образовании, посвященном равным возможностям: в нем говорится, что возможности для получения образования одинаковы для всех женщин и мужчин и что учебные заведения открыты для каждого, независимо от языка, вероисповедания, расы и пола. Таким образом, какие бы то ни было правовые препятствия на пути реализации женщинами и девочками своего права на образование отсутствуют. Вместе с тем, несмотря на значительный прогресс, достигнутый с годами в области образования женщин, по ряду пок</w:t>
      </w:r>
      <w:r>
        <w:t>а</w:t>
      </w:r>
      <w:r>
        <w:t>зателей женщины и девочки отстают от мужчин и мальчиков на всех ступенях образования. Так, уровни грамотности женщин и мужчин существенно варь</w:t>
      </w:r>
      <w:r>
        <w:t>и</w:t>
      </w:r>
      <w:r>
        <w:t>руются в зависимости от того, проживают ли они в сельских или городских районах, по регионам и по возрастным группам. По данным за 2001 год доля неграмотных среди женщин в возрасте старше 15 лет составляет 21,6 процента, а среди мужчин той же возрастной группы – 5,6 процента (та</w:t>
      </w:r>
      <w:r>
        <w:t>б</w:t>
      </w:r>
      <w:r>
        <w:t>лица 1).</w:t>
      </w:r>
    </w:p>
    <w:p w:rsidR="00000000" w:rsidRDefault="00000000">
      <w:pPr>
        <w:pStyle w:val="SingleTxt"/>
        <w:keepNext/>
        <w:ind w:firstLine="0"/>
        <w:jc w:val="left"/>
        <w:rPr>
          <w:b/>
        </w:rPr>
      </w:pPr>
      <w:r>
        <w:rPr>
          <w:b/>
        </w:rPr>
        <w:t xml:space="preserve">Таблица 1. Уровень образования граждан в возрасте </w:t>
      </w:r>
      <w:r>
        <w:rPr>
          <w:b/>
        </w:rPr>
        <w:br/>
        <w:t>15 лет и старше, 2001 год (тыс. чел)</w:t>
      </w:r>
    </w:p>
    <w:tbl>
      <w:tblPr>
        <w:tblW w:w="0" w:type="auto"/>
        <w:tblInd w:w="1136" w:type="dxa"/>
        <w:tblLayout w:type="fixed"/>
        <w:tblCellMar>
          <w:left w:w="56" w:type="dxa"/>
          <w:right w:w="56" w:type="dxa"/>
        </w:tblCellMar>
        <w:tblLook w:val="0000" w:firstRow="0" w:lastRow="0" w:firstColumn="0" w:lastColumn="0" w:noHBand="0" w:noVBand="0"/>
      </w:tblPr>
      <w:tblGrid>
        <w:gridCol w:w="3686"/>
        <w:gridCol w:w="956"/>
        <w:gridCol w:w="957"/>
        <w:gridCol w:w="957"/>
        <w:gridCol w:w="957"/>
      </w:tblGrid>
      <w:tr w:rsidR="00000000">
        <w:tblPrEx>
          <w:tblCellMar>
            <w:top w:w="0" w:type="dxa"/>
            <w:bottom w:w="0" w:type="dxa"/>
          </w:tblCellMar>
        </w:tblPrEx>
        <w:trPr>
          <w:tblHeader/>
        </w:trPr>
        <w:tc>
          <w:tcPr>
            <w:tcW w:w="3686" w:type="dxa"/>
            <w:tcBorders>
              <w:top w:val="single" w:sz="4" w:space="0" w:color="auto"/>
              <w:bottom w:val="single" w:sz="12" w:space="0" w:color="auto"/>
            </w:tcBorders>
          </w:tcPr>
          <w:p w:rsidR="00000000" w:rsidRDefault="00000000">
            <w:pPr>
              <w:pStyle w:val="table"/>
              <w:spacing w:before="20" w:after="20"/>
            </w:pPr>
          </w:p>
        </w:tc>
        <w:tc>
          <w:tcPr>
            <w:tcW w:w="956" w:type="dxa"/>
            <w:tcBorders>
              <w:top w:val="single" w:sz="4" w:space="0" w:color="auto"/>
              <w:bottom w:val="single" w:sz="12" w:space="0" w:color="auto"/>
            </w:tcBorders>
          </w:tcPr>
          <w:p w:rsidR="00000000" w:rsidRDefault="00000000">
            <w:pPr>
              <w:pStyle w:val="table"/>
              <w:spacing w:before="20" w:after="20"/>
              <w:jc w:val="center"/>
              <w:rPr>
                <w:i/>
              </w:rPr>
            </w:pPr>
            <w:r>
              <w:rPr>
                <w:i/>
              </w:rPr>
              <w:t>Женщ</w:t>
            </w:r>
            <w:r>
              <w:rPr>
                <w:i/>
              </w:rPr>
              <w:t>и</w:t>
            </w:r>
            <w:r>
              <w:rPr>
                <w:i/>
              </w:rPr>
              <w:t>ны</w:t>
            </w:r>
          </w:p>
        </w:tc>
        <w:tc>
          <w:tcPr>
            <w:tcW w:w="957" w:type="dxa"/>
            <w:tcBorders>
              <w:top w:val="single" w:sz="4" w:space="0" w:color="auto"/>
              <w:bottom w:val="single" w:sz="12" w:space="0" w:color="auto"/>
            </w:tcBorders>
          </w:tcPr>
          <w:p w:rsidR="00000000" w:rsidRDefault="00000000">
            <w:pPr>
              <w:pStyle w:val="table"/>
              <w:spacing w:before="20" w:after="20"/>
              <w:jc w:val="center"/>
              <w:rPr>
                <w:i/>
              </w:rPr>
            </w:pPr>
            <w:r>
              <w:rPr>
                <w:i/>
              </w:rPr>
              <w:t>%</w:t>
            </w:r>
          </w:p>
        </w:tc>
        <w:tc>
          <w:tcPr>
            <w:tcW w:w="957" w:type="dxa"/>
            <w:tcBorders>
              <w:top w:val="single" w:sz="4" w:space="0" w:color="auto"/>
              <w:bottom w:val="single" w:sz="12" w:space="0" w:color="auto"/>
            </w:tcBorders>
          </w:tcPr>
          <w:p w:rsidR="00000000" w:rsidRDefault="00000000">
            <w:pPr>
              <w:pStyle w:val="table"/>
              <w:spacing w:before="20" w:after="20"/>
              <w:jc w:val="center"/>
              <w:rPr>
                <w:i/>
              </w:rPr>
            </w:pPr>
            <w:r>
              <w:rPr>
                <w:i/>
              </w:rPr>
              <w:t>Мужч</w:t>
            </w:r>
            <w:r>
              <w:rPr>
                <w:i/>
              </w:rPr>
              <w:t>и</w:t>
            </w:r>
            <w:r>
              <w:rPr>
                <w:i/>
              </w:rPr>
              <w:t>ны</w:t>
            </w:r>
          </w:p>
        </w:tc>
        <w:tc>
          <w:tcPr>
            <w:tcW w:w="957" w:type="dxa"/>
            <w:tcBorders>
              <w:top w:val="single" w:sz="4" w:space="0" w:color="auto"/>
              <w:bottom w:val="single" w:sz="12" w:space="0" w:color="auto"/>
            </w:tcBorders>
          </w:tcPr>
          <w:p w:rsidR="00000000" w:rsidRDefault="00000000">
            <w:pPr>
              <w:pStyle w:val="table"/>
              <w:spacing w:before="20" w:after="20"/>
              <w:jc w:val="center"/>
              <w:rPr>
                <w:i/>
              </w:rPr>
            </w:pPr>
            <w:r>
              <w:rPr>
                <w:i/>
              </w:rPr>
              <w:t>%</w:t>
            </w:r>
          </w:p>
        </w:tc>
      </w:tr>
      <w:tr w:rsidR="00000000">
        <w:tblPrEx>
          <w:tblCellMar>
            <w:top w:w="0" w:type="dxa"/>
            <w:bottom w:w="0" w:type="dxa"/>
          </w:tblCellMar>
        </w:tblPrEx>
        <w:tc>
          <w:tcPr>
            <w:tcW w:w="3686" w:type="dxa"/>
            <w:tcBorders>
              <w:top w:val="single" w:sz="12" w:space="0" w:color="auto"/>
            </w:tcBorders>
          </w:tcPr>
          <w:p w:rsidR="00000000" w:rsidRDefault="00000000">
            <w:pPr>
              <w:pStyle w:val="table"/>
              <w:spacing w:before="20" w:after="20"/>
            </w:pPr>
            <w:r>
              <w:t>Неграмотные</w:t>
            </w:r>
          </w:p>
        </w:tc>
        <w:tc>
          <w:tcPr>
            <w:tcW w:w="956" w:type="dxa"/>
            <w:tcBorders>
              <w:top w:val="single" w:sz="12" w:space="0" w:color="auto"/>
            </w:tcBorders>
            <w:vAlign w:val="bottom"/>
          </w:tcPr>
          <w:p w:rsidR="00000000" w:rsidRDefault="00000000">
            <w:pPr>
              <w:pStyle w:val="table"/>
              <w:tabs>
                <w:tab w:val="decimal" w:pos="567"/>
              </w:tabs>
              <w:spacing w:before="20" w:after="20"/>
            </w:pPr>
            <w:r>
              <w:t>4 983</w:t>
            </w:r>
          </w:p>
        </w:tc>
        <w:tc>
          <w:tcPr>
            <w:tcW w:w="957" w:type="dxa"/>
            <w:tcBorders>
              <w:top w:val="single" w:sz="12" w:space="0" w:color="auto"/>
            </w:tcBorders>
            <w:vAlign w:val="bottom"/>
          </w:tcPr>
          <w:p w:rsidR="00000000" w:rsidRDefault="00000000">
            <w:pPr>
              <w:pStyle w:val="table"/>
              <w:tabs>
                <w:tab w:val="decimal" w:pos="567"/>
              </w:tabs>
              <w:spacing w:before="20" w:after="20"/>
              <w:rPr>
                <w:b/>
              </w:rPr>
            </w:pPr>
            <w:r>
              <w:rPr>
                <w:b/>
              </w:rPr>
              <w:t>21,6</w:t>
            </w:r>
          </w:p>
        </w:tc>
        <w:tc>
          <w:tcPr>
            <w:tcW w:w="957" w:type="dxa"/>
            <w:tcBorders>
              <w:top w:val="single" w:sz="12" w:space="0" w:color="auto"/>
            </w:tcBorders>
            <w:vAlign w:val="bottom"/>
          </w:tcPr>
          <w:p w:rsidR="00000000" w:rsidRDefault="00000000">
            <w:pPr>
              <w:pStyle w:val="table"/>
              <w:tabs>
                <w:tab w:val="decimal" w:pos="567"/>
              </w:tabs>
              <w:spacing w:before="20" w:after="20"/>
            </w:pPr>
            <w:r>
              <w:t>1 275</w:t>
            </w:r>
          </w:p>
        </w:tc>
        <w:tc>
          <w:tcPr>
            <w:tcW w:w="957" w:type="dxa"/>
            <w:tcBorders>
              <w:top w:val="single" w:sz="12" w:space="0" w:color="auto"/>
            </w:tcBorders>
            <w:vAlign w:val="bottom"/>
          </w:tcPr>
          <w:p w:rsidR="00000000" w:rsidRDefault="00000000">
            <w:pPr>
              <w:pStyle w:val="table"/>
              <w:tabs>
                <w:tab w:val="decimal" w:pos="567"/>
              </w:tabs>
              <w:spacing w:before="20" w:after="20"/>
              <w:rPr>
                <w:b/>
              </w:rPr>
            </w:pPr>
            <w:r>
              <w:rPr>
                <w:b/>
              </w:rPr>
              <w:t>5,6</w:t>
            </w:r>
          </w:p>
        </w:tc>
      </w:tr>
      <w:tr w:rsidR="00000000">
        <w:tblPrEx>
          <w:tblCellMar>
            <w:top w:w="0" w:type="dxa"/>
            <w:bottom w:w="0" w:type="dxa"/>
          </w:tblCellMar>
        </w:tblPrEx>
        <w:tc>
          <w:tcPr>
            <w:tcW w:w="3686" w:type="dxa"/>
          </w:tcPr>
          <w:p w:rsidR="00000000" w:rsidRDefault="00000000">
            <w:pPr>
              <w:pStyle w:val="table"/>
              <w:spacing w:before="20" w:after="20"/>
            </w:pPr>
            <w:r>
              <w:t>Грамотные без свидетел</w:t>
            </w:r>
            <w:r>
              <w:t>ь</w:t>
            </w:r>
            <w:r>
              <w:t>ства об образовании</w:t>
            </w:r>
          </w:p>
        </w:tc>
        <w:tc>
          <w:tcPr>
            <w:tcW w:w="956" w:type="dxa"/>
            <w:vAlign w:val="bottom"/>
          </w:tcPr>
          <w:p w:rsidR="00000000" w:rsidRDefault="00000000">
            <w:pPr>
              <w:pStyle w:val="table"/>
              <w:tabs>
                <w:tab w:val="decimal" w:pos="567"/>
              </w:tabs>
              <w:spacing w:before="20" w:after="20"/>
            </w:pPr>
            <w:r>
              <w:t>1 102</w:t>
            </w:r>
          </w:p>
        </w:tc>
        <w:tc>
          <w:tcPr>
            <w:tcW w:w="957" w:type="dxa"/>
            <w:vAlign w:val="bottom"/>
          </w:tcPr>
          <w:p w:rsidR="00000000" w:rsidRDefault="00000000">
            <w:pPr>
              <w:pStyle w:val="table"/>
              <w:tabs>
                <w:tab w:val="decimal" w:pos="567"/>
              </w:tabs>
              <w:spacing w:before="20" w:after="20"/>
              <w:rPr>
                <w:b/>
              </w:rPr>
            </w:pPr>
            <w:r>
              <w:rPr>
                <w:b/>
              </w:rPr>
              <w:t>4,8</w:t>
            </w:r>
          </w:p>
        </w:tc>
        <w:tc>
          <w:tcPr>
            <w:tcW w:w="957" w:type="dxa"/>
            <w:vAlign w:val="bottom"/>
          </w:tcPr>
          <w:p w:rsidR="00000000" w:rsidRDefault="00000000">
            <w:pPr>
              <w:pStyle w:val="table"/>
              <w:tabs>
                <w:tab w:val="decimal" w:pos="567"/>
              </w:tabs>
              <w:spacing w:before="20" w:after="20"/>
            </w:pPr>
            <w:r>
              <w:t>948</w:t>
            </w:r>
          </w:p>
        </w:tc>
        <w:tc>
          <w:tcPr>
            <w:tcW w:w="957" w:type="dxa"/>
            <w:vAlign w:val="bottom"/>
          </w:tcPr>
          <w:p w:rsidR="00000000" w:rsidRDefault="00000000">
            <w:pPr>
              <w:pStyle w:val="table"/>
              <w:tabs>
                <w:tab w:val="decimal" w:pos="567"/>
              </w:tabs>
              <w:spacing w:before="20" w:after="20"/>
              <w:rPr>
                <w:b/>
              </w:rPr>
            </w:pPr>
            <w:r>
              <w:rPr>
                <w:b/>
              </w:rPr>
              <w:t>4,1</w:t>
            </w:r>
          </w:p>
        </w:tc>
      </w:tr>
      <w:tr w:rsidR="00000000">
        <w:tblPrEx>
          <w:tblCellMar>
            <w:top w:w="0" w:type="dxa"/>
            <w:bottom w:w="0" w:type="dxa"/>
          </w:tblCellMar>
        </w:tblPrEx>
        <w:tc>
          <w:tcPr>
            <w:tcW w:w="3686" w:type="dxa"/>
          </w:tcPr>
          <w:p w:rsidR="00000000" w:rsidRDefault="00000000">
            <w:pPr>
              <w:pStyle w:val="table"/>
              <w:spacing w:before="20" w:after="20"/>
            </w:pPr>
            <w:r>
              <w:t>Начальное образование (пятилетний цикл обучения)</w:t>
            </w:r>
          </w:p>
        </w:tc>
        <w:tc>
          <w:tcPr>
            <w:tcW w:w="956" w:type="dxa"/>
            <w:vAlign w:val="bottom"/>
          </w:tcPr>
          <w:p w:rsidR="00000000" w:rsidRDefault="00000000">
            <w:pPr>
              <w:pStyle w:val="table"/>
              <w:tabs>
                <w:tab w:val="decimal" w:pos="567"/>
              </w:tabs>
              <w:spacing w:before="20" w:after="20"/>
            </w:pPr>
            <w:r>
              <w:t>11 093</w:t>
            </w:r>
          </w:p>
        </w:tc>
        <w:tc>
          <w:tcPr>
            <w:tcW w:w="957" w:type="dxa"/>
            <w:vAlign w:val="bottom"/>
          </w:tcPr>
          <w:p w:rsidR="00000000" w:rsidRDefault="00000000">
            <w:pPr>
              <w:pStyle w:val="table"/>
              <w:tabs>
                <w:tab w:val="decimal" w:pos="567"/>
              </w:tabs>
              <w:spacing w:before="20" w:after="20"/>
              <w:rPr>
                <w:b/>
              </w:rPr>
            </w:pPr>
            <w:r>
              <w:rPr>
                <w:b/>
              </w:rPr>
              <w:t>48,0</w:t>
            </w:r>
          </w:p>
        </w:tc>
        <w:tc>
          <w:tcPr>
            <w:tcW w:w="957" w:type="dxa"/>
            <w:vAlign w:val="bottom"/>
          </w:tcPr>
          <w:p w:rsidR="00000000" w:rsidRDefault="00000000">
            <w:pPr>
              <w:pStyle w:val="table"/>
              <w:tabs>
                <w:tab w:val="decimal" w:pos="567"/>
              </w:tabs>
              <w:spacing w:before="20" w:after="20"/>
            </w:pPr>
            <w:r>
              <w:t>10 808</w:t>
            </w:r>
          </w:p>
        </w:tc>
        <w:tc>
          <w:tcPr>
            <w:tcW w:w="957" w:type="dxa"/>
            <w:vAlign w:val="bottom"/>
          </w:tcPr>
          <w:p w:rsidR="00000000" w:rsidRDefault="00000000">
            <w:pPr>
              <w:pStyle w:val="table"/>
              <w:tabs>
                <w:tab w:val="decimal" w:pos="567"/>
              </w:tabs>
              <w:spacing w:before="20" w:after="20"/>
              <w:rPr>
                <w:b/>
              </w:rPr>
            </w:pPr>
            <w:r>
              <w:rPr>
                <w:b/>
              </w:rPr>
              <w:t>47,1</w:t>
            </w:r>
          </w:p>
        </w:tc>
      </w:tr>
      <w:tr w:rsidR="00000000">
        <w:tblPrEx>
          <w:tblCellMar>
            <w:top w:w="0" w:type="dxa"/>
            <w:bottom w:w="0" w:type="dxa"/>
          </w:tblCellMar>
        </w:tblPrEx>
        <w:tc>
          <w:tcPr>
            <w:tcW w:w="3686" w:type="dxa"/>
          </w:tcPr>
          <w:p w:rsidR="00000000" w:rsidRDefault="00000000">
            <w:pPr>
              <w:pStyle w:val="table"/>
              <w:spacing w:before="20" w:after="20"/>
            </w:pPr>
            <w:r>
              <w:t>Начальное образование (восьмилетний цикл обуч</w:t>
            </w:r>
            <w:r>
              <w:t>е</w:t>
            </w:r>
            <w:r>
              <w:t>ния)</w:t>
            </w:r>
          </w:p>
        </w:tc>
        <w:tc>
          <w:tcPr>
            <w:tcW w:w="956" w:type="dxa"/>
            <w:vAlign w:val="bottom"/>
          </w:tcPr>
          <w:p w:rsidR="00000000" w:rsidRDefault="00000000">
            <w:pPr>
              <w:pStyle w:val="table"/>
              <w:tabs>
                <w:tab w:val="decimal" w:pos="567"/>
              </w:tabs>
              <w:spacing w:before="20" w:after="20"/>
            </w:pPr>
            <w:r>
              <w:t>471</w:t>
            </w:r>
          </w:p>
        </w:tc>
        <w:tc>
          <w:tcPr>
            <w:tcW w:w="957" w:type="dxa"/>
            <w:vAlign w:val="bottom"/>
          </w:tcPr>
          <w:p w:rsidR="00000000" w:rsidRDefault="00000000">
            <w:pPr>
              <w:pStyle w:val="table"/>
              <w:tabs>
                <w:tab w:val="decimal" w:pos="567"/>
              </w:tabs>
              <w:spacing w:before="20" w:after="20"/>
              <w:rPr>
                <w:b/>
              </w:rPr>
            </w:pPr>
            <w:r>
              <w:rPr>
                <w:b/>
              </w:rPr>
              <w:t>2,0</w:t>
            </w:r>
          </w:p>
        </w:tc>
        <w:tc>
          <w:tcPr>
            <w:tcW w:w="957" w:type="dxa"/>
            <w:vAlign w:val="bottom"/>
          </w:tcPr>
          <w:p w:rsidR="00000000" w:rsidRDefault="00000000">
            <w:pPr>
              <w:pStyle w:val="table"/>
              <w:tabs>
                <w:tab w:val="decimal" w:pos="567"/>
              </w:tabs>
              <w:spacing w:before="20" w:after="20"/>
            </w:pPr>
            <w:r>
              <w:t>608</w:t>
            </w:r>
          </w:p>
        </w:tc>
        <w:tc>
          <w:tcPr>
            <w:tcW w:w="957" w:type="dxa"/>
            <w:vAlign w:val="bottom"/>
          </w:tcPr>
          <w:p w:rsidR="00000000" w:rsidRDefault="00000000">
            <w:pPr>
              <w:pStyle w:val="table"/>
              <w:tabs>
                <w:tab w:val="decimal" w:pos="567"/>
              </w:tabs>
              <w:spacing w:before="20" w:after="20"/>
              <w:rPr>
                <w:b/>
              </w:rPr>
            </w:pPr>
            <w:r>
              <w:rPr>
                <w:b/>
              </w:rPr>
              <w:t>2,6</w:t>
            </w:r>
          </w:p>
        </w:tc>
      </w:tr>
      <w:tr w:rsidR="00000000">
        <w:tblPrEx>
          <w:tblCellMar>
            <w:top w:w="0" w:type="dxa"/>
            <w:bottom w:w="0" w:type="dxa"/>
          </w:tblCellMar>
        </w:tblPrEx>
        <w:tc>
          <w:tcPr>
            <w:tcW w:w="3686" w:type="dxa"/>
          </w:tcPr>
          <w:p w:rsidR="00000000" w:rsidRDefault="00000000">
            <w:pPr>
              <w:pStyle w:val="table"/>
              <w:spacing w:before="20" w:after="20"/>
            </w:pPr>
            <w:r>
              <w:t>Неполное среднее и приравненное к нему образов</w:t>
            </w:r>
            <w:r>
              <w:t>а</w:t>
            </w:r>
            <w:r>
              <w:t>ние</w:t>
            </w:r>
          </w:p>
        </w:tc>
        <w:tc>
          <w:tcPr>
            <w:tcW w:w="956" w:type="dxa"/>
            <w:vAlign w:val="bottom"/>
          </w:tcPr>
          <w:p w:rsidR="00000000" w:rsidRDefault="00000000">
            <w:pPr>
              <w:pStyle w:val="table"/>
              <w:tabs>
                <w:tab w:val="decimal" w:pos="567"/>
              </w:tabs>
              <w:spacing w:before="20" w:after="20"/>
            </w:pPr>
            <w:r>
              <w:t>1 610</w:t>
            </w:r>
          </w:p>
        </w:tc>
        <w:tc>
          <w:tcPr>
            <w:tcW w:w="957" w:type="dxa"/>
            <w:vAlign w:val="bottom"/>
          </w:tcPr>
          <w:p w:rsidR="00000000" w:rsidRDefault="00000000">
            <w:pPr>
              <w:pStyle w:val="table"/>
              <w:tabs>
                <w:tab w:val="decimal" w:pos="567"/>
              </w:tabs>
              <w:spacing w:before="20" w:after="20"/>
              <w:rPr>
                <w:b/>
              </w:rPr>
            </w:pPr>
            <w:r>
              <w:rPr>
                <w:b/>
              </w:rPr>
              <w:t>7,0</w:t>
            </w:r>
          </w:p>
        </w:tc>
        <w:tc>
          <w:tcPr>
            <w:tcW w:w="957" w:type="dxa"/>
            <w:vAlign w:val="bottom"/>
          </w:tcPr>
          <w:p w:rsidR="00000000" w:rsidRDefault="00000000">
            <w:pPr>
              <w:pStyle w:val="table"/>
              <w:tabs>
                <w:tab w:val="decimal" w:pos="567"/>
              </w:tabs>
              <w:spacing w:before="20" w:after="20"/>
            </w:pPr>
            <w:r>
              <w:t>3 045</w:t>
            </w:r>
          </w:p>
        </w:tc>
        <w:tc>
          <w:tcPr>
            <w:tcW w:w="957" w:type="dxa"/>
            <w:vAlign w:val="bottom"/>
          </w:tcPr>
          <w:p w:rsidR="00000000" w:rsidRDefault="00000000">
            <w:pPr>
              <w:pStyle w:val="table"/>
              <w:tabs>
                <w:tab w:val="decimal" w:pos="567"/>
              </w:tabs>
              <w:spacing w:before="20" w:after="20"/>
              <w:rPr>
                <w:b/>
              </w:rPr>
            </w:pPr>
            <w:r>
              <w:rPr>
                <w:b/>
              </w:rPr>
              <w:t>13,3</w:t>
            </w:r>
          </w:p>
        </w:tc>
      </w:tr>
      <w:tr w:rsidR="00000000">
        <w:tblPrEx>
          <w:tblCellMar>
            <w:top w:w="0" w:type="dxa"/>
            <w:bottom w:w="0" w:type="dxa"/>
          </w:tblCellMar>
        </w:tblPrEx>
        <w:tc>
          <w:tcPr>
            <w:tcW w:w="3686" w:type="dxa"/>
          </w:tcPr>
          <w:p w:rsidR="00000000" w:rsidRDefault="00000000">
            <w:pPr>
              <w:pStyle w:val="table"/>
              <w:spacing w:before="20" w:after="20"/>
            </w:pPr>
            <w:r>
              <w:t>Среднее и приравненное к нему образование</w:t>
            </w:r>
          </w:p>
        </w:tc>
        <w:tc>
          <w:tcPr>
            <w:tcW w:w="956" w:type="dxa"/>
            <w:vAlign w:val="bottom"/>
          </w:tcPr>
          <w:p w:rsidR="00000000" w:rsidRDefault="00000000">
            <w:pPr>
              <w:pStyle w:val="table"/>
              <w:tabs>
                <w:tab w:val="decimal" w:pos="567"/>
              </w:tabs>
              <w:spacing w:before="20" w:after="20"/>
            </w:pPr>
            <w:r>
              <w:t>2 805</w:t>
            </w:r>
          </w:p>
        </w:tc>
        <w:tc>
          <w:tcPr>
            <w:tcW w:w="957" w:type="dxa"/>
            <w:vAlign w:val="bottom"/>
          </w:tcPr>
          <w:p w:rsidR="00000000" w:rsidRDefault="00000000">
            <w:pPr>
              <w:pStyle w:val="table"/>
              <w:tabs>
                <w:tab w:val="decimal" w:pos="567"/>
              </w:tabs>
              <w:spacing w:before="20" w:after="20"/>
              <w:rPr>
                <w:b/>
              </w:rPr>
            </w:pPr>
            <w:r>
              <w:rPr>
                <w:b/>
              </w:rPr>
              <w:t>12,1</w:t>
            </w:r>
          </w:p>
        </w:tc>
        <w:tc>
          <w:tcPr>
            <w:tcW w:w="957" w:type="dxa"/>
            <w:vAlign w:val="bottom"/>
          </w:tcPr>
          <w:p w:rsidR="00000000" w:rsidRDefault="00000000">
            <w:pPr>
              <w:pStyle w:val="table"/>
              <w:tabs>
                <w:tab w:val="decimal" w:pos="567"/>
              </w:tabs>
              <w:spacing w:before="20" w:after="20"/>
            </w:pPr>
            <w:r>
              <w:t>4 605</w:t>
            </w:r>
          </w:p>
        </w:tc>
        <w:tc>
          <w:tcPr>
            <w:tcW w:w="957" w:type="dxa"/>
            <w:vAlign w:val="bottom"/>
          </w:tcPr>
          <w:p w:rsidR="00000000" w:rsidRDefault="00000000">
            <w:pPr>
              <w:pStyle w:val="table"/>
              <w:tabs>
                <w:tab w:val="decimal" w:pos="567"/>
              </w:tabs>
              <w:spacing w:before="20" w:after="20"/>
              <w:rPr>
                <w:b/>
              </w:rPr>
            </w:pPr>
            <w:r>
              <w:rPr>
                <w:b/>
              </w:rPr>
              <w:t>20,1</w:t>
            </w:r>
          </w:p>
        </w:tc>
      </w:tr>
      <w:tr w:rsidR="00000000">
        <w:tblPrEx>
          <w:tblCellMar>
            <w:top w:w="0" w:type="dxa"/>
            <w:bottom w:w="0" w:type="dxa"/>
          </w:tblCellMar>
        </w:tblPrEx>
        <w:tc>
          <w:tcPr>
            <w:tcW w:w="3686" w:type="dxa"/>
          </w:tcPr>
          <w:p w:rsidR="00000000" w:rsidRDefault="00000000">
            <w:pPr>
              <w:pStyle w:val="table"/>
              <w:spacing w:before="20" w:after="20"/>
            </w:pPr>
            <w:r>
              <w:t>Высшее и университетское о</w:t>
            </w:r>
            <w:r>
              <w:t>б</w:t>
            </w:r>
            <w:r>
              <w:t>разование</w:t>
            </w:r>
          </w:p>
        </w:tc>
        <w:tc>
          <w:tcPr>
            <w:tcW w:w="956" w:type="dxa"/>
            <w:vAlign w:val="bottom"/>
          </w:tcPr>
          <w:p w:rsidR="00000000" w:rsidRDefault="00000000">
            <w:pPr>
              <w:pStyle w:val="table"/>
              <w:tabs>
                <w:tab w:val="decimal" w:pos="567"/>
              </w:tabs>
              <w:spacing w:before="20" w:after="20"/>
            </w:pPr>
            <w:r>
              <w:t>1 036</w:t>
            </w:r>
          </w:p>
        </w:tc>
        <w:tc>
          <w:tcPr>
            <w:tcW w:w="957" w:type="dxa"/>
            <w:vAlign w:val="bottom"/>
          </w:tcPr>
          <w:p w:rsidR="00000000" w:rsidRDefault="00000000">
            <w:pPr>
              <w:pStyle w:val="table"/>
              <w:tabs>
                <w:tab w:val="decimal" w:pos="567"/>
              </w:tabs>
              <w:spacing w:before="20" w:after="20"/>
              <w:rPr>
                <w:b/>
              </w:rPr>
            </w:pPr>
            <w:r>
              <w:rPr>
                <w:b/>
              </w:rPr>
              <w:t>4,5</w:t>
            </w:r>
          </w:p>
        </w:tc>
        <w:tc>
          <w:tcPr>
            <w:tcW w:w="957" w:type="dxa"/>
            <w:vAlign w:val="bottom"/>
          </w:tcPr>
          <w:p w:rsidR="00000000" w:rsidRDefault="00000000">
            <w:pPr>
              <w:pStyle w:val="table"/>
              <w:tabs>
                <w:tab w:val="decimal" w:pos="567"/>
              </w:tabs>
              <w:spacing w:before="20" w:after="20"/>
            </w:pPr>
            <w:r>
              <w:t>1 667</w:t>
            </w:r>
          </w:p>
        </w:tc>
        <w:tc>
          <w:tcPr>
            <w:tcW w:w="957" w:type="dxa"/>
            <w:vAlign w:val="bottom"/>
          </w:tcPr>
          <w:p w:rsidR="00000000" w:rsidRDefault="00000000">
            <w:pPr>
              <w:pStyle w:val="table"/>
              <w:tabs>
                <w:tab w:val="decimal" w:pos="567"/>
              </w:tabs>
              <w:spacing w:before="20" w:after="20"/>
              <w:rPr>
                <w:b/>
              </w:rPr>
            </w:pPr>
            <w:r>
              <w:rPr>
                <w:b/>
              </w:rPr>
              <w:t>7,3</w:t>
            </w:r>
          </w:p>
        </w:tc>
      </w:tr>
      <w:tr w:rsidR="00000000">
        <w:tblPrEx>
          <w:tblCellMar>
            <w:top w:w="0" w:type="dxa"/>
            <w:bottom w:w="0" w:type="dxa"/>
          </w:tblCellMar>
        </w:tblPrEx>
        <w:tc>
          <w:tcPr>
            <w:tcW w:w="3686" w:type="dxa"/>
            <w:tcBorders>
              <w:bottom w:val="single" w:sz="12" w:space="0" w:color="auto"/>
            </w:tcBorders>
          </w:tcPr>
          <w:p w:rsidR="00000000" w:rsidRDefault="00000000">
            <w:pPr>
              <w:pStyle w:val="table"/>
              <w:spacing w:before="20" w:after="20"/>
              <w:rPr>
                <w:b/>
              </w:rPr>
            </w:pPr>
            <w:r>
              <w:rPr>
                <w:b/>
              </w:rPr>
              <w:t>ВСЕГО</w:t>
            </w:r>
          </w:p>
        </w:tc>
        <w:tc>
          <w:tcPr>
            <w:tcW w:w="956" w:type="dxa"/>
            <w:tcBorders>
              <w:bottom w:val="single" w:sz="12" w:space="0" w:color="auto"/>
            </w:tcBorders>
            <w:vAlign w:val="bottom"/>
          </w:tcPr>
          <w:p w:rsidR="00000000" w:rsidRDefault="00000000">
            <w:pPr>
              <w:pStyle w:val="table"/>
              <w:tabs>
                <w:tab w:val="decimal" w:pos="567"/>
              </w:tabs>
              <w:spacing w:before="20" w:after="20"/>
            </w:pPr>
            <w:r>
              <w:t>23 100</w:t>
            </w:r>
          </w:p>
        </w:tc>
        <w:tc>
          <w:tcPr>
            <w:tcW w:w="957" w:type="dxa"/>
            <w:tcBorders>
              <w:bottom w:val="single" w:sz="12" w:space="0" w:color="auto"/>
            </w:tcBorders>
            <w:vAlign w:val="bottom"/>
          </w:tcPr>
          <w:p w:rsidR="00000000" w:rsidRDefault="00000000">
            <w:pPr>
              <w:pStyle w:val="table"/>
              <w:tabs>
                <w:tab w:val="decimal" w:pos="567"/>
              </w:tabs>
              <w:spacing w:before="20" w:after="20"/>
              <w:rPr>
                <w:b/>
              </w:rPr>
            </w:pPr>
            <w:r>
              <w:rPr>
                <w:b/>
              </w:rPr>
              <w:t>100,0</w:t>
            </w:r>
          </w:p>
        </w:tc>
        <w:tc>
          <w:tcPr>
            <w:tcW w:w="957" w:type="dxa"/>
            <w:tcBorders>
              <w:bottom w:val="single" w:sz="12" w:space="0" w:color="auto"/>
            </w:tcBorders>
            <w:vAlign w:val="bottom"/>
          </w:tcPr>
          <w:p w:rsidR="00000000" w:rsidRDefault="00000000">
            <w:pPr>
              <w:pStyle w:val="table"/>
              <w:tabs>
                <w:tab w:val="decimal" w:pos="567"/>
              </w:tabs>
              <w:spacing w:before="20" w:after="20"/>
            </w:pPr>
            <w:r>
              <w:t>22 956</w:t>
            </w:r>
          </w:p>
        </w:tc>
        <w:tc>
          <w:tcPr>
            <w:tcW w:w="957" w:type="dxa"/>
            <w:tcBorders>
              <w:bottom w:val="single" w:sz="12" w:space="0" w:color="auto"/>
            </w:tcBorders>
            <w:vAlign w:val="bottom"/>
          </w:tcPr>
          <w:p w:rsidR="00000000" w:rsidRDefault="00000000">
            <w:pPr>
              <w:pStyle w:val="table"/>
              <w:tabs>
                <w:tab w:val="decimal" w:pos="567"/>
              </w:tabs>
              <w:spacing w:before="20" w:after="20"/>
              <w:rPr>
                <w:b/>
              </w:rPr>
            </w:pPr>
            <w:r>
              <w:rPr>
                <w:b/>
              </w:rPr>
              <w:t>100,0</w:t>
            </w:r>
          </w:p>
        </w:tc>
      </w:tr>
    </w:tbl>
    <w:p w:rsidR="00000000" w:rsidRDefault="00000000">
      <w:pPr>
        <w:pStyle w:val="SingleTxt"/>
        <w:ind w:firstLine="0"/>
      </w:pPr>
      <w:r>
        <w:rPr>
          <w:i/>
        </w:rPr>
        <w:t>Источник</w:t>
      </w:r>
      <w:r>
        <w:t>: Статистические данные о рабочей силе домашних хозяйств, 2001 год, ГСИ</w:t>
      </w:r>
    </w:p>
    <w:p w:rsidR="00000000" w:rsidRDefault="00000000">
      <w:pPr>
        <w:pStyle w:val="SingleTxt"/>
      </w:pPr>
      <w:r>
        <w:t>Негативное влияние на уровень образования девочек оказывают сохр</w:t>
      </w:r>
      <w:r>
        <w:t>а</w:t>
      </w:r>
      <w:r>
        <w:t>няющиеся патриархальные ценности и неблагоприятная экономическая ситу</w:t>
      </w:r>
      <w:r>
        <w:t>а</w:t>
      </w:r>
      <w:r>
        <w:t>ция. Недавний экономический кризис и политика структурной перестройки з</w:t>
      </w:r>
      <w:r>
        <w:t>а</w:t>
      </w:r>
      <w:r>
        <w:t>трудняют процесс укрепления потенциала системы образования. Как следс</w:t>
      </w:r>
      <w:r>
        <w:t>т</w:t>
      </w:r>
      <w:r>
        <w:t>вие, доля бюджетных расходов на образование сократилась с 13,2 процента в 1990 году до 7,2 процента в 2000 году. Это сокращение существенно огранич</w:t>
      </w:r>
      <w:r>
        <w:t>и</w:t>
      </w:r>
      <w:r>
        <w:t>ло доступ к образованию, причем в наибольшей степени для женщин и девочек из семей с низкими доходами.</w:t>
      </w:r>
    </w:p>
    <w:p w:rsidR="00000000" w:rsidRDefault="00000000">
      <w:pPr>
        <w:pStyle w:val="H1"/>
      </w:pPr>
      <w:r>
        <w:t>Обязательное базовое образование</w:t>
      </w:r>
    </w:p>
    <w:p w:rsidR="00000000" w:rsidRDefault="00000000">
      <w:pPr>
        <w:pStyle w:val="SingleTxt"/>
      </w:pPr>
      <w:r>
        <w:t>В 1997 году период обучения в системе обязательного базового образов</w:t>
      </w:r>
      <w:r>
        <w:t>а</w:t>
      </w:r>
      <w:r>
        <w:t>ния в Турции увеличен с пяти до восьми лет (Закон № 4306), а именно начал</w:t>
      </w:r>
      <w:r>
        <w:t>ь</w:t>
      </w:r>
      <w:r>
        <w:t>ное и промежуточное образование было объединено в одну ступень. Предпол</w:t>
      </w:r>
      <w:r>
        <w:t>а</w:t>
      </w:r>
      <w:r>
        <w:t>галось, что реформа системы образования окажет позитивное влияние на до</w:t>
      </w:r>
      <w:r>
        <w:t>с</w:t>
      </w:r>
      <w:r>
        <w:t>туп девочек к образованию и перспективы его продолжения на протяжении всей жизни, что способствовало бы общему расширению прав и возможностей девочек и сокращению числа ранних браков. Кроме того, обеспечение плавного перехода к профессионально-техническому образованию для учащихся ста</w:t>
      </w:r>
      <w:r>
        <w:t>р</w:t>
      </w:r>
      <w:r>
        <w:t>ших классов было призвано существенно расширить выбор и возможности как для юношей, так и для девушек.</w:t>
      </w:r>
    </w:p>
    <w:p w:rsidR="00000000" w:rsidRDefault="00000000">
      <w:pPr>
        <w:pStyle w:val="SingleTxt"/>
      </w:pPr>
      <w:r>
        <w:t>Несомненно, в настоящее время слишком рано давать оценку последств</w:t>
      </w:r>
      <w:r>
        <w:t>и</w:t>
      </w:r>
      <w:r>
        <w:t>ям введения восьмилетнего обязательного школьного обучения для уровня о</w:t>
      </w:r>
      <w:r>
        <w:t>б</w:t>
      </w:r>
      <w:r>
        <w:t>разования девочек, однако имеющиеся данные свидетельствуют об увеличении доли девочек среди учащихся. За последние пять лет доля девочек, посеща</w:t>
      </w:r>
      <w:r>
        <w:t>ю</w:t>
      </w:r>
      <w:r>
        <w:t xml:space="preserve">щих начальную школу, возросла на 18 процентов, среднюю школу – на 21 процент, а для мальчиков эти показатели составляют соответственно 10 и 15 процентов. Вместе с тем, несмотря на указанный рост, гендерные различия пока не устранены. Обязательное базовое образование получает почти 99,9 процента мальчиков и лишь 88,5 процента девочек. </w:t>
      </w:r>
    </w:p>
    <w:p w:rsidR="00000000" w:rsidRDefault="00000000">
      <w:pPr>
        <w:pStyle w:val="SingleTxt"/>
      </w:pPr>
      <w:r>
        <w:t>В ходе проведенного в 1999 году Государственным статистическим инст</w:t>
      </w:r>
      <w:r>
        <w:t>и</w:t>
      </w:r>
      <w:r>
        <w:t>тутом исследования по вопросу о работающих детях в Турции было выявлено существенное различие между долей обучающихся мальчиков и девочек в во</w:t>
      </w:r>
      <w:r>
        <w:t>з</w:t>
      </w:r>
      <w:r>
        <w:t>расте от 6 до 17 лет, причем разрыв между ними пропорционально увеличива</w:t>
      </w:r>
      <w:r>
        <w:t>л</w:t>
      </w:r>
      <w:r>
        <w:t>ся в старших возрастных группах и в сельских районах (таблица 2). Кроме т</w:t>
      </w:r>
      <w:r>
        <w:t>о</w:t>
      </w:r>
      <w:r>
        <w:t>го, была установлена прямая связь между долей обучающихся девочек и мал</w:t>
      </w:r>
      <w:r>
        <w:t>ь</w:t>
      </w:r>
      <w:r>
        <w:t>чиков и стоимостью обучения. Если семьи, стоящие на верхних ступенях соц</w:t>
      </w:r>
      <w:r>
        <w:t>и</w:t>
      </w:r>
      <w:r>
        <w:t>ально-экономической лестницы, придают одинаково важное значение образ</w:t>
      </w:r>
      <w:r>
        <w:t>о</w:t>
      </w:r>
      <w:r>
        <w:t>ванию девочек и мальчиков, то в малоимущих семьях дело обстоит иначе: доля мальчиков, посещающих школу, составляет 85,6 процента, а девочек – 76,5 процента. Хотя экономические факторы и затрудняют посещение школы как мальчиками, так и девочками, наибольшие проблемы в этом отношении возникают для девочек, особенно в сельских районах (таблица 3). В ходе и</w:t>
      </w:r>
      <w:r>
        <w:t>с</w:t>
      </w:r>
      <w:r>
        <w:t>следования были также выявлены следующие факторы, обусловливающие ни</w:t>
      </w:r>
      <w:r>
        <w:t>з</w:t>
      </w:r>
      <w:r>
        <w:t>кий показатель посещаемости школ для девочек: устаревшие культурные ст</w:t>
      </w:r>
      <w:r>
        <w:t>е</w:t>
      </w:r>
      <w:r>
        <w:t>реотипы в отношении образования девочек; отсутствие мотивации у девочек, особенно в сельских районах; нехватка должным образом укомплектованных школ; необходимость оказания помощи по д</w:t>
      </w:r>
      <w:r>
        <w:t>о</w:t>
      </w:r>
      <w:r>
        <w:t>му и т. д.</w:t>
      </w:r>
    </w:p>
    <w:p w:rsidR="00000000" w:rsidRDefault="00000000">
      <w:pPr>
        <w:pStyle w:val="SingleTxt"/>
        <w:keepNext/>
        <w:ind w:firstLine="0"/>
        <w:jc w:val="left"/>
        <w:rPr>
          <w:b/>
        </w:rPr>
      </w:pPr>
      <w:r>
        <w:rPr>
          <w:b/>
        </w:rPr>
        <w:t>Таблица 2. Доля учащихся с разбивкой по возрастным группам (в %)</w:t>
      </w:r>
    </w:p>
    <w:tbl>
      <w:tblPr>
        <w:tblW w:w="0" w:type="auto"/>
        <w:tblInd w:w="1278" w:type="dxa"/>
        <w:tblLayout w:type="fixed"/>
        <w:tblLook w:val="0000" w:firstRow="0" w:lastRow="0" w:firstColumn="0" w:lastColumn="0" w:noHBand="0" w:noVBand="0"/>
      </w:tblPr>
      <w:tblGrid>
        <w:gridCol w:w="1474"/>
        <w:gridCol w:w="1474"/>
        <w:gridCol w:w="1474"/>
        <w:gridCol w:w="1474"/>
        <w:gridCol w:w="1475"/>
      </w:tblGrid>
      <w:tr w:rsidR="00000000">
        <w:tblPrEx>
          <w:tblCellMar>
            <w:top w:w="0" w:type="dxa"/>
            <w:bottom w:w="0" w:type="dxa"/>
          </w:tblCellMar>
        </w:tblPrEx>
        <w:trPr>
          <w:tblHeader/>
        </w:trPr>
        <w:tc>
          <w:tcPr>
            <w:tcW w:w="1474" w:type="dxa"/>
            <w:tcBorders>
              <w:top w:val="single" w:sz="4" w:space="0" w:color="auto"/>
              <w:bottom w:val="single" w:sz="12" w:space="0" w:color="auto"/>
            </w:tcBorders>
          </w:tcPr>
          <w:p w:rsidR="00000000" w:rsidRDefault="00000000">
            <w:pPr>
              <w:pStyle w:val="table"/>
            </w:pPr>
          </w:p>
        </w:tc>
        <w:tc>
          <w:tcPr>
            <w:tcW w:w="1474" w:type="dxa"/>
            <w:tcBorders>
              <w:top w:val="single" w:sz="4" w:space="0" w:color="auto"/>
              <w:bottom w:val="single" w:sz="12" w:space="0" w:color="auto"/>
            </w:tcBorders>
          </w:tcPr>
          <w:p w:rsidR="00000000" w:rsidRDefault="00000000">
            <w:pPr>
              <w:pStyle w:val="table"/>
            </w:pPr>
          </w:p>
        </w:tc>
        <w:tc>
          <w:tcPr>
            <w:tcW w:w="1474" w:type="dxa"/>
            <w:tcBorders>
              <w:top w:val="single" w:sz="4" w:space="0" w:color="auto"/>
              <w:bottom w:val="single" w:sz="12" w:space="0" w:color="auto"/>
            </w:tcBorders>
          </w:tcPr>
          <w:p w:rsidR="00000000" w:rsidRDefault="00000000">
            <w:pPr>
              <w:pStyle w:val="table"/>
              <w:jc w:val="center"/>
              <w:rPr>
                <w:i/>
              </w:rPr>
            </w:pPr>
            <w:r>
              <w:rPr>
                <w:i/>
              </w:rPr>
              <w:t xml:space="preserve">ТУРЦИЯ </w:t>
            </w:r>
            <w:r>
              <w:rPr>
                <w:i/>
              </w:rPr>
              <w:br/>
              <w:t>в ц</w:t>
            </w:r>
            <w:r>
              <w:rPr>
                <w:i/>
              </w:rPr>
              <w:t>е</w:t>
            </w:r>
            <w:r>
              <w:rPr>
                <w:i/>
              </w:rPr>
              <w:t>лом</w:t>
            </w:r>
          </w:p>
        </w:tc>
        <w:tc>
          <w:tcPr>
            <w:tcW w:w="1474" w:type="dxa"/>
            <w:tcBorders>
              <w:top w:val="single" w:sz="4" w:space="0" w:color="auto"/>
              <w:bottom w:val="single" w:sz="12" w:space="0" w:color="auto"/>
            </w:tcBorders>
          </w:tcPr>
          <w:p w:rsidR="00000000" w:rsidRDefault="00000000">
            <w:pPr>
              <w:pStyle w:val="table"/>
              <w:jc w:val="center"/>
              <w:rPr>
                <w:i/>
              </w:rPr>
            </w:pPr>
            <w:r>
              <w:rPr>
                <w:i/>
              </w:rPr>
              <w:t>Города</w:t>
            </w:r>
          </w:p>
        </w:tc>
        <w:tc>
          <w:tcPr>
            <w:tcW w:w="1475" w:type="dxa"/>
            <w:tcBorders>
              <w:top w:val="single" w:sz="4" w:space="0" w:color="auto"/>
              <w:bottom w:val="single" w:sz="12" w:space="0" w:color="auto"/>
            </w:tcBorders>
          </w:tcPr>
          <w:p w:rsidR="00000000" w:rsidRDefault="00000000">
            <w:pPr>
              <w:pStyle w:val="table"/>
              <w:jc w:val="center"/>
              <w:rPr>
                <w:i/>
              </w:rPr>
            </w:pPr>
            <w:r>
              <w:rPr>
                <w:i/>
              </w:rPr>
              <w:t xml:space="preserve">Сельская </w:t>
            </w:r>
            <w:r>
              <w:rPr>
                <w:i/>
                <w:lang w:val="en-US"/>
              </w:rPr>
              <w:br/>
            </w:r>
            <w:r>
              <w:rPr>
                <w:i/>
              </w:rPr>
              <w:t>мес</w:t>
            </w:r>
            <w:r>
              <w:rPr>
                <w:i/>
              </w:rPr>
              <w:t>т</w:t>
            </w:r>
            <w:r>
              <w:rPr>
                <w:i/>
              </w:rPr>
              <w:t>ность</w:t>
            </w:r>
          </w:p>
        </w:tc>
      </w:tr>
      <w:tr w:rsidR="00000000">
        <w:tblPrEx>
          <w:tblCellMar>
            <w:top w:w="0" w:type="dxa"/>
            <w:bottom w:w="0" w:type="dxa"/>
          </w:tblCellMar>
        </w:tblPrEx>
        <w:tc>
          <w:tcPr>
            <w:tcW w:w="7371" w:type="dxa"/>
            <w:gridSpan w:val="5"/>
            <w:tcBorders>
              <w:top w:val="single" w:sz="12" w:space="0" w:color="auto"/>
            </w:tcBorders>
          </w:tcPr>
          <w:p w:rsidR="00000000" w:rsidRDefault="00000000">
            <w:pPr>
              <w:pStyle w:val="table"/>
            </w:pPr>
            <w:r>
              <w:t>Женщины</w:t>
            </w:r>
          </w:p>
        </w:tc>
      </w:tr>
      <w:tr w:rsidR="00000000">
        <w:tblPrEx>
          <w:tblCellMar>
            <w:top w:w="0" w:type="dxa"/>
            <w:bottom w:w="0" w:type="dxa"/>
          </w:tblCellMar>
        </w:tblPrEx>
        <w:tc>
          <w:tcPr>
            <w:tcW w:w="1474" w:type="dxa"/>
          </w:tcPr>
          <w:p w:rsidR="00000000" w:rsidRDefault="00000000">
            <w:pPr>
              <w:pStyle w:val="table"/>
            </w:pPr>
          </w:p>
        </w:tc>
        <w:tc>
          <w:tcPr>
            <w:tcW w:w="1474" w:type="dxa"/>
          </w:tcPr>
          <w:p w:rsidR="00000000" w:rsidRDefault="00000000">
            <w:pPr>
              <w:pStyle w:val="table"/>
              <w:rPr>
                <w:b/>
              </w:rPr>
            </w:pPr>
            <w:r>
              <w:rPr>
                <w:b/>
              </w:rPr>
              <w:t>Всего</w:t>
            </w:r>
          </w:p>
        </w:tc>
        <w:tc>
          <w:tcPr>
            <w:tcW w:w="1474" w:type="dxa"/>
            <w:vAlign w:val="bottom"/>
          </w:tcPr>
          <w:p w:rsidR="00000000" w:rsidRDefault="00000000">
            <w:pPr>
              <w:pStyle w:val="table"/>
              <w:tabs>
                <w:tab w:val="decimal" w:pos="567"/>
              </w:tabs>
            </w:pPr>
            <w:r>
              <w:t>74,8</w:t>
            </w:r>
          </w:p>
        </w:tc>
        <w:tc>
          <w:tcPr>
            <w:tcW w:w="1474" w:type="dxa"/>
            <w:vAlign w:val="bottom"/>
          </w:tcPr>
          <w:p w:rsidR="00000000" w:rsidRDefault="00000000">
            <w:pPr>
              <w:pStyle w:val="table"/>
              <w:tabs>
                <w:tab w:val="decimal" w:pos="567"/>
              </w:tabs>
            </w:pPr>
            <w:r>
              <w:t>79,0</w:t>
            </w:r>
          </w:p>
        </w:tc>
        <w:tc>
          <w:tcPr>
            <w:tcW w:w="1475" w:type="dxa"/>
            <w:vAlign w:val="bottom"/>
          </w:tcPr>
          <w:p w:rsidR="00000000" w:rsidRDefault="00000000">
            <w:pPr>
              <w:pStyle w:val="table"/>
              <w:tabs>
                <w:tab w:val="decimal" w:pos="567"/>
              </w:tabs>
            </w:pPr>
            <w:r>
              <w:t>68,8</w:t>
            </w:r>
          </w:p>
        </w:tc>
      </w:tr>
      <w:tr w:rsidR="00000000">
        <w:tblPrEx>
          <w:tblCellMar>
            <w:top w:w="0" w:type="dxa"/>
            <w:bottom w:w="0" w:type="dxa"/>
          </w:tblCellMar>
        </w:tblPrEx>
        <w:tc>
          <w:tcPr>
            <w:tcW w:w="1474" w:type="dxa"/>
          </w:tcPr>
          <w:p w:rsidR="00000000" w:rsidRDefault="00000000">
            <w:pPr>
              <w:pStyle w:val="table"/>
            </w:pPr>
          </w:p>
        </w:tc>
        <w:tc>
          <w:tcPr>
            <w:tcW w:w="1474" w:type="dxa"/>
          </w:tcPr>
          <w:p w:rsidR="00000000" w:rsidRDefault="00000000">
            <w:pPr>
              <w:pStyle w:val="table"/>
              <w:rPr>
                <w:b/>
              </w:rPr>
            </w:pPr>
            <w:r>
              <w:rPr>
                <w:b/>
              </w:rPr>
              <w:t>6–11</w:t>
            </w:r>
          </w:p>
        </w:tc>
        <w:tc>
          <w:tcPr>
            <w:tcW w:w="1474" w:type="dxa"/>
            <w:vAlign w:val="bottom"/>
          </w:tcPr>
          <w:p w:rsidR="00000000" w:rsidRDefault="00000000">
            <w:pPr>
              <w:pStyle w:val="table"/>
              <w:tabs>
                <w:tab w:val="decimal" w:pos="567"/>
              </w:tabs>
            </w:pPr>
            <w:r>
              <w:t>90,5</w:t>
            </w:r>
          </w:p>
        </w:tc>
        <w:tc>
          <w:tcPr>
            <w:tcW w:w="1474" w:type="dxa"/>
            <w:vAlign w:val="bottom"/>
          </w:tcPr>
          <w:p w:rsidR="00000000" w:rsidRDefault="00000000">
            <w:pPr>
              <w:pStyle w:val="table"/>
              <w:tabs>
                <w:tab w:val="decimal" w:pos="567"/>
              </w:tabs>
            </w:pPr>
            <w:r>
              <w:t>90,4</w:t>
            </w:r>
          </w:p>
        </w:tc>
        <w:tc>
          <w:tcPr>
            <w:tcW w:w="1475" w:type="dxa"/>
            <w:vAlign w:val="bottom"/>
          </w:tcPr>
          <w:p w:rsidR="00000000" w:rsidRDefault="00000000">
            <w:pPr>
              <w:pStyle w:val="table"/>
              <w:tabs>
                <w:tab w:val="decimal" w:pos="567"/>
              </w:tabs>
            </w:pPr>
            <w:r>
              <w:t>90,7</w:t>
            </w:r>
          </w:p>
        </w:tc>
      </w:tr>
      <w:tr w:rsidR="00000000">
        <w:tblPrEx>
          <w:tblCellMar>
            <w:top w:w="0" w:type="dxa"/>
            <w:bottom w:w="0" w:type="dxa"/>
          </w:tblCellMar>
        </w:tblPrEx>
        <w:tc>
          <w:tcPr>
            <w:tcW w:w="1474" w:type="dxa"/>
          </w:tcPr>
          <w:p w:rsidR="00000000" w:rsidRDefault="00000000">
            <w:pPr>
              <w:pStyle w:val="table"/>
            </w:pPr>
          </w:p>
        </w:tc>
        <w:tc>
          <w:tcPr>
            <w:tcW w:w="1474" w:type="dxa"/>
          </w:tcPr>
          <w:p w:rsidR="00000000" w:rsidRDefault="00000000">
            <w:pPr>
              <w:pStyle w:val="table"/>
              <w:rPr>
                <w:b/>
              </w:rPr>
            </w:pPr>
            <w:r>
              <w:rPr>
                <w:b/>
              </w:rPr>
              <w:t>12–14</w:t>
            </w:r>
          </w:p>
        </w:tc>
        <w:tc>
          <w:tcPr>
            <w:tcW w:w="1474" w:type="dxa"/>
            <w:vAlign w:val="bottom"/>
          </w:tcPr>
          <w:p w:rsidR="00000000" w:rsidRDefault="00000000">
            <w:pPr>
              <w:pStyle w:val="table"/>
              <w:tabs>
                <w:tab w:val="decimal" w:pos="567"/>
              </w:tabs>
            </w:pPr>
            <w:r>
              <w:t>74,4</w:t>
            </w:r>
          </w:p>
        </w:tc>
        <w:tc>
          <w:tcPr>
            <w:tcW w:w="1474" w:type="dxa"/>
            <w:vAlign w:val="bottom"/>
          </w:tcPr>
          <w:p w:rsidR="00000000" w:rsidRDefault="00000000">
            <w:pPr>
              <w:pStyle w:val="table"/>
              <w:tabs>
                <w:tab w:val="decimal" w:pos="567"/>
              </w:tabs>
            </w:pPr>
            <w:r>
              <w:t>79,8</w:t>
            </w:r>
          </w:p>
        </w:tc>
        <w:tc>
          <w:tcPr>
            <w:tcW w:w="1475" w:type="dxa"/>
            <w:vAlign w:val="bottom"/>
          </w:tcPr>
          <w:p w:rsidR="00000000" w:rsidRDefault="00000000">
            <w:pPr>
              <w:pStyle w:val="table"/>
              <w:tabs>
                <w:tab w:val="decimal" w:pos="567"/>
              </w:tabs>
            </w:pPr>
            <w:r>
              <w:t>67,3</w:t>
            </w:r>
          </w:p>
        </w:tc>
      </w:tr>
      <w:tr w:rsidR="00000000">
        <w:tblPrEx>
          <w:tblCellMar>
            <w:top w:w="0" w:type="dxa"/>
            <w:bottom w:w="0" w:type="dxa"/>
          </w:tblCellMar>
        </w:tblPrEx>
        <w:tc>
          <w:tcPr>
            <w:tcW w:w="1474" w:type="dxa"/>
          </w:tcPr>
          <w:p w:rsidR="00000000" w:rsidRDefault="00000000">
            <w:pPr>
              <w:pStyle w:val="table"/>
            </w:pPr>
          </w:p>
        </w:tc>
        <w:tc>
          <w:tcPr>
            <w:tcW w:w="1474" w:type="dxa"/>
          </w:tcPr>
          <w:p w:rsidR="00000000" w:rsidRDefault="00000000">
            <w:pPr>
              <w:pStyle w:val="table"/>
              <w:rPr>
                <w:b/>
              </w:rPr>
            </w:pPr>
            <w:r>
              <w:rPr>
                <w:b/>
              </w:rPr>
              <w:t>15–17</w:t>
            </w:r>
          </w:p>
        </w:tc>
        <w:tc>
          <w:tcPr>
            <w:tcW w:w="1474" w:type="dxa"/>
            <w:vAlign w:val="bottom"/>
          </w:tcPr>
          <w:p w:rsidR="00000000" w:rsidRDefault="00000000">
            <w:pPr>
              <w:pStyle w:val="table"/>
              <w:tabs>
                <w:tab w:val="decimal" w:pos="567"/>
              </w:tabs>
            </w:pPr>
            <w:r>
              <w:t>43,6</w:t>
            </w:r>
          </w:p>
        </w:tc>
        <w:tc>
          <w:tcPr>
            <w:tcW w:w="1474" w:type="dxa"/>
            <w:vAlign w:val="bottom"/>
          </w:tcPr>
          <w:p w:rsidR="00000000" w:rsidRDefault="00000000">
            <w:pPr>
              <w:pStyle w:val="table"/>
              <w:tabs>
                <w:tab w:val="decimal" w:pos="567"/>
              </w:tabs>
            </w:pPr>
            <w:r>
              <w:t>55,2</w:t>
            </w:r>
          </w:p>
        </w:tc>
        <w:tc>
          <w:tcPr>
            <w:tcW w:w="1475" w:type="dxa"/>
            <w:vAlign w:val="bottom"/>
          </w:tcPr>
          <w:p w:rsidR="00000000" w:rsidRDefault="00000000">
            <w:pPr>
              <w:pStyle w:val="table"/>
              <w:tabs>
                <w:tab w:val="decimal" w:pos="567"/>
              </w:tabs>
            </w:pPr>
            <w:r>
              <w:t>26,4</w:t>
            </w:r>
          </w:p>
        </w:tc>
      </w:tr>
      <w:tr w:rsidR="00000000">
        <w:tblPrEx>
          <w:tblCellMar>
            <w:top w:w="0" w:type="dxa"/>
            <w:bottom w:w="0" w:type="dxa"/>
          </w:tblCellMar>
        </w:tblPrEx>
        <w:tc>
          <w:tcPr>
            <w:tcW w:w="7371" w:type="dxa"/>
            <w:gridSpan w:val="5"/>
          </w:tcPr>
          <w:p w:rsidR="00000000" w:rsidRDefault="00000000">
            <w:pPr>
              <w:pStyle w:val="table"/>
            </w:pPr>
            <w:r>
              <w:t>Мужчины</w:t>
            </w:r>
          </w:p>
        </w:tc>
      </w:tr>
      <w:tr w:rsidR="00000000">
        <w:tblPrEx>
          <w:tblCellMar>
            <w:top w:w="0" w:type="dxa"/>
            <w:bottom w:w="0" w:type="dxa"/>
          </w:tblCellMar>
        </w:tblPrEx>
        <w:tc>
          <w:tcPr>
            <w:tcW w:w="1474" w:type="dxa"/>
          </w:tcPr>
          <w:p w:rsidR="00000000" w:rsidRDefault="00000000">
            <w:pPr>
              <w:pStyle w:val="table"/>
            </w:pPr>
          </w:p>
        </w:tc>
        <w:tc>
          <w:tcPr>
            <w:tcW w:w="1474" w:type="dxa"/>
          </w:tcPr>
          <w:p w:rsidR="00000000" w:rsidRDefault="00000000">
            <w:pPr>
              <w:pStyle w:val="table"/>
              <w:rPr>
                <w:b/>
              </w:rPr>
            </w:pPr>
            <w:r>
              <w:rPr>
                <w:b/>
              </w:rPr>
              <w:t>Всего</w:t>
            </w:r>
          </w:p>
        </w:tc>
        <w:tc>
          <w:tcPr>
            <w:tcW w:w="1474" w:type="dxa"/>
            <w:vAlign w:val="bottom"/>
          </w:tcPr>
          <w:p w:rsidR="00000000" w:rsidRDefault="00000000">
            <w:pPr>
              <w:pStyle w:val="table"/>
              <w:tabs>
                <w:tab w:val="decimal" w:pos="567"/>
              </w:tabs>
            </w:pPr>
            <w:r>
              <w:t>82,7</w:t>
            </w:r>
          </w:p>
        </w:tc>
        <w:tc>
          <w:tcPr>
            <w:tcW w:w="1474" w:type="dxa"/>
            <w:vAlign w:val="bottom"/>
          </w:tcPr>
          <w:p w:rsidR="00000000" w:rsidRDefault="00000000">
            <w:pPr>
              <w:pStyle w:val="table"/>
              <w:tabs>
                <w:tab w:val="decimal" w:pos="567"/>
              </w:tabs>
            </w:pPr>
            <w:r>
              <w:t>84,9</w:t>
            </w:r>
          </w:p>
        </w:tc>
        <w:tc>
          <w:tcPr>
            <w:tcW w:w="1475" w:type="dxa"/>
            <w:vAlign w:val="bottom"/>
          </w:tcPr>
          <w:p w:rsidR="00000000" w:rsidRDefault="00000000">
            <w:pPr>
              <w:pStyle w:val="table"/>
              <w:tabs>
                <w:tab w:val="decimal" w:pos="567"/>
              </w:tabs>
            </w:pPr>
            <w:r>
              <w:t>79,5</w:t>
            </w:r>
          </w:p>
        </w:tc>
      </w:tr>
      <w:tr w:rsidR="00000000">
        <w:tblPrEx>
          <w:tblCellMar>
            <w:top w:w="0" w:type="dxa"/>
            <w:bottom w:w="0" w:type="dxa"/>
          </w:tblCellMar>
        </w:tblPrEx>
        <w:tc>
          <w:tcPr>
            <w:tcW w:w="1474" w:type="dxa"/>
          </w:tcPr>
          <w:p w:rsidR="00000000" w:rsidRDefault="00000000">
            <w:pPr>
              <w:pStyle w:val="table"/>
            </w:pPr>
          </w:p>
        </w:tc>
        <w:tc>
          <w:tcPr>
            <w:tcW w:w="1474" w:type="dxa"/>
          </w:tcPr>
          <w:p w:rsidR="00000000" w:rsidRDefault="00000000">
            <w:pPr>
              <w:pStyle w:val="table"/>
              <w:rPr>
                <w:b/>
              </w:rPr>
            </w:pPr>
            <w:r>
              <w:rPr>
                <w:b/>
              </w:rPr>
              <w:t>6–11</w:t>
            </w:r>
          </w:p>
        </w:tc>
        <w:tc>
          <w:tcPr>
            <w:tcW w:w="1474" w:type="dxa"/>
            <w:vAlign w:val="bottom"/>
          </w:tcPr>
          <w:p w:rsidR="00000000" w:rsidRDefault="00000000">
            <w:pPr>
              <w:pStyle w:val="table"/>
              <w:tabs>
                <w:tab w:val="decimal" w:pos="567"/>
              </w:tabs>
            </w:pPr>
            <w:r>
              <w:t>92,9</w:t>
            </w:r>
          </w:p>
        </w:tc>
        <w:tc>
          <w:tcPr>
            <w:tcW w:w="1474" w:type="dxa"/>
            <w:vAlign w:val="bottom"/>
          </w:tcPr>
          <w:p w:rsidR="00000000" w:rsidRDefault="00000000">
            <w:pPr>
              <w:pStyle w:val="table"/>
              <w:tabs>
                <w:tab w:val="decimal" w:pos="567"/>
              </w:tabs>
            </w:pPr>
            <w:r>
              <w:t>93,0</w:t>
            </w:r>
          </w:p>
        </w:tc>
        <w:tc>
          <w:tcPr>
            <w:tcW w:w="1475" w:type="dxa"/>
            <w:vAlign w:val="bottom"/>
          </w:tcPr>
          <w:p w:rsidR="00000000" w:rsidRDefault="00000000">
            <w:pPr>
              <w:pStyle w:val="table"/>
              <w:tabs>
                <w:tab w:val="decimal" w:pos="567"/>
              </w:tabs>
            </w:pPr>
            <w:r>
              <w:t>92,8</w:t>
            </w:r>
          </w:p>
        </w:tc>
      </w:tr>
      <w:tr w:rsidR="00000000">
        <w:tblPrEx>
          <w:tblCellMar>
            <w:top w:w="0" w:type="dxa"/>
            <w:bottom w:w="0" w:type="dxa"/>
          </w:tblCellMar>
        </w:tblPrEx>
        <w:tc>
          <w:tcPr>
            <w:tcW w:w="1474" w:type="dxa"/>
          </w:tcPr>
          <w:p w:rsidR="00000000" w:rsidRDefault="00000000">
            <w:pPr>
              <w:pStyle w:val="table"/>
            </w:pPr>
          </w:p>
        </w:tc>
        <w:tc>
          <w:tcPr>
            <w:tcW w:w="1474" w:type="dxa"/>
          </w:tcPr>
          <w:p w:rsidR="00000000" w:rsidRDefault="00000000">
            <w:pPr>
              <w:pStyle w:val="table"/>
              <w:rPr>
                <w:b/>
              </w:rPr>
            </w:pPr>
            <w:r>
              <w:rPr>
                <w:b/>
              </w:rPr>
              <w:t>12–14</w:t>
            </w:r>
          </w:p>
        </w:tc>
        <w:tc>
          <w:tcPr>
            <w:tcW w:w="1474" w:type="dxa"/>
            <w:vAlign w:val="bottom"/>
          </w:tcPr>
          <w:p w:rsidR="00000000" w:rsidRDefault="00000000">
            <w:pPr>
              <w:pStyle w:val="table"/>
              <w:tabs>
                <w:tab w:val="decimal" w:pos="567"/>
              </w:tabs>
            </w:pPr>
            <w:r>
              <w:t>86,6</w:t>
            </w:r>
          </w:p>
        </w:tc>
        <w:tc>
          <w:tcPr>
            <w:tcW w:w="1474" w:type="dxa"/>
            <w:vAlign w:val="bottom"/>
          </w:tcPr>
          <w:p w:rsidR="00000000" w:rsidRDefault="00000000">
            <w:pPr>
              <w:pStyle w:val="table"/>
              <w:tabs>
                <w:tab w:val="decimal" w:pos="567"/>
              </w:tabs>
            </w:pPr>
            <w:r>
              <w:t>89,8</w:t>
            </w:r>
          </w:p>
        </w:tc>
        <w:tc>
          <w:tcPr>
            <w:tcW w:w="1475" w:type="dxa"/>
            <w:vAlign w:val="bottom"/>
          </w:tcPr>
          <w:p w:rsidR="00000000" w:rsidRDefault="00000000">
            <w:pPr>
              <w:pStyle w:val="table"/>
              <w:tabs>
                <w:tab w:val="decimal" w:pos="567"/>
              </w:tabs>
            </w:pPr>
            <w:r>
              <w:t>82,2</w:t>
            </w:r>
          </w:p>
        </w:tc>
      </w:tr>
      <w:tr w:rsidR="00000000">
        <w:tblPrEx>
          <w:tblCellMar>
            <w:top w:w="0" w:type="dxa"/>
            <w:bottom w:w="0" w:type="dxa"/>
          </w:tblCellMar>
        </w:tblPrEx>
        <w:tc>
          <w:tcPr>
            <w:tcW w:w="1474" w:type="dxa"/>
            <w:tcBorders>
              <w:bottom w:val="single" w:sz="12" w:space="0" w:color="auto"/>
            </w:tcBorders>
          </w:tcPr>
          <w:p w:rsidR="00000000" w:rsidRDefault="00000000">
            <w:pPr>
              <w:pStyle w:val="table"/>
            </w:pPr>
          </w:p>
        </w:tc>
        <w:tc>
          <w:tcPr>
            <w:tcW w:w="1474" w:type="dxa"/>
            <w:tcBorders>
              <w:bottom w:val="single" w:sz="12" w:space="0" w:color="auto"/>
            </w:tcBorders>
          </w:tcPr>
          <w:p w:rsidR="00000000" w:rsidRDefault="00000000">
            <w:pPr>
              <w:pStyle w:val="table"/>
              <w:rPr>
                <w:b/>
              </w:rPr>
            </w:pPr>
            <w:r>
              <w:rPr>
                <w:b/>
              </w:rPr>
              <w:t>15–17</w:t>
            </w:r>
          </w:p>
        </w:tc>
        <w:tc>
          <w:tcPr>
            <w:tcW w:w="1474" w:type="dxa"/>
            <w:tcBorders>
              <w:bottom w:val="single" w:sz="12" w:space="0" w:color="auto"/>
            </w:tcBorders>
            <w:vAlign w:val="bottom"/>
          </w:tcPr>
          <w:p w:rsidR="00000000" w:rsidRDefault="00000000">
            <w:pPr>
              <w:pStyle w:val="table"/>
              <w:tabs>
                <w:tab w:val="decimal" w:pos="567"/>
              </w:tabs>
            </w:pPr>
            <w:r>
              <w:t>58,2</w:t>
            </w:r>
          </w:p>
        </w:tc>
        <w:tc>
          <w:tcPr>
            <w:tcW w:w="1474" w:type="dxa"/>
            <w:tcBorders>
              <w:bottom w:val="single" w:sz="12" w:space="0" w:color="auto"/>
            </w:tcBorders>
            <w:vAlign w:val="bottom"/>
          </w:tcPr>
          <w:p w:rsidR="00000000" w:rsidRDefault="00000000">
            <w:pPr>
              <w:pStyle w:val="table"/>
              <w:tabs>
                <w:tab w:val="decimal" w:pos="567"/>
              </w:tabs>
            </w:pPr>
            <w:r>
              <w:t>64,5</w:t>
            </w:r>
          </w:p>
        </w:tc>
        <w:tc>
          <w:tcPr>
            <w:tcW w:w="1475" w:type="dxa"/>
            <w:tcBorders>
              <w:bottom w:val="single" w:sz="12" w:space="0" w:color="auto"/>
            </w:tcBorders>
            <w:vAlign w:val="bottom"/>
          </w:tcPr>
          <w:p w:rsidR="00000000" w:rsidRDefault="00000000">
            <w:pPr>
              <w:pStyle w:val="table"/>
              <w:tabs>
                <w:tab w:val="decimal" w:pos="567"/>
              </w:tabs>
            </w:pPr>
            <w:r>
              <w:t>47,8</w:t>
            </w:r>
          </w:p>
        </w:tc>
      </w:tr>
    </w:tbl>
    <w:p w:rsidR="00000000" w:rsidRDefault="00000000">
      <w:pPr>
        <w:pStyle w:val="SingleTxt"/>
        <w:keepNext/>
        <w:ind w:firstLine="0"/>
      </w:pPr>
      <w:r>
        <w:rPr>
          <w:i/>
        </w:rPr>
        <w:t>Источник</w:t>
      </w:r>
      <w:r>
        <w:t>: Обследование работающих детей, 1999 год, ГСИ</w:t>
      </w:r>
    </w:p>
    <w:p w:rsidR="00000000" w:rsidRDefault="00000000">
      <w:pPr>
        <w:pStyle w:val="SingleTxt"/>
        <w:keepNext/>
        <w:ind w:firstLine="0"/>
        <w:jc w:val="left"/>
        <w:rPr>
          <w:b/>
        </w:rPr>
      </w:pPr>
      <w:r>
        <w:rPr>
          <w:b/>
        </w:rPr>
        <w:t>Таблица 3. Причины непосещения детьми школы, 1999 год (в %)</w:t>
      </w:r>
    </w:p>
    <w:tbl>
      <w:tblPr>
        <w:tblW w:w="0" w:type="auto"/>
        <w:tblInd w:w="1278" w:type="dxa"/>
        <w:tblLayout w:type="fixed"/>
        <w:tblCellMar>
          <w:left w:w="28" w:type="dxa"/>
          <w:right w:w="28" w:type="dxa"/>
        </w:tblCellMar>
        <w:tblLook w:val="0000" w:firstRow="0" w:lastRow="0" w:firstColumn="0" w:lastColumn="0" w:noHBand="0" w:noVBand="0"/>
      </w:tblPr>
      <w:tblGrid>
        <w:gridCol w:w="1701"/>
        <w:gridCol w:w="945"/>
        <w:gridCol w:w="945"/>
        <w:gridCol w:w="945"/>
        <w:gridCol w:w="945"/>
        <w:gridCol w:w="945"/>
        <w:gridCol w:w="945"/>
      </w:tblGrid>
      <w:tr w:rsidR="00000000">
        <w:tblPrEx>
          <w:tblCellMar>
            <w:top w:w="0" w:type="dxa"/>
            <w:bottom w:w="0" w:type="dxa"/>
          </w:tblCellMar>
        </w:tblPrEx>
        <w:trPr>
          <w:cantSplit/>
          <w:tblHeader/>
        </w:trPr>
        <w:tc>
          <w:tcPr>
            <w:tcW w:w="1701" w:type="dxa"/>
            <w:tcBorders>
              <w:top w:val="single" w:sz="6" w:space="0" w:color="auto"/>
            </w:tcBorders>
          </w:tcPr>
          <w:p w:rsidR="00000000" w:rsidRDefault="00000000">
            <w:pPr>
              <w:pStyle w:val="table"/>
            </w:pPr>
          </w:p>
        </w:tc>
        <w:tc>
          <w:tcPr>
            <w:tcW w:w="1890" w:type="dxa"/>
            <w:gridSpan w:val="2"/>
            <w:tcBorders>
              <w:top w:val="single" w:sz="6" w:space="0" w:color="auto"/>
            </w:tcBorders>
          </w:tcPr>
          <w:p w:rsidR="00000000" w:rsidRDefault="00000000">
            <w:pPr>
              <w:pStyle w:val="table"/>
              <w:jc w:val="center"/>
              <w:rPr>
                <w:i/>
              </w:rPr>
            </w:pPr>
            <w:r>
              <w:rPr>
                <w:i/>
              </w:rPr>
              <w:t>Турция в целом</w:t>
            </w:r>
          </w:p>
        </w:tc>
        <w:tc>
          <w:tcPr>
            <w:tcW w:w="1890" w:type="dxa"/>
            <w:gridSpan w:val="2"/>
            <w:tcBorders>
              <w:top w:val="single" w:sz="6" w:space="0" w:color="auto"/>
            </w:tcBorders>
          </w:tcPr>
          <w:p w:rsidR="00000000" w:rsidRDefault="00000000">
            <w:pPr>
              <w:pStyle w:val="table"/>
              <w:jc w:val="center"/>
              <w:rPr>
                <w:i/>
              </w:rPr>
            </w:pPr>
            <w:r>
              <w:rPr>
                <w:i/>
              </w:rPr>
              <w:t>Города</w:t>
            </w:r>
          </w:p>
        </w:tc>
        <w:tc>
          <w:tcPr>
            <w:tcW w:w="1890" w:type="dxa"/>
            <w:gridSpan w:val="2"/>
            <w:tcBorders>
              <w:top w:val="single" w:sz="6" w:space="0" w:color="auto"/>
            </w:tcBorders>
          </w:tcPr>
          <w:p w:rsidR="00000000" w:rsidRDefault="00000000">
            <w:pPr>
              <w:pStyle w:val="table"/>
              <w:jc w:val="center"/>
              <w:rPr>
                <w:i/>
              </w:rPr>
            </w:pPr>
            <w:r>
              <w:rPr>
                <w:i/>
              </w:rPr>
              <w:t>Сельская мес</w:t>
            </w:r>
            <w:r>
              <w:rPr>
                <w:i/>
              </w:rPr>
              <w:t>т</w:t>
            </w:r>
            <w:r>
              <w:rPr>
                <w:i/>
              </w:rPr>
              <w:t>ность</w:t>
            </w:r>
          </w:p>
        </w:tc>
      </w:tr>
      <w:tr w:rsidR="00000000">
        <w:tblPrEx>
          <w:tblCellMar>
            <w:top w:w="0" w:type="dxa"/>
            <w:bottom w:w="0" w:type="dxa"/>
          </w:tblCellMar>
        </w:tblPrEx>
        <w:trPr>
          <w:tblHeader/>
        </w:trPr>
        <w:tc>
          <w:tcPr>
            <w:tcW w:w="1701" w:type="dxa"/>
            <w:tcBorders>
              <w:bottom w:val="single" w:sz="12" w:space="0" w:color="auto"/>
            </w:tcBorders>
          </w:tcPr>
          <w:p w:rsidR="00000000" w:rsidRDefault="00000000">
            <w:pPr>
              <w:pStyle w:val="table"/>
            </w:pPr>
          </w:p>
        </w:tc>
        <w:tc>
          <w:tcPr>
            <w:tcW w:w="945" w:type="dxa"/>
            <w:tcBorders>
              <w:bottom w:val="single" w:sz="12" w:space="0" w:color="auto"/>
            </w:tcBorders>
          </w:tcPr>
          <w:p w:rsidR="00000000" w:rsidRDefault="00000000">
            <w:pPr>
              <w:pStyle w:val="table"/>
              <w:jc w:val="center"/>
              <w:rPr>
                <w:i/>
              </w:rPr>
            </w:pPr>
            <w:r>
              <w:rPr>
                <w:i/>
              </w:rPr>
              <w:t>Же</w:t>
            </w:r>
            <w:r>
              <w:rPr>
                <w:i/>
              </w:rPr>
              <w:t>н</w:t>
            </w:r>
            <w:r>
              <w:rPr>
                <w:i/>
              </w:rPr>
              <w:t>щины</w:t>
            </w:r>
          </w:p>
        </w:tc>
        <w:tc>
          <w:tcPr>
            <w:tcW w:w="945" w:type="dxa"/>
            <w:tcBorders>
              <w:bottom w:val="single" w:sz="12" w:space="0" w:color="auto"/>
            </w:tcBorders>
          </w:tcPr>
          <w:p w:rsidR="00000000" w:rsidRDefault="00000000">
            <w:pPr>
              <w:pStyle w:val="table"/>
              <w:jc w:val="center"/>
              <w:rPr>
                <w:i/>
              </w:rPr>
            </w:pPr>
            <w:r>
              <w:rPr>
                <w:i/>
              </w:rPr>
              <w:t>Му</w:t>
            </w:r>
            <w:r>
              <w:rPr>
                <w:i/>
              </w:rPr>
              <w:t>ж</w:t>
            </w:r>
            <w:r>
              <w:rPr>
                <w:i/>
              </w:rPr>
              <w:t>чины</w:t>
            </w:r>
          </w:p>
        </w:tc>
        <w:tc>
          <w:tcPr>
            <w:tcW w:w="945" w:type="dxa"/>
            <w:tcBorders>
              <w:bottom w:val="single" w:sz="12" w:space="0" w:color="auto"/>
            </w:tcBorders>
          </w:tcPr>
          <w:p w:rsidR="00000000" w:rsidRDefault="00000000">
            <w:pPr>
              <w:pStyle w:val="table"/>
              <w:jc w:val="center"/>
              <w:rPr>
                <w:i/>
              </w:rPr>
            </w:pPr>
            <w:r>
              <w:rPr>
                <w:i/>
              </w:rPr>
              <w:t>Же</w:t>
            </w:r>
            <w:r>
              <w:rPr>
                <w:i/>
              </w:rPr>
              <w:t>н</w:t>
            </w:r>
            <w:r>
              <w:rPr>
                <w:i/>
              </w:rPr>
              <w:t>щины</w:t>
            </w:r>
          </w:p>
        </w:tc>
        <w:tc>
          <w:tcPr>
            <w:tcW w:w="945" w:type="dxa"/>
            <w:tcBorders>
              <w:bottom w:val="single" w:sz="12" w:space="0" w:color="auto"/>
            </w:tcBorders>
          </w:tcPr>
          <w:p w:rsidR="00000000" w:rsidRDefault="00000000">
            <w:pPr>
              <w:pStyle w:val="table"/>
              <w:jc w:val="center"/>
              <w:rPr>
                <w:i/>
              </w:rPr>
            </w:pPr>
            <w:r>
              <w:rPr>
                <w:i/>
              </w:rPr>
              <w:t>Му</w:t>
            </w:r>
            <w:r>
              <w:rPr>
                <w:i/>
              </w:rPr>
              <w:t>ж</w:t>
            </w:r>
            <w:r>
              <w:rPr>
                <w:i/>
              </w:rPr>
              <w:t>чины</w:t>
            </w:r>
          </w:p>
        </w:tc>
        <w:tc>
          <w:tcPr>
            <w:tcW w:w="945" w:type="dxa"/>
            <w:tcBorders>
              <w:bottom w:val="single" w:sz="12" w:space="0" w:color="auto"/>
            </w:tcBorders>
          </w:tcPr>
          <w:p w:rsidR="00000000" w:rsidRDefault="00000000">
            <w:pPr>
              <w:pStyle w:val="table"/>
              <w:jc w:val="center"/>
              <w:rPr>
                <w:i/>
              </w:rPr>
            </w:pPr>
            <w:r>
              <w:rPr>
                <w:i/>
              </w:rPr>
              <w:t>Же</w:t>
            </w:r>
            <w:r>
              <w:rPr>
                <w:i/>
              </w:rPr>
              <w:t>н</w:t>
            </w:r>
            <w:r>
              <w:rPr>
                <w:i/>
              </w:rPr>
              <w:t>щины</w:t>
            </w:r>
          </w:p>
        </w:tc>
        <w:tc>
          <w:tcPr>
            <w:tcW w:w="945" w:type="dxa"/>
            <w:tcBorders>
              <w:bottom w:val="single" w:sz="12" w:space="0" w:color="auto"/>
            </w:tcBorders>
          </w:tcPr>
          <w:p w:rsidR="00000000" w:rsidRDefault="00000000">
            <w:pPr>
              <w:pStyle w:val="table"/>
              <w:jc w:val="center"/>
              <w:rPr>
                <w:i/>
              </w:rPr>
            </w:pPr>
            <w:r>
              <w:rPr>
                <w:i/>
              </w:rPr>
              <w:t>Му</w:t>
            </w:r>
            <w:r>
              <w:rPr>
                <w:i/>
              </w:rPr>
              <w:t>ж</w:t>
            </w:r>
            <w:r>
              <w:rPr>
                <w:i/>
              </w:rPr>
              <w:t>чины</w:t>
            </w:r>
          </w:p>
        </w:tc>
      </w:tr>
      <w:tr w:rsidR="00000000">
        <w:tblPrEx>
          <w:tblCellMar>
            <w:top w:w="0" w:type="dxa"/>
            <w:bottom w:w="0" w:type="dxa"/>
          </w:tblCellMar>
        </w:tblPrEx>
        <w:tc>
          <w:tcPr>
            <w:tcW w:w="1701" w:type="dxa"/>
            <w:tcBorders>
              <w:top w:val="single" w:sz="12" w:space="0" w:color="auto"/>
            </w:tcBorders>
          </w:tcPr>
          <w:p w:rsidR="00000000" w:rsidRDefault="00000000">
            <w:pPr>
              <w:pStyle w:val="table"/>
            </w:pPr>
            <w:r>
              <w:t>Отсутствие подх</w:t>
            </w:r>
            <w:r>
              <w:t>о</w:t>
            </w:r>
            <w:r>
              <w:t>дящего учебного з</w:t>
            </w:r>
            <w:r>
              <w:t>а</w:t>
            </w:r>
            <w:r>
              <w:t>ведения</w:t>
            </w:r>
          </w:p>
        </w:tc>
        <w:tc>
          <w:tcPr>
            <w:tcW w:w="945" w:type="dxa"/>
            <w:tcBorders>
              <w:top w:val="single" w:sz="12" w:space="0" w:color="auto"/>
            </w:tcBorders>
            <w:vAlign w:val="bottom"/>
          </w:tcPr>
          <w:p w:rsidR="00000000" w:rsidRDefault="00000000">
            <w:pPr>
              <w:pStyle w:val="table"/>
              <w:tabs>
                <w:tab w:val="decimal" w:pos="567"/>
              </w:tabs>
            </w:pPr>
            <w:r>
              <w:t>9,1</w:t>
            </w:r>
          </w:p>
        </w:tc>
        <w:tc>
          <w:tcPr>
            <w:tcW w:w="945" w:type="dxa"/>
            <w:tcBorders>
              <w:top w:val="single" w:sz="12" w:space="0" w:color="auto"/>
            </w:tcBorders>
            <w:vAlign w:val="bottom"/>
          </w:tcPr>
          <w:p w:rsidR="00000000" w:rsidRDefault="00000000">
            <w:pPr>
              <w:pStyle w:val="table"/>
              <w:tabs>
                <w:tab w:val="decimal" w:pos="567"/>
              </w:tabs>
            </w:pPr>
            <w:r>
              <w:t>10,7</w:t>
            </w:r>
          </w:p>
        </w:tc>
        <w:tc>
          <w:tcPr>
            <w:tcW w:w="945" w:type="dxa"/>
            <w:tcBorders>
              <w:top w:val="single" w:sz="12" w:space="0" w:color="auto"/>
            </w:tcBorders>
            <w:vAlign w:val="bottom"/>
          </w:tcPr>
          <w:p w:rsidR="00000000" w:rsidRDefault="00000000">
            <w:pPr>
              <w:pStyle w:val="table"/>
              <w:tabs>
                <w:tab w:val="decimal" w:pos="567"/>
              </w:tabs>
            </w:pPr>
            <w:r>
              <w:t>7,0</w:t>
            </w:r>
          </w:p>
        </w:tc>
        <w:tc>
          <w:tcPr>
            <w:tcW w:w="945" w:type="dxa"/>
            <w:tcBorders>
              <w:top w:val="single" w:sz="12" w:space="0" w:color="auto"/>
            </w:tcBorders>
            <w:vAlign w:val="bottom"/>
          </w:tcPr>
          <w:p w:rsidR="00000000" w:rsidRDefault="00000000">
            <w:pPr>
              <w:pStyle w:val="table"/>
              <w:tabs>
                <w:tab w:val="decimal" w:pos="567"/>
              </w:tabs>
            </w:pPr>
            <w:r>
              <w:t>9,4</w:t>
            </w:r>
          </w:p>
        </w:tc>
        <w:tc>
          <w:tcPr>
            <w:tcW w:w="945" w:type="dxa"/>
            <w:tcBorders>
              <w:top w:val="single" w:sz="12" w:space="0" w:color="auto"/>
            </w:tcBorders>
            <w:vAlign w:val="bottom"/>
          </w:tcPr>
          <w:p w:rsidR="00000000" w:rsidRDefault="00000000">
            <w:pPr>
              <w:pStyle w:val="table"/>
              <w:tabs>
                <w:tab w:val="decimal" w:pos="567"/>
              </w:tabs>
            </w:pPr>
            <w:r>
              <w:t>10,9</w:t>
            </w:r>
          </w:p>
        </w:tc>
        <w:tc>
          <w:tcPr>
            <w:tcW w:w="945" w:type="dxa"/>
            <w:tcBorders>
              <w:top w:val="single" w:sz="12" w:space="0" w:color="auto"/>
            </w:tcBorders>
            <w:vAlign w:val="bottom"/>
          </w:tcPr>
          <w:p w:rsidR="00000000" w:rsidRDefault="00000000">
            <w:pPr>
              <w:pStyle w:val="table"/>
              <w:tabs>
                <w:tab w:val="decimal" w:pos="567"/>
              </w:tabs>
            </w:pPr>
            <w:r>
              <w:t>11,9</w:t>
            </w:r>
          </w:p>
        </w:tc>
      </w:tr>
      <w:tr w:rsidR="00000000">
        <w:tblPrEx>
          <w:tblCellMar>
            <w:top w:w="0" w:type="dxa"/>
            <w:bottom w:w="0" w:type="dxa"/>
          </w:tblCellMar>
        </w:tblPrEx>
        <w:tc>
          <w:tcPr>
            <w:tcW w:w="1701" w:type="dxa"/>
          </w:tcPr>
          <w:p w:rsidR="00000000" w:rsidRDefault="00000000">
            <w:pPr>
              <w:pStyle w:val="table"/>
            </w:pPr>
            <w:r>
              <w:t>Отсутствие интереса к об</w:t>
            </w:r>
            <w:r>
              <w:t>у</w:t>
            </w:r>
            <w:r>
              <w:t>чению в школе</w:t>
            </w:r>
          </w:p>
        </w:tc>
        <w:tc>
          <w:tcPr>
            <w:tcW w:w="945" w:type="dxa"/>
            <w:vAlign w:val="bottom"/>
          </w:tcPr>
          <w:p w:rsidR="00000000" w:rsidRDefault="00000000">
            <w:pPr>
              <w:pStyle w:val="table"/>
              <w:tabs>
                <w:tab w:val="decimal" w:pos="567"/>
              </w:tabs>
            </w:pPr>
            <w:r>
              <w:t>27,0</w:t>
            </w:r>
          </w:p>
        </w:tc>
        <w:tc>
          <w:tcPr>
            <w:tcW w:w="945" w:type="dxa"/>
            <w:vAlign w:val="bottom"/>
          </w:tcPr>
          <w:p w:rsidR="00000000" w:rsidRDefault="00000000">
            <w:pPr>
              <w:pStyle w:val="table"/>
              <w:tabs>
                <w:tab w:val="decimal" w:pos="567"/>
              </w:tabs>
            </w:pPr>
            <w:r>
              <w:t>36,5</w:t>
            </w:r>
          </w:p>
        </w:tc>
        <w:tc>
          <w:tcPr>
            <w:tcW w:w="945" w:type="dxa"/>
            <w:vAlign w:val="bottom"/>
          </w:tcPr>
          <w:p w:rsidR="00000000" w:rsidRDefault="00000000">
            <w:pPr>
              <w:pStyle w:val="table"/>
              <w:tabs>
                <w:tab w:val="decimal" w:pos="567"/>
              </w:tabs>
            </w:pPr>
            <w:r>
              <w:t>25,5</w:t>
            </w:r>
          </w:p>
        </w:tc>
        <w:tc>
          <w:tcPr>
            <w:tcW w:w="945" w:type="dxa"/>
            <w:vAlign w:val="bottom"/>
          </w:tcPr>
          <w:p w:rsidR="00000000" w:rsidRDefault="00000000">
            <w:pPr>
              <w:pStyle w:val="table"/>
              <w:tabs>
                <w:tab w:val="decimal" w:pos="567"/>
              </w:tabs>
            </w:pPr>
            <w:r>
              <w:t>35,1</w:t>
            </w:r>
          </w:p>
        </w:tc>
        <w:tc>
          <w:tcPr>
            <w:tcW w:w="945" w:type="dxa"/>
            <w:vAlign w:val="bottom"/>
          </w:tcPr>
          <w:p w:rsidR="00000000" w:rsidRDefault="00000000">
            <w:pPr>
              <w:pStyle w:val="table"/>
              <w:tabs>
                <w:tab w:val="decimal" w:pos="567"/>
              </w:tabs>
            </w:pPr>
            <w:r>
              <w:t>28,4</w:t>
            </w:r>
          </w:p>
        </w:tc>
        <w:tc>
          <w:tcPr>
            <w:tcW w:w="945" w:type="dxa"/>
            <w:vAlign w:val="bottom"/>
          </w:tcPr>
          <w:p w:rsidR="00000000" w:rsidRDefault="00000000">
            <w:pPr>
              <w:pStyle w:val="table"/>
              <w:tabs>
                <w:tab w:val="decimal" w:pos="567"/>
              </w:tabs>
            </w:pPr>
            <w:r>
              <w:t>37,8</w:t>
            </w:r>
          </w:p>
        </w:tc>
      </w:tr>
      <w:tr w:rsidR="00000000">
        <w:tblPrEx>
          <w:tblCellMar>
            <w:top w:w="0" w:type="dxa"/>
            <w:bottom w:w="0" w:type="dxa"/>
          </w:tblCellMar>
        </w:tblPrEx>
        <w:tc>
          <w:tcPr>
            <w:tcW w:w="1701" w:type="dxa"/>
          </w:tcPr>
          <w:p w:rsidR="00000000" w:rsidRDefault="00000000">
            <w:pPr>
              <w:pStyle w:val="table"/>
            </w:pPr>
            <w:r>
              <w:t>Отсутствие средств на образов</w:t>
            </w:r>
            <w:r>
              <w:t>а</w:t>
            </w:r>
            <w:r>
              <w:t>ние</w:t>
            </w:r>
          </w:p>
        </w:tc>
        <w:tc>
          <w:tcPr>
            <w:tcW w:w="945" w:type="dxa"/>
            <w:vAlign w:val="bottom"/>
          </w:tcPr>
          <w:p w:rsidR="00000000" w:rsidRDefault="00000000">
            <w:pPr>
              <w:pStyle w:val="table"/>
              <w:tabs>
                <w:tab w:val="decimal" w:pos="567"/>
              </w:tabs>
            </w:pPr>
            <w:r>
              <w:t>25,5</w:t>
            </w:r>
          </w:p>
        </w:tc>
        <w:tc>
          <w:tcPr>
            <w:tcW w:w="945" w:type="dxa"/>
            <w:vAlign w:val="bottom"/>
          </w:tcPr>
          <w:p w:rsidR="00000000" w:rsidRDefault="00000000">
            <w:pPr>
              <w:pStyle w:val="table"/>
              <w:tabs>
                <w:tab w:val="decimal" w:pos="567"/>
              </w:tabs>
            </w:pPr>
            <w:r>
              <w:t>21,1</w:t>
            </w:r>
          </w:p>
        </w:tc>
        <w:tc>
          <w:tcPr>
            <w:tcW w:w="945" w:type="dxa"/>
            <w:vAlign w:val="bottom"/>
          </w:tcPr>
          <w:p w:rsidR="00000000" w:rsidRDefault="00000000">
            <w:pPr>
              <w:pStyle w:val="table"/>
              <w:tabs>
                <w:tab w:val="decimal" w:pos="567"/>
              </w:tabs>
            </w:pPr>
            <w:r>
              <w:t>30,2</w:t>
            </w:r>
          </w:p>
        </w:tc>
        <w:tc>
          <w:tcPr>
            <w:tcW w:w="945" w:type="dxa"/>
            <w:vAlign w:val="bottom"/>
          </w:tcPr>
          <w:p w:rsidR="00000000" w:rsidRDefault="00000000">
            <w:pPr>
              <w:pStyle w:val="table"/>
              <w:tabs>
                <w:tab w:val="decimal" w:pos="567"/>
              </w:tabs>
            </w:pPr>
            <w:r>
              <w:t>27,8</w:t>
            </w:r>
          </w:p>
        </w:tc>
        <w:tc>
          <w:tcPr>
            <w:tcW w:w="945" w:type="dxa"/>
            <w:vAlign w:val="bottom"/>
          </w:tcPr>
          <w:p w:rsidR="00000000" w:rsidRDefault="00000000">
            <w:pPr>
              <w:pStyle w:val="table"/>
              <w:tabs>
                <w:tab w:val="decimal" w:pos="567"/>
              </w:tabs>
            </w:pPr>
            <w:r>
              <w:t>21,5</w:t>
            </w:r>
          </w:p>
        </w:tc>
        <w:tc>
          <w:tcPr>
            <w:tcW w:w="945" w:type="dxa"/>
            <w:vAlign w:val="bottom"/>
          </w:tcPr>
          <w:p w:rsidR="00000000" w:rsidRDefault="00000000">
            <w:pPr>
              <w:pStyle w:val="table"/>
              <w:tabs>
                <w:tab w:val="decimal" w:pos="567"/>
              </w:tabs>
            </w:pPr>
            <w:r>
              <w:t>14,4</w:t>
            </w:r>
          </w:p>
        </w:tc>
      </w:tr>
      <w:tr w:rsidR="00000000">
        <w:tblPrEx>
          <w:tblCellMar>
            <w:top w:w="0" w:type="dxa"/>
            <w:bottom w:w="0" w:type="dxa"/>
          </w:tblCellMar>
        </w:tblPrEx>
        <w:tc>
          <w:tcPr>
            <w:tcW w:w="1701" w:type="dxa"/>
          </w:tcPr>
          <w:p w:rsidR="00000000" w:rsidRDefault="00000000">
            <w:pPr>
              <w:pStyle w:val="table"/>
            </w:pPr>
            <w:r>
              <w:t>Выполнение дома</w:t>
            </w:r>
            <w:r>
              <w:t>ш</w:t>
            </w:r>
            <w:r>
              <w:t>них обязанн</w:t>
            </w:r>
            <w:r>
              <w:t>о</w:t>
            </w:r>
            <w:r>
              <w:t>стей</w:t>
            </w:r>
          </w:p>
        </w:tc>
        <w:tc>
          <w:tcPr>
            <w:tcW w:w="945" w:type="dxa"/>
            <w:vAlign w:val="bottom"/>
          </w:tcPr>
          <w:p w:rsidR="00000000" w:rsidRDefault="00000000">
            <w:pPr>
              <w:pStyle w:val="table"/>
              <w:tabs>
                <w:tab w:val="decimal" w:pos="567"/>
              </w:tabs>
            </w:pPr>
            <w:r>
              <w:t>11,0</w:t>
            </w:r>
          </w:p>
        </w:tc>
        <w:tc>
          <w:tcPr>
            <w:tcW w:w="945" w:type="dxa"/>
            <w:vAlign w:val="bottom"/>
          </w:tcPr>
          <w:p w:rsidR="00000000" w:rsidRDefault="00000000">
            <w:pPr>
              <w:pStyle w:val="table"/>
              <w:tabs>
                <w:tab w:val="decimal" w:pos="567"/>
              </w:tabs>
            </w:pPr>
            <w:r>
              <w:t>2,7</w:t>
            </w:r>
          </w:p>
        </w:tc>
        <w:tc>
          <w:tcPr>
            <w:tcW w:w="945" w:type="dxa"/>
            <w:vAlign w:val="bottom"/>
          </w:tcPr>
          <w:p w:rsidR="00000000" w:rsidRDefault="00000000">
            <w:pPr>
              <w:pStyle w:val="table"/>
              <w:tabs>
                <w:tab w:val="decimal" w:pos="567"/>
              </w:tabs>
            </w:pPr>
            <w:r>
              <w:t>7,9</w:t>
            </w:r>
          </w:p>
        </w:tc>
        <w:tc>
          <w:tcPr>
            <w:tcW w:w="945" w:type="dxa"/>
            <w:vAlign w:val="bottom"/>
          </w:tcPr>
          <w:p w:rsidR="00000000" w:rsidRDefault="00000000">
            <w:pPr>
              <w:pStyle w:val="table"/>
              <w:tabs>
                <w:tab w:val="decimal" w:pos="567"/>
              </w:tabs>
            </w:pPr>
            <w:r>
              <w:t>0,7</w:t>
            </w:r>
          </w:p>
        </w:tc>
        <w:tc>
          <w:tcPr>
            <w:tcW w:w="945" w:type="dxa"/>
            <w:vAlign w:val="bottom"/>
          </w:tcPr>
          <w:p w:rsidR="00000000" w:rsidRDefault="00000000">
            <w:pPr>
              <w:pStyle w:val="table"/>
              <w:tabs>
                <w:tab w:val="decimal" w:pos="567"/>
              </w:tabs>
            </w:pPr>
            <w:r>
              <w:t>13,5</w:t>
            </w:r>
          </w:p>
        </w:tc>
        <w:tc>
          <w:tcPr>
            <w:tcW w:w="945" w:type="dxa"/>
            <w:vAlign w:val="bottom"/>
          </w:tcPr>
          <w:p w:rsidR="00000000" w:rsidRDefault="00000000">
            <w:pPr>
              <w:pStyle w:val="table"/>
              <w:tabs>
                <w:tab w:val="decimal" w:pos="567"/>
              </w:tabs>
            </w:pPr>
            <w:r>
              <w:t>4,9</w:t>
            </w:r>
          </w:p>
        </w:tc>
      </w:tr>
      <w:tr w:rsidR="00000000">
        <w:tblPrEx>
          <w:tblCellMar>
            <w:top w:w="0" w:type="dxa"/>
            <w:bottom w:w="0" w:type="dxa"/>
          </w:tblCellMar>
        </w:tblPrEx>
        <w:tc>
          <w:tcPr>
            <w:tcW w:w="1701" w:type="dxa"/>
          </w:tcPr>
          <w:p w:rsidR="00000000" w:rsidRDefault="00000000">
            <w:pPr>
              <w:pStyle w:val="table"/>
            </w:pPr>
            <w:r>
              <w:t>Возражение семьи против обуч</w:t>
            </w:r>
            <w:r>
              <w:t>е</w:t>
            </w:r>
            <w:r>
              <w:t>ния</w:t>
            </w:r>
          </w:p>
        </w:tc>
        <w:tc>
          <w:tcPr>
            <w:tcW w:w="945" w:type="dxa"/>
            <w:vAlign w:val="bottom"/>
          </w:tcPr>
          <w:p w:rsidR="00000000" w:rsidRDefault="00000000">
            <w:pPr>
              <w:pStyle w:val="table"/>
              <w:tabs>
                <w:tab w:val="decimal" w:pos="567"/>
              </w:tabs>
            </w:pPr>
            <w:r>
              <w:t>10,1</w:t>
            </w:r>
          </w:p>
        </w:tc>
        <w:tc>
          <w:tcPr>
            <w:tcW w:w="945" w:type="dxa"/>
            <w:vAlign w:val="bottom"/>
          </w:tcPr>
          <w:p w:rsidR="00000000" w:rsidRDefault="00000000">
            <w:pPr>
              <w:pStyle w:val="table"/>
              <w:tabs>
                <w:tab w:val="decimal" w:pos="567"/>
              </w:tabs>
            </w:pPr>
            <w:r>
              <w:t>2,4</w:t>
            </w:r>
          </w:p>
        </w:tc>
        <w:tc>
          <w:tcPr>
            <w:tcW w:w="945" w:type="dxa"/>
            <w:vAlign w:val="bottom"/>
          </w:tcPr>
          <w:p w:rsidR="00000000" w:rsidRDefault="00000000">
            <w:pPr>
              <w:pStyle w:val="table"/>
              <w:tabs>
                <w:tab w:val="decimal" w:pos="567"/>
              </w:tabs>
            </w:pPr>
            <w:r>
              <w:t>9,0</w:t>
            </w:r>
          </w:p>
        </w:tc>
        <w:tc>
          <w:tcPr>
            <w:tcW w:w="945" w:type="dxa"/>
            <w:vAlign w:val="bottom"/>
          </w:tcPr>
          <w:p w:rsidR="00000000" w:rsidRDefault="00000000">
            <w:pPr>
              <w:pStyle w:val="table"/>
              <w:tabs>
                <w:tab w:val="decimal" w:pos="567"/>
              </w:tabs>
            </w:pPr>
            <w:r>
              <w:t>1,6</w:t>
            </w:r>
          </w:p>
        </w:tc>
        <w:tc>
          <w:tcPr>
            <w:tcW w:w="945" w:type="dxa"/>
            <w:vAlign w:val="bottom"/>
          </w:tcPr>
          <w:p w:rsidR="00000000" w:rsidRDefault="00000000">
            <w:pPr>
              <w:pStyle w:val="table"/>
              <w:tabs>
                <w:tab w:val="decimal" w:pos="567"/>
              </w:tabs>
            </w:pPr>
            <w:r>
              <w:t>11,1</w:t>
            </w:r>
          </w:p>
        </w:tc>
        <w:tc>
          <w:tcPr>
            <w:tcW w:w="945" w:type="dxa"/>
            <w:vAlign w:val="bottom"/>
          </w:tcPr>
          <w:p w:rsidR="00000000" w:rsidRDefault="00000000">
            <w:pPr>
              <w:pStyle w:val="table"/>
              <w:tabs>
                <w:tab w:val="decimal" w:pos="567"/>
              </w:tabs>
            </w:pPr>
            <w:r>
              <w:t>3,2</w:t>
            </w:r>
          </w:p>
        </w:tc>
      </w:tr>
      <w:tr w:rsidR="00000000">
        <w:tblPrEx>
          <w:tblCellMar>
            <w:top w:w="0" w:type="dxa"/>
            <w:bottom w:w="0" w:type="dxa"/>
          </w:tblCellMar>
        </w:tblPrEx>
        <w:tc>
          <w:tcPr>
            <w:tcW w:w="1701" w:type="dxa"/>
            <w:tcBorders>
              <w:bottom w:val="single" w:sz="12" w:space="0" w:color="auto"/>
            </w:tcBorders>
          </w:tcPr>
          <w:p w:rsidR="00000000" w:rsidRDefault="00000000">
            <w:pPr>
              <w:pStyle w:val="table"/>
            </w:pPr>
            <w:r>
              <w:t>Прочее</w:t>
            </w:r>
          </w:p>
        </w:tc>
        <w:tc>
          <w:tcPr>
            <w:tcW w:w="945" w:type="dxa"/>
            <w:tcBorders>
              <w:bottom w:val="single" w:sz="12" w:space="0" w:color="auto"/>
            </w:tcBorders>
            <w:vAlign w:val="bottom"/>
          </w:tcPr>
          <w:p w:rsidR="00000000" w:rsidRDefault="00000000">
            <w:pPr>
              <w:pStyle w:val="table"/>
              <w:tabs>
                <w:tab w:val="decimal" w:pos="567"/>
              </w:tabs>
            </w:pPr>
            <w:r>
              <w:t>17,3</w:t>
            </w:r>
          </w:p>
        </w:tc>
        <w:tc>
          <w:tcPr>
            <w:tcW w:w="945" w:type="dxa"/>
            <w:tcBorders>
              <w:bottom w:val="single" w:sz="12" w:space="0" w:color="auto"/>
            </w:tcBorders>
            <w:vAlign w:val="bottom"/>
          </w:tcPr>
          <w:p w:rsidR="00000000" w:rsidRDefault="00000000">
            <w:pPr>
              <w:pStyle w:val="table"/>
              <w:tabs>
                <w:tab w:val="decimal" w:pos="567"/>
              </w:tabs>
            </w:pPr>
            <w:r>
              <w:t>26,6</w:t>
            </w:r>
          </w:p>
        </w:tc>
        <w:tc>
          <w:tcPr>
            <w:tcW w:w="945" w:type="dxa"/>
            <w:tcBorders>
              <w:bottom w:val="single" w:sz="12" w:space="0" w:color="auto"/>
            </w:tcBorders>
            <w:vAlign w:val="bottom"/>
          </w:tcPr>
          <w:p w:rsidR="00000000" w:rsidRDefault="00000000">
            <w:pPr>
              <w:pStyle w:val="table"/>
              <w:tabs>
                <w:tab w:val="decimal" w:pos="567"/>
              </w:tabs>
            </w:pPr>
            <w:r>
              <w:t>20,3</w:t>
            </w:r>
          </w:p>
        </w:tc>
        <w:tc>
          <w:tcPr>
            <w:tcW w:w="945" w:type="dxa"/>
            <w:tcBorders>
              <w:bottom w:val="single" w:sz="12" w:space="0" w:color="auto"/>
            </w:tcBorders>
            <w:vAlign w:val="bottom"/>
          </w:tcPr>
          <w:p w:rsidR="00000000" w:rsidRDefault="00000000">
            <w:pPr>
              <w:pStyle w:val="table"/>
              <w:tabs>
                <w:tab w:val="decimal" w:pos="567"/>
              </w:tabs>
            </w:pPr>
            <w:r>
              <w:t>25,6</w:t>
            </w:r>
          </w:p>
        </w:tc>
        <w:tc>
          <w:tcPr>
            <w:tcW w:w="945" w:type="dxa"/>
            <w:tcBorders>
              <w:bottom w:val="single" w:sz="12" w:space="0" w:color="auto"/>
            </w:tcBorders>
            <w:vAlign w:val="bottom"/>
          </w:tcPr>
          <w:p w:rsidR="00000000" w:rsidRDefault="00000000">
            <w:pPr>
              <w:pStyle w:val="table"/>
              <w:tabs>
                <w:tab w:val="decimal" w:pos="567"/>
              </w:tabs>
            </w:pPr>
            <w:r>
              <w:t>14,7</w:t>
            </w:r>
          </w:p>
        </w:tc>
        <w:tc>
          <w:tcPr>
            <w:tcW w:w="945" w:type="dxa"/>
            <w:tcBorders>
              <w:bottom w:val="single" w:sz="12" w:space="0" w:color="auto"/>
            </w:tcBorders>
            <w:vAlign w:val="bottom"/>
          </w:tcPr>
          <w:p w:rsidR="00000000" w:rsidRDefault="00000000">
            <w:pPr>
              <w:pStyle w:val="table"/>
              <w:tabs>
                <w:tab w:val="decimal" w:pos="567"/>
              </w:tabs>
            </w:pPr>
            <w:r>
              <w:t>27,6</w:t>
            </w:r>
          </w:p>
        </w:tc>
      </w:tr>
    </w:tbl>
    <w:p w:rsidR="00000000" w:rsidRDefault="00000000">
      <w:pPr>
        <w:pStyle w:val="SingleTxt"/>
        <w:ind w:firstLine="0"/>
      </w:pPr>
      <w:r>
        <w:rPr>
          <w:i/>
        </w:rPr>
        <w:t>Источник</w:t>
      </w:r>
      <w:r>
        <w:t>: Обследование работающих детей, 1999 год, ГСИ</w:t>
      </w:r>
    </w:p>
    <w:p w:rsidR="00000000" w:rsidRDefault="00000000">
      <w:pPr>
        <w:pStyle w:val="SingleTxt"/>
      </w:pPr>
      <w:r>
        <w:t>Министерство образования в сотрудничестве с неправительственными и международными организациями реализовало ряд проектов, направленных на обеспечение более эффективного выполнения закона о обязательном восьм</w:t>
      </w:r>
      <w:r>
        <w:t>и</w:t>
      </w:r>
      <w:r>
        <w:t>летнем базовом образовании, уделив повышенное внимание вопросам повыш</w:t>
      </w:r>
      <w:r>
        <w:t>е</w:t>
      </w:r>
      <w:r>
        <w:t>ния уровня осведомленности о важности получения девочками образования, сокращению гендерных и региональных диспропорций в доступе к школьному образованию и т. д. В сельских районах, где возможности школ – особенно в мелких и отдаленных деревнях – не позволяют увеличить период обучения с пяти до восьми лет или где школы закрылись ввиду миграции населения, м</w:t>
      </w:r>
      <w:r>
        <w:t>и</w:t>
      </w:r>
      <w:r>
        <w:t>нистерство образования обеспечивает проезд учащихся на автобусе до бл</w:t>
      </w:r>
      <w:r>
        <w:t>и</w:t>
      </w:r>
      <w:r>
        <w:t>жайшего учебного заведения и обратно (такие услуги предоставляются с 1991 года). Кроме того, учащиеся, проживающие в отдаленных районах, могут обучаться в районных школах-интернатах. Для поощрения семей к тому, чтобы они направляли девочек для обучения в такие школы-интернаты, созданы шк</w:t>
      </w:r>
      <w:r>
        <w:t>о</w:t>
      </w:r>
      <w:r>
        <w:t>лы с раздельным обучением. Ввиду "культурных ограничений" в отношении физической мобильности девочек в сельских районах созданы "открытые н</w:t>
      </w:r>
      <w:r>
        <w:t>а</w:t>
      </w:r>
      <w:r>
        <w:t>чальные школы". Целый ряд неправительственных организаций, в том числе женских, предоставляют различные виды стипендий и помощи для поощрения семей к тому, чтобы они направляли дев</w:t>
      </w:r>
      <w:r>
        <w:t>о</w:t>
      </w:r>
      <w:r>
        <w:t>чек на учебу.</w:t>
      </w:r>
    </w:p>
    <w:p w:rsidR="00000000" w:rsidRDefault="00000000">
      <w:pPr>
        <w:pStyle w:val="H1"/>
      </w:pPr>
      <w:r>
        <w:t>Среднее школьное образование</w:t>
      </w:r>
    </w:p>
    <w:p w:rsidR="00000000" w:rsidRDefault="00000000">
      <w:pPr>
        <w:pStyle w:val="SingleTxt"/>
      </w:pPr>
      <w:r>
        <w:t>Наряду с позитивными изменениями в сфере начального школьного обр</w:t>
      </w:r>
      <w:r>
        <w:t>а</w:t>
      </w:r>
      <w:r>
        <w:t>зования растет число девочек, посещающих среднюю школу. Доля девочек, обучающихся в лицеях общего профиля, увеличилась с 42,9 процента в 1996–1997 учебном году до 45,2 процента в 1999–2000 учебном году. Среднее образ</w:t>
      </w:r>
      <w:r>
        <w:t>о</w:t>
      </w:r>
      <w:r>
        <w:t>вание не является обязательным, однако в соответствии с восьмым Пятилетним планом развития (2001–2005 годы) и решениями, принятыми Национальным конгрессом по образованию, в перспективе планируется перейти к двенадцат</w:t>
      </w:r>
      <w:r>
        <w:t>и</w:t>
      </w:r>
      <w:r>
        <w:t>летнему обязательному базовому образ</w:t>
      </w:r>
      <w:r>
        <w:t>о</w:t>
      </w:r>
      <w:r>
        <w:t>ванию.</w:t>
      </w:r>
    </w:p>
    <w:p w:rsidR="00000000" w:rsidRDefault="00000000">
      <w:pPr>
        <w:pStyle w:val="SingleTxt"/>
      </w:pPr>
      <w:r>
        <w:t>Вместе с тем дискриминация по признаку пола, проявляющаяся в виде раздельного обучения, наиболее ярко выражена в сфере среднего професси</w:t>
      </w:r>
      <w:r>
        <w:t>о</w:t>
      </w:r>
      <w:r>
        <w:t>нально-технического образования. Это обусловлено характером и структурой школ такого типа: в них мальчики и девочки обучаются традиционно "му</w:t>
      </w:r>
      <w:r>
        <w:t>ж</w:t>
      </w:r>
      <w:r>
        <w:t>ским" и "женским" профессиям. В стране действует 1 196 средних технических школ для мальчиков и 636 средних технических школ для девочек. Аргументом в пользу сохранения такого разделения служит то, что оно обеспечивает более широкий доступ к образованию для девочек из консервативных семей и служит некой специальной нишей для девочек, выполняя своего рода "функцию квот</w:t>
      </w:r>
      <w:r>
        <w:t>и</w:t>
      </w:r>
      <w:r>
        <w:t>рования". Отчасти это подтверждается тем фактом, что если в 1993–1996 годах доля девочек, обучающихся в обычных средних школах, возросла на 3,97 процента, то для профессионально-технических школ этот показатель с</w:t>
      </w:r>
      <w:r>
        <w:t>о</w:t>
      </w:r>
      <w:r>
        <w:t>ставил 29,9 процента.</w:t>
      </w:r>
    </w:p>
    <w:p w:rsidR="00000000" w:rsidRDefault="00000000">
      <w:pPr>
        <w:pStyle w:val="SingleTxt"/>
      </w:pPr>
      <w:r>
        <w:t>С 1975 года такие технические школы с раздельным обучением могут п</w:t>
      </w:r>
      <w:r>
        <w:t>о</w:t>
      </w:r>
      <w:r>
        <w:t>сещаться учащимися противоположного пола. Несмотря на сохранение сегр</w:t>
      </w:r>
      <w:r>
        <w:t>е</w:t>
      </w:r>
      <w:r>
        <w:t>гации по признаку пола, определенные сдвиги в этой области все же происх</w:t>
      </w:r>
      <w:r>
        <w:t>о</w:t>
      </w:r>
      <w:r>
        <w:t>дят. Так, доля мальчиков, обучающихся в женских технических школах, соста</w:t>
      </w:r>
      <w:r>
        <w:t>в</w:t>
      </w:r>
      <w:r>
        <w:t>ляет 18,4 процента, а девочек, обучающихся в мужских школах, – 10,3 процента. Абсолютные цифры являются следующими: школы, предназн</w:t>
      </w:r>
      <w:r>
        <w:t>а</w:t>
      </w:r>
      <w:r>
        <w:t>ченные для противоположного пола, посещают 39 542 девочки и 28 100 мальчиков. Это важное свидетельство того, каким образом можно пр</w:t>
      </w:r>
      <w:r>
        <w:t>о</w:t>
      </w:r>
      <w:r>
        <w:t>тивостоять традиционным генде</w:t>
      </w:r>
      <w:r>
        <w:t>р</w:t>
      </w:r>
      <w:r>
        <w:t>ным нормам и ценностям.</w:t>
      </w:r>
    </w:p>
    <w:p w:rsidR="00000000" w:rsidRDefault="00000000">
      <w:pPr>
        <w:pStyle w:val="SingleTxt"/>
      </w:pPr>
      <w:r>
        <w:t>Одним из самых впечатляющих достижений, о котором следует упом</w:t>
      </w:r>
      <w:r>
        <w:t>я</w:t>
      </w:r>
      <w:r>
        <w:t>нуть, является беспрецедентно высокая доля девочек (45,8 процента), обуча</w:t>
      </w:r>
      <w:r>
        <w:t>ю</w:t>
      </w:r>
      <w:r>
        <w:t>щихся в школах "имамов-хатипов", в которых осуществляется подготовка гла</w:t>
      </w:r>
      <w:r>
        <w:t>в</w:t>
      </w:r>
      <w:r>
        <w:t>ным образом по профессиям, связанным с отправлением религиозного культа и открытым только для мужчин. Если доля девочек, обучающихся в таких шк</w:t>
      </w:r>
      <w:r>
        <w:t>о</w:t>
      </w:r>
      <w:r>
        <w:t>лах, постепенно увеличивается, то в отношении мальчиков наблюдается обра</w:t>
      </w:r>
      <w:r>
        <w:t>т</w:t>
      </w:r>
      <w:r>
        <w:t>ная тенденция. В 1993–1994 учебном году доля девочек, посещающих школы "имамов-хатипов", составляла 18,8 процента, в 1996–1997 учебном году – 21,8 процента, а в 1999–2000 учебном году – 21,3 процента. Для мальчиков эти показатели составляли соответственно 20,4 процента, 18,3 процента и 12,6 процента. Хотя с точки зрения доступа к образованию рост числа девочек, обучающихся в таких школах, можно квалифицировать в качестве позитивного явления, необходимо серьезно изучить, в какой степени такое образование обеспечивает девочкам возможность выбора нетрадиционного для их пола з</w:t>
      </w:r>
      <w:r>
        <w:t>а</w:t>
      </w:r>
      <w:r>
        <w:t>нятия или профессии и возможность трудоустройства.</w:t>
      </w:r>
    </w:p>
    <w:p w:rsidR="00000000" w:rsidRDefault="00000000">
      <w:pPr>
        <w:pStyle w:val="H1"/>
      </w:pPr>
      <w:r>
        <w:t>Высшее образование</w:t>
      </w:r>
    </w:p>
    <w:p w:rsidR="00000000" w:rsidRDefault="00000000">
      <w:pPr>
        <w:pStyle w:val="SingleTxt"/>
      </w:pPr>
      <w:r>
        <w:t>В университет в Турции можно поступить, сдав общенациональный ко</w:t>
      </w:r>
      <w:r>
        <w:t>н</w:t>
      </w:r>
      <w:r>
        <w:t>курсный квалификационный экзамен. В последние годы результаты сдачи т</w:t>
      </w:r>
      <w:r>
        <w:t>а</w:t>
      </w:r>
      <w:r>
        <w:t>ких экзаменов девушками являлись весьма впечатляющими. В 1999 году доля девушек, поступивших в университеты, составляла 55,2 процента, а юношей – 56,9 процента; в 2000 году показатель для девушек несколько превысил показ</w:t>
      </w:r>
      <w:r>
        <w:t>а</w:t>
      </w:r>
      <w:r>
        <w:t>тель для мальчиков. Вместе с тем общее число девушек, обучающихся в вузах, по-прежнему меньше, чем число юношей. В 2001–2002 учебном году девушки составляли 41,8 процента всех учащихся университетов. Однако в тот же пер</w:t>
      </w:r>
      <w:r>
        <w:t>и</w:t>
      </w:r>
      <w:r>
        <w:t>од доля девушек в университетах провинций составила лишь 37,7 процента. Больше всего девушек обучается на двухгодичных курсах на получение степ</w:t>
      </w:r>
      <w:r>
        <w:t>е</w:t>
      </w:r>
      <w:r>
        <w:t>ни в Открытом университете (49,3 процента). Среди выпускников средних школ девушек значительно меньше, чем юношей.</w:t>
      </w:r>
    </w:p>
    <w:p w:rsidR="00000000" w:rsidRDefault="00000000">
      <w:pPr>
        <w:pStyle w:val="SingleTxt"/>
      </w:pPr>
      <w:r>
        <w:t>По всем дисциплинам, за исключением технических наук и сельского х</w:t>
      </w:r>
      <w:r>
        <w:t>о</w:t>
      </w:r>
      <w:r>
        <w:t>зяйства, доля девушек, обучающихся в вузах, с годами неуклонно растет. Если число юношей и девушек, изучающих естественные и прикладные науки, а также математику, примерно одинаково, то по таким предметам, как иностра</w:t>
      </w:r>
      <w:r>
        <w:t>н</w:t>
      </w:r>
      <w:r>
        <w:t>ные языки, педагогика и искусство, число девушек превышает число юношей (таблица 4). Несмотря на относительное гендерное равенство в сфере высшего образования, в целом образование этого уровня в Турции по-прежнему досту</w:t>
      </w:r>
      <w:r>
        <w:t>п</w:t>
      </w:r>
      <w:r>
        <w:t>но лишь для небольшой части населения, где число мужчин превышает число женщин.</w:t>
      </w:r>
    </w:p>
    <w:p w:rsidR="00000000" w:rsidRDefault="00000000">
      <w:pPr>
        <w:pStyle w:val="SingleTxt"/>
        <w:keepNext/>
        <w:ind w:firstLine="0"/>
        <w:jc w:val="left"/>
        <w:rPr>
          <w:b/>
        </w:rPr>
      </w:pPr>
      <w:r>
        <w:rPr>
          <w:b/>
        </w:rPr>
        <w:t>Таблица 4. Девушки, обучающиеся в вузах, с разбивкой по областям сп</w:t>
      </w:r>
      <w:r>
        <w:rPr>
          <w:b/>
        </w:rPr>
        <w:t>е</w:t>
      </w:r>
      <w:r>
        <w:rPr>
          <w:b/>
        </w:rPr>
        <w:t>циализации, 2001–2002 учебный год (в %)</w:t>
      </w:r>
    </w:p>
    <w:tbl>
      <w:tblPr>
        <w:tblW w:w="0" w:type="auto"/>
        <w:tblInd w:w="1278" w:type="dxa"/>
        <w:tblLayout w:type="fixed"/>
        <w:tblLook w:val="0000" w:firstRow="0" w:lastRow="0" w:firstColumn="0" w:lastColumn="0" w:noHBand="0" w:noVBand="0"/>
      </w:tblPr>
      <w:tblGrid>
        <w:gridCol w:w="2410"/>
        <w:gridCol w:w="1653"/>
        <w:gridCol w:w="1324"/>
        <w:gridCol w:w="1984"/>
      </w:tblGrid>
      <w:tr w:rsidR="00000000">
        <w:tblPrEx>
          <w:tblCellMar>
            <w:top w:w="0" w:type="dxa"/>
            <w:bottom w:w="0" w:type="dxa"/>
          </w:tblCellMar>
        </w:tblPrEx>
        <w:trPr>
          <w:tblHeader/>
        </w:trPr>
        <w:tc>
          <w:tcPr>
            <w:tcW w:w="2410" w:type="dxa"/>
            <w:tcBorders>
              <w:top w:val="single" w:sz="4" w:space="0" w:color="auto"/>
              <w:bottom w:val="single" w:sz="12" w:space="0" w:color="auto"/>
            </w:tcBorders>
            <w:vAlign w:val="center"/>
          </w:tcPr>
          <w:p w:rsidR="00000000" w:rsidRDefault="00000000">
            <w:pPr>
              <w:pStyle w:val="table"/>
              <w:jc w:val="center"/>
              <w:rPr>
                <w:i/>
              </w:rPr>
            </w:pPr>
            <w:r>
              <w:rPr>
                <w:i/>
              </w:rPr>
              <w:t>Область специализ</w:t>
            </w:r>
            <w:r>
              <w:rPr>
                <w:i/>
              </w:rPr>
              <w:t>а</w:t>
            </w:r>
            <w:r>
              <w:rPr>
                <w:i/>
              </w:rPr>
              <w:t>ции</w:t>
            </w:r>
          </w:p>
        </w:tc>
        <w:tc>
          <w:tcPr>
            <w:tcW w:w="1653" w:type="dxa"/>
            <w:tcBorders>
              <w:top w:val="single" w:sz="4" w:space="0" w:color="auto"/>
              <w:bottom w:val="single" w:sz="12" w:space="0" w:color="auto"/>
            </w:tcBorders>
            <w:vAlign w:val="center"/>
          </w:tcPr>
          <w:p w:rsidR="00000000" w:rsidRDefault="00000000">
            <w:pPr>
              <w:pStyle w:val="table"/>
              <w:jc w:val="center"/>
              <w:rPr>
                <w:i/>
              </w:rPr>
            </w:pPr>
            <w:r>
              <w:rPr>
                <w:i/>
              </w:rPr>
              <w:t>Поступившие</w:t>
            </w:r>
          </w:p>
        </w:tc>
        <w:tc>
          <w:tcPr>
            <w:tcW w:w="1324" w:type="dxa"/>
            <w:tcBorders>
              <w:top w:val="single" w:sz="4" w:space="0" w:color="auto"/>
              <w:bottom w:val="single" w:sz="12" w:space="0" w:color="auto"/>
            </w:tcBorders>
            <w:vAlign w:val="center"/>
          </w:tcPr>
          <w:p w:rsidR="00000000" w:rsidRDefault="00000000">
            <w:pPr>
              <w:pStyle w:val="table"/>
              <w:jc w:val="center"/>
              <w:rPr>
                <w:i/>
              </w:rPr>
            </w:pPr>
            <w:r>
              <w:rPr>
                <w:i/>
              </w:rPr>
              <w:t>Обучающиеся</w:t>
            </w:r>
          </w:p>
        </w:tc>
        <w:tc>
          <w:tcPr>
            <w:tcW w:w="1984" w:type="dxa"/>
            <w:tcBorders>
              <w:top w:val="single" w:sz="4" w:space="0" w:color="auto"/>
              <w:bottom w:val="single" w:sz="12" w:space="0" w:color="auto"/>
            </w:tcBorders>
            <w:vAlign w:val="center"/>
          </w:tcPr>
          <w:p w:rsidR="00000000" w:rsidRDefault="00000000">
            <w:pPr>
              <w:pStyle w:val="table"/>
              <w:jc w:val="center"/>
              <w:rPr>
                <w:i/>
              </w:rPr>
            </w:pPr>
            <w:r>
              <w:rPr>
                <w:i/>
              </w:rPr>
              <w:t>Выпускники 2000–2001 учебного г</w:t>
            </w:r>
            <w:r>
              <w:rPr>
                <w:i/>
              </w:rPr>
              <w:t>о</w:t>
            </w:r>
            <w:r>
              <w:rPr>
                <w:i/>
              </w:rPr>
              <w:t>да</w:t>
            </w:r>
          </w:p>
        </w:tc>
      </w:tr>
      <w:tr w:rsidR="00000000">
        <w:tblPrEx>
          <w:tblCellMar>
            <w:top w:w="0" w:type="dxa"/>
            <w:bottom w:w="0" w:type="dxa"/>
          </w:tblCellMar>
        </w:tblPrEx>
        <w:tc>
          <w:tcPr>
            <w:tcW w:w="2410" w:type="dxa"/>
            <w:tcBorders>
              <w:top w:val="single" w:sz="12" w:space="0" w:color="auto"/>
            </w:tcBorders>
          </w:tcPr>
          <w:p w:rsidR="00000000" w:rsidRDefault="00000000">
            <w:pPr>
              <w:pStyle w:val="table"/>
            </w:pPr>
            <w:r>
              <w:t>Медико-санитарные дисц</w:t>
            </w:r>
            <w:r>
              <w:t>и</w:t>
            </w:r>
            <w:r>
              <w:t>плины</w:t>
            </w:r>
          </w:p>
        </w:tc>
        <w:tc>
          <w:tcPr>
            <w:tcW w:w="1653" w:type="dxa"/>
            <w:tcBorders>
              <w:top w:val="single" w:sz="12" w:space="0" w:color="auto"/>
            </w:tcBorders>
            <w:vAlign w:val="bottom"/>
          </w:tcPr>
          <w:p w:rsidR="00000000" w:rsidRDefault="00000000">
            <w:pPr>
              <w:pStyle w:val="table"/>
              <w:tabs>
                <w:tab w:val="decimal" w:pos="567"/>
              </w:tabs>
            </w:pPr>
            <w:r>
              <w:t>46,1</w:t>
            </w:r>
          </w:p>
        </w:tc>
        <w:tc>
          <w:tcPr>
            <w:tcW w:w="1324" w:type="dxa"/>
            <w:tcBorders>
              <w:top w:val="single" w:sz="12" w:space="0" w:color="auto"/>
            </w:tcBorders>
            <w:vAlign w:val="bottom"/>
          </w:tcPr>
          <w:p w:rsidR="00000000" w:rsidRDefault="00000000">
            <w:pPr>
              <w:pStyle w:val="table"/>
              <w:tabs>
                <w:tab w:val="decimal" w:pos="567"/>
              </w:tabs>
            </w:pPr>
            <w:r>
              <w:t>42,6</w:t>
            </w:r>
          </w:p>
        </w:tc>
        <w:tc>
          <w:tcPr>
            <w:tcW w:w="1984" w:type="dxa"/>
            <w:tcBorders>
              <w:top w:val="single" w:sz="12" w:space="0" w:color="auto"/>
            </w:tcBorders>
            <w:vAlign w:val="bottom"/>
          </w:tcPr>
          <w:p w:rsidR="00000000" w:rsidRDefault="00000000">
            <w:pPr>
              <w:pStyle w:val="table"/>
              <w:tabs>
                <w:tab w:val="decimal" w:pos="884"/>
              </w:tabs>
            </w:pPr>
            <w:r>
              <w:t>44,5</w:t>
            </w:r>
          </w:p>
        </w:tc>
      </w:tr>
      <w:tr w:rsidR="00000000">
        <w:tblPrEx>
          <w:tblCellMar>
            <w:top w:w="0" w:type="dxa"/>
            <w:bottom w:w="0" w:type="dxa"/>
          </w:tblCellMar>
        </w:tblPrEx>
        <w:tc>
          <w:tcPr>
            <w:tcW w:w="2410" w:type="dxa"/>
          </w:tcPr>
          <w:p w:rsidR="00000000" w:rsidRDefault="00000000">
            <w:pPr>
              <w:pStyle w:val="table"/>
            </w:pPr>
            <w:r>
              <w:t>Язык и литер</w:t>
            </w:r>
            <w:r>
              <w:t>а</w:t>
            </w:r>
            <w:r>
              <w:t>тура</w:t>
            </w:r>
          </w:p>
        </w:tc>
        <w:tc>
          <w:tcPr>
            <w:tcW w:w="1653" w:type="dxa"/>
            <w:vAlign w:val="bottom"/>
          </w:tcPr>
          <w:p w:rsidR="00000000" w:rsidRDefault="00000000">
            <w:pPr>
              <w:pStyle w:val="table"/>
              <w:tabs>
                <w:tab w:val="decimal" w:pos="567"/>
              </w:tabs>
            </w:pPr>
            <w:r>
              <w:t>63,4</w:t>
            </w:r>
          </w:p>
        </w:tc>
        <w:tc>
          <w:tcPr>
            <w:tcW w:w="1324" w:type="dxa"/>
            <w:vAlign w:val="bottom"/>
          </w:tcPr>
          <w:p w:rsidR="00000000" w:rsidRDefault="00000000">
            <w:pPr>
              <w:pStyle w:val="table"/>
              <w:tabs>
                <w:tab w:val="decimal" w:pos="567"/>
              </w:tabs>
            </w:pPr>
            <w:r>
              <w:t>60,0</w:t>
            </w:r>
          </w:p>
        </w:tc>
        <w:tc>
          <w:tcPr>
            <w:tcW w:w="1984" w:type="dxa"/>
            <w:vAlign w:val="bottom"/>
          </w:tcPr>
          <w:p w:rsidR="00000000" w:rsidRDefault="00000000">
            <w:pPr>
              <w:pStyle w:val="table"/>
              <w:tabs>
                <w:tab w:val="decimal" w:pos="884"/>
              </w:tabs>
            </w:pPr>
            <w:r>
              <w:t>60,6</w:t>
            </w:r>
          </w:p>
        </w:tc>
      </w:tr>
      <w:tr w:rsidR="00000000">
        <w:tblPrEx>
          <w:tblCellMar>
            <w:top w:w="0" w:type="dxa"/>
            <w:bottom w:w="0" w:type="dxa"/>
          </w:tblCellMar>
        </w:tblPrEx>
        <w:tc>
          <w:tcPr>
            <w:tcW w:w="2410" w:type="dxa"/>
          </w:tcPr>
          <w:p w:rsidR="00000000" w:rsidRDefault="00000000">
            <w:pPr>
              <w:pStyle w:val="table"/>
            </w:pPr>
            <w:r>
              <w:t>Естественные и гуманита</w:t>
            </w:r>
            <w:r>
              <w:t>р</w:t>
            </w:r>
            <w:r>
              <w:t>ные науки</w:t>
            </w:r>
          </w:p>
        </w:tc>
        <w:tc>
          <w:tcPr>
            <w:tcW w:w="1653" w:type="dxa"/>
            <w:vAlign w:val="bottom"/>
          </w:tcPr>
          <w:p w:rsidR="00000000" w:rsidRDefault="00000000">
            <w:pPr>
              <w:pStyle w:val="table"/>
              <w:tabs>
                <w:tab w:val="decimal" w:pos="567"/>
              </w:tabs>
            </w:pPr>
            <w:r>
              <w:t>46,7</w:t>
            </w:r>
          </w:p>
        </w:tc>
        <w:tc>
          <w:tcPr>
            <w:tcW w:w="1324" w:type="dxa"/>
            <w:vAlign w:val="bottom"/>
          </w:tcPr>
          <w:p w:rsidR="00000000" w:rsidRDefault="00000000">
            <w:pPr>
              <w:pStyle w:val="table"/>
              <w:tabs>
                <w:tab w:val="decimal" w:pos="567"/>
              </w:tabs>
            </w:pPr>
            <w:r>
              <w:t>47,1</w:t>
            </w:r>
          </w:p>
        </w:tc>
        <w:tc>
          <w:tcPr>
            <w:tcW w:w="1984" w:type="dxa"/>
            <w:vAlign w:val="bottom"/>
          </w:tcPr>
          <w:p w:rsidR="00000000" w:rsidRDefault="00000000">
            <w:pPr>
              <w:pStyle w:val="table"/>
              <w:tabs>
                <w:tab w:val="decimal" w:pos="884"/>
              </w:tabs>
            </w:pPr>
            <w:r>
              <w:t>48,5</w:t>
            </w:r>
          </w:p>
        </w:tc>
      </w:tr>
      <w:tr w:rsidR="00000000">
        <w:tblPrEx>
          <w:tblCellMar>
            <w:top w:w="0" w:type="dxa"/>
            <w:bottom w:w="0" w:type="dxa"/>
          </w:tblCellMar>
        </w:tblPrEx>
        <w:tc>
          <w:tcPr>
            <w:tcW w:w="2410" w:type="dxa"/>
          </w:tcPr>
          <w:p w:rsidR="00000000" w:rsidRDefault="00000000">
            <w:pPr>
              <w:pStyle w:val="table"/>
            </w:pPr>
            <w:r>
              <w:t>Педагогические на</w:t>
            </w:r>
            <w:r>
              <w:t>у</w:t>
            </w:r>
            <w:r>
              <w:t>ки</w:t>
            </w:r>
          </w:p>
        </w:tc>
        <w:tc>
          <w:tcPr>
            <w:tcW w:w="1653" w:type="dxa"/>
            <w:vAlign w:val="bottom"/>
          </w:tcPr>
          <w:p w:rsidR="00000000" w:rsidRDefault="00000000">
            <w:pPr>
              <w:pStyle w:val="table"/>
              <w:tabs>
                <w:tab w:val="decimal" w:pos="567"/>
              </w:tabs>
            </w:pPr>
            <w:r>
              <w:t>57,1</w:t>
            </w:r>
          </w:p>
        </w:tc>
        <w:tc>
          <w:tcPr>
            <w:tcW w:w="1324" w:type="dxa"/>
            <w:vAlign w:val="bottom"/>
          </w:tcPr>
          <w:p w:rsidR="00000000" w:rsidRDefault="00000000">
            <w:pPr>
              <w:pStyle w:val="table"/>
              <w:tabs>
                <w:tab w:val="decimal" w:pos="567"/>
              </w:tabs>
            </w:pPr>
            <w:r>
              <w:t>55,5</w:t>
            </w:r>
          </w:p>
        </w:tc>
        <w:tc>
          <w:tcPr>
            <w:tcW w:w="1984" w:type="dxa"/>
            <w:vAlign w:val="bottom"/>
          </w:tcPr>
          <w:p w:rsidR="00000000" w:rsidRDefault="00000000">
            <w:pPr>
              <w:pStyle w:val="table"/>
              <w:tabs>
                <w:tab w:val="decimal" w:pos="884"/>
              </w:tabs>
            </w:pPr>
            <w:r>
              <w:t>50,3</w:t>
            </w:r>
          </w:p>
        </w:tc>
      </w:tr>
      <w:tr w:rsidR="00000000">
        <w:tblPrEx>
          <w:tblCellMar>
            <w:top w:w="0" w:type="dxa"/>
            <w:bottom w:w="0" w:type="dxa"/>
          </w:tblCellMar>
        </w:tblPrEx>
        <w:tc>
          <w:tcPr>
            <w:tcW w:w="2410" w:type="dxa"/>
          </w:tcPr>
          <w:p w:rsidR="00000000" w:rsidRDefault="00000000">
            <w:pPr>
              <w:pStyle w:val="table"/>
            </w:pPr>
            <w:r>
              <w:t>Машиностроение и арх</w:t>
            </w:r>
            <w:r>
              <w:t>и</w:t>
            </w:r>
            <w:r>
              <w:t>тектура</w:t>
            </w:r>
          </w:p>
        </w:tc>
        <w:tc>
          <w:tcPr>
            <w:tcW w:w="1653" w:type="dxa"/>
            <w:vAlign w:val="bottom"/>
          </w:tcPr>
          <w:p w:rsidR="00000000" w:rsidRDefault="00000000">
            <w:pPr>
              <w:pStyle w:val="table"/>
              <w:tabs>
                <w:tab w:val="decimal" w:pos="567"/>
              </w:tabs>
            </w:pPr>
            <w:r>
              <w:t>23,4</w:t>
            </w:r>
          </w:p>
        </w:tc>
        <w:tc>
          <w:tcPr>
            <w:tcW w:w="1324" w:type="dxa"/>
            <w:vAlign w:val="bottom"/>
          </w:tcPr>
          <w:p w:rsidR="00000000" w:rsidRDefault="00000000">
            <w:pPr>
              <w:pStyle w:val="table"/>
              <w:tabs>
                <w:tab w:val="decimal" w:pos="567"/>
              </w:tabs>
            </w:pPr>
            <w:r>
              <w:t>23,2</w:t>
            </w:r>
          </w:p>
        </w:tc>
        <w:tc>
          <w:tcPr>
            <w:tcW w:w="1984" w:type="dxa"/>
            <w:vAlign w:val="bottom"/>
          </w:tcPr>
          <w:p w:rsidR="00000000" w:rsidRDefault="00000000">
            <w:pPr>
              <w:pStyle w:val="table"/>
              <w:tabs>
                <w:tab w:val="decimal" w:pos="884"/>
              </w:tabs>
            </w:pPr>
            <w:r>
              <w:t>25,7</w:t>
            </w:r>
          </w:p>
        </w:tc>
      </w:tr>
      <w:tr w:rsidR="00000000">
        <w:tblPrEx>
          <w:tblCellMar>
            <w:top w:w="0" w:type="dxa"/>
            <w:bottom w:w="0" w:type="dxa"/>
          </w:tblCellMar>
        </w:tblPrEx>
        <w:tc>
          <w:tcPr>
            <w:tcW w:w="2410" w:type="dxa"/>
            <w:tcBorders>
              <w:bottom w:val="single" w:sz="12" w:space="0" w:color="auto"/>
            </w:tcBorders>
          </w:tcPr>
          <w:p w:rsidR="00000000" w:rsidRDefault="00000000">
            <w:pPr>
              <w:pStyle w:val="table"/>
            </w:pPr>
            <w:r>
              <w:t>И</w:t>
            </w:r>
            <w:r>
              <w:t>с</w:t>
            </w:r>
            <w:r>
              <w:t>кусство</w:t>
            </w:r>
          </w:p>
        </w:tc>
        <w:tc>
          <w:tcPr>
            <w:tcW w:w="1653" w:type="dxa"/>
            <w:tcBorders>
              <w:bottom w:val="single" w:sz="12" w:space="0" w:color="auto"/>
            </w:tcBorders>
            <w:vAlign w:val="bottom"/>
          </w:tcPr>
          <w:p w:rsidR="00000000" w:rsidRDefault="00000000">
            <w:pPr>
              <w:pStyle w:val="table"/>
              <w:tabs>
                <w:tab w:val="decimal" w:pos="567"/>
              </w:tabs>
            </w:pPr>
            <w:r>
              <w:t>54,0</w:t>
            </w:r>
          </w:p>
        </w:tc>
        <w:tc>
          <w:tcPr>
            <w:tcW w:w="1324" w:type="dxa"/>
            <w:tcBorders>
              <w:bottom w:val="single" w:sz="12" w:space="0" w:color="auto"/>
            </w:tcBorders>
            <w:vAlign w:val="bottom"/>
          </w:tcPr>
          <w:p w:rsidR="00000000" w:rsidRDefault="00000000">
            <w:pPr>
              <w:pStyle w:val="table"/>
              <w:tabs>
                <w:tab w:val="decimal" w:pos="567"/>
              </w:tabs>
            </w:pPr>
            <w:r>
              <w:t>54,1</w:t>
            </w:r>
          </w:p>
        </w:tc>
        <w:tc>
          <w:tcPr>
            <w:tcW w:w="1984" w:type="dxa"/>
            <w:tcBorders>
              <w:bottom w:val="single" w:sz="12" w:space="0" w:color="auto"/>
            </w:tcBorders>
            <w:vAlign w:val="bottom"/>
          </w:tcPr>
          <w:p w:rsidR="00000000" w:rsidRDefault="00000000">
            <w:pPr>
              <w:pStyle w:val="table"/>
              <w:tabs>
                <w:tab w:val="decimal" w:pos="884"/>
              </w:tabs>
            </w:pPr>
            <w:r>
              <w:t>61,1</w:t>
            </w:r>
          </w:p>
        </w:tc>
      </w:tr>
    </w:tbl>
    <w:p w:rsidR="00000000" w:rsidRDefault="00000000">
      <w:pPr>
        <w:pStyle w:val="SingleTxt"/>
        <w:ind w:firstLine="0"/>
      </w:pPr>
      <w:r>
        <w:rPr>
          <w:i/>
        </w:rPr>
        <w:t>Источник</w:t>
      </w:r>
      <w:r>
        <w:t>: Статистические данные о высшем образовании за 2001–2002 учебный год, ССПЦ</w:t>
      </w:r>
    </w:p>
    <w:p w:rsidR="00000000" w:rsidRDefault="00000000">
      <w:pPr>
        <w:pStyle w:val="SingleTxt"/>
      </w:pPr>
      <w:r>
        <w:t>Государства-участники принимают все соответствующие меры для того, чтобы… обесп</w:t>
      </w:r>
      <w:r>
        <w:t>е</w:t>
      </w:r>
      <w:r>
        <w:t>чить…:</w:t>
      </w:r>
    </w:p>
    <w:p w:rsidR="00000000" w:rsidRDefault="00000000">
      <w:pPr>
        <w:pStyle w:val="SingleTxt"/>
        <w:tabs>
          <w:tab w:val="clear" w:pos="1267"/>
        </w:tabs>
        <w:ind w:left="2246" w:hanging="505"/>
      </w:pPr>
      <w:r>
        <w:rPr>
          <w:b/>
          <w:i/>
        </w:rPr>
        <w:t>b)</w:t>
      </w:r>
      <w:r>
        <w:rPr>
          <w:i/>
        </w:rPr>
        <w:t xml:space="preserve"> </w:t>
      </w:r>
      <w:r>
        <w:rPr>
          <w:i/>
        </w:rPr>
        <w:tab/>
        <w:t>доступ к одинаковым программам обучения, одинаковым экзаменам, преподавательскому составу одинаковой квалификации, школьным помещен</w:t>
      </w:r>
      <w:r>
        <w:rPr>
          <w:i/>
        </w:rPr>
        <w:t>и</w:t>
      </w:r>
      <w:r>
        <w:rPr>
          <w:i/>
        </w:rPr>
        <w:t>ям и оборудованию равного качества.</w:t>
      </w:r>
    </w:p>
    <w:p w:rsidR="00000000" w:rsidRDefault="00000000">
      <w:pPr>
        <w:pStyle w:val="SingleTxt"/>
      </w:pPr>
      <w:r>
        <w:t>Во всех начальных и средних школах действует одна и та же программа и одни и те же правила и процедуры, устанавливаемые министерством образов</w:t>
      </w:r>
      <w:r>
        <w:t>а</w:t>
      </w:r>
      <w:r>
        <w:t>ния. Разумеется, качество образования существенно варьируется по регионам, а также между городскими и сельскими районами.</w:t>
      </w:r>
    </w:p>
    <w:p w:rsidR="00000000" w:rsidRDefault="00000000">
      <w:pPr>
        <w:pStyle w:val="SingleTxt"/>
      </w:pPr>
      <w:r>
        <w:t>Согласно закону, в рамках министерства образования функционируют бесплатные районные начальные школы-интернаты, с помощью которых обе</w:t>
      </w:r>
      <w:r>
        <w:t>с</w:t>
      </w:r>
      <w:r>
        <w:t>печивается осуществление права на образование детьми из малоимущих семей и детьми, проживающими в отдаленных районах. Число таких школ возросло со 153 в 1997 году до 513 в 2000 году. Девочки составляют 35,5 процента всех учащихся школ-интернатов. Девочки, успешно окончи</w:t>
      </w:r>
      <w:r>
        <w:t>в</w:t>
      </w:r>
      <w:r>
        <w:t>шие начальную школу-интернат, но лишенные финансовых средств для дальнейшего обучения, могут поступить в бесплатную профе</w:t>
      </w:r>
      <w:r>
        <w:t>с</w:t>
      </w:r>
      <w:r>
        <w:t>сионально-техническую школу-интернат.</w:t>
      </w:r>
    </w:p>
    <w:p w:rsidR="00000000" w:rsidRDefault="00000000">
      <w:pPr>
        <w:pStyle w:val="SingleTxt"/>
      </w:pPr>
      <w:r>
        <w:t>Соотношение мужчин и женщин в преподавательском составе в целом совпадает с таким соотношением у учащихся. Иными словами, если на начал</w:t>
      </w:r>
      <w:r>
        <w:t>ь</w:t>
      </w:r>
      <w:r>
        <w:t>ных ступенях школьного образования женщины-преподаватели составляют значительную долю преподавательского состава, то на более высоких ступенях образования она сокращается. Аналогичные диспропорции существуют между школами в городских и сельских районах и между самими районами. Эти ди</w:t>
      </w:r>
      <w:r>
        <w:t>с</w:t>
      </w:r>
      <w:r>
        <w:t>пропорции имеют далекоидущие последствия для школьного образования д</w:t>
      </w:r>
      <w:r>
        <w:t>е</w:t>
      </w:r>
      <w:r>
        <w:t>вочек в отдаленных частях страны с с</w:t>
      </w:r>
      <w:r>
        <w:t>о</w:t>
      </w:r>
      <w:r>
        <w:t>храняющимися традициями.</w:t>
      </w:r>
    </w:p>
    <w:p w:rsidR="00000000" w:rsidRDefault="00000000">
      <w:pPr>
        <w:pStyle w:val="SingleTxt"/>
      </w:pPr>
      <w:r>
        <w:t>Однако в сфере высшего образования доля женщин-преподавателей явл</w:t>
      </w:r>
      <w:r>
        <w:t>я</w:t>
      </w:r>
      <w:r>
        <w:t>ется традиционно высокой даже по общемировым стандартам. По данным за 2001–2002 учебный год женщины составляют 36,7 процента всего преподав</w:t>
      </w:r>
      <w:r>
        <w:t>а</w:t>
      </w:r>
      <w:r>
        <w:t>тельского состава, в том числе 36,1 процента старших преподавателей; 29,5 процента ассистентов профессора; 31,5 процента доцентов и 24,7 процента профессоров (таблица 5). Соотношение мужчин и женщин в преподавательском составе варьируется также по областям специализации и совпадает с таким соотношением учащихся университетов, как это было указ</w:t>
      </w:r>
      <w:r>
        <w:t>а</w:t>
      </w:r>
      <w:r>
        <w:t>но выше. Несмотря на сравнительно высокую долю женщин в преподавател</w:t>
      </w:r>
      <w:r>
        <w:t>ь</w:t>
      </w:r>
      <w:r>
        <w:t>ском составе, в университетских административных структурах они предста</w:t>
      </w:r>
      <w:r>
        <w:t>в</w:t>
      </w:r>
      <w:r>
        <w:t>лены в меньшей степени. Мужчины занимают подавляющее большинство должностей декана факультета и ректора ун</w:t>
      </w:r>
      <w:r>
        <w:t>и</w:t>
      </w:r>
      <w:r>
        <w:t>верситета.</w:t>
      </w:r>
    </w:p>
    <w:p w:rsidR="00000000" w:rsidRDefault="00000000">
      <w:pPr>
        <w:pStyle w:val="SingleTxt"/>
        <w:keepNext/>
        <w:ind w:firstLine="0"/>
        <w:jc w:val="left"/>
        <w:rPr>
          <w:b/>
        </w:rPr>
      </w:pPr>
      <w:r>
        <w:rPr>
          <w:b/>
        </w:rPr>
        <w:br w:type="page"/>
        <w:t>Таблица 5. Доля женщин в преподавательском составе высших учебных заведений, 2001–2002 учебный год (в %)</w:t>
      </w:r>
    </w:p>
    <w:tbl>
      <w:tblPr>
        <w:tblW w:w="0" w:type="auto"/>
        <w:tblInd w:w="1278" w:type="dxa"/>
        <w:tblLayout w:type="fixed"/>
        <w:tblLook w:val="0000" w:firstRow="0" w:lastRow="0" w:firstColumn="0" w:lastColumn="0" w:noHBand="0" w:noVBand="0"/>
      </w:tblPr>
      <w:tblGrid>
        <w:gridCol w:w="2126"/>
        <w:gridCol w:w="1748"/>
        <w:gridCol w:w="1748"/>
        <w:gridCol w:w="1749"/>
      </w:tblGrid>
      <w:tr w:rsidR="00000000">
        <w:tblPrEx>
          <w:tblCellMar>
            <w:top w:w="0" w:type="dxa"/>
            <w:bottom w:w="0" w:type="dxa"/>
          </w:tblCellMar>
        </w:tblPrEx>
        <w:trPr>
          <w:tblHeader/>
        </w:trPr>
        <w:tc>
          <w:tcPr>
            <w:tcW w:w="2126" w:type="dxa"/>
            <w:tcBorders>
              <w:top w:val="single" w:sz="4" w:space="0" w:color="auto"/>
              <w:bottom w:val="single" w:sz="12" w:space="0" w:color="auto"/>
            </w:tcBorders>
          </w:tcPr>
          <w:p w:rsidR="00000000" w:rsidRDefault="00000000">
            <w:pPr>
              <w:pStyle w:val="table"/>
            </w:pPr>
          </w:p>
        </w:tc>
        <w:tc>
          <w:tcPr>
            <w:tcW w:w="1748" w:type="dxa"/>
            <w:tcBorders>
              <w:top w:val="single" w:sz="4" w:space="0" w:color="auto"/>
              <w:bottom w:val="single" w:sz="12" w:space="0" w:color="auto"/>
            </w:tcBorders>
          </w:tcPr>
          <w:p w:rsidR="00000000" w:rsidRDefault="00000000">
            <w:pPr>
              <w:pStyle w:val="table"/>
              <w:jc w:val="center"/>
              <w:rPr>
                <w:i/>
              </w:rPr>
            </w:pPr>
            <w:r>
              <w:rPr>
                <w:i/>
              </w:rPr>
              <w:t>Всего</w:t>
            </w:r>
          </w:p>
        </w:tc>
        <w:tc>
          <w:tcPr>
            <w:tcW w:w="1748" w:type="dxa"/>
            <w:tcBorders>
              <w:top w:val="single" w:sz="4" w:space="0" w:color="auto"/>
              <w:bottom w:val="single" w:sz="12" w:space="0" w:color="auto"/>
            </w:tcBorders>
          </w:tcPr>
          <w:p w:rsidR="00000000" w:rsidRDefault="00000000">
            <w:pPr>
              <w:pStyle w:val="table"/>
              <w:jc w:val="center"/>
              <w:rPr>
                <w:i/>
              </w:rPr>
            </w:pPr>
            <w:r>
              <w:rPr>
                <w:i/>
              </w:rPr>
              <w:t>Число же</w:t>
            </w:r>
            <w:r>
              <w:rPr>
                <w:i/>
              </w:rPr>
              <w:t>н</w:t>
            </w:r>
            <w:r>
              <w:rPr>
                <w:i/>
              </w:rPr>
              <w:t>щин</w:t>
            </w:r>
          </w:p>
        </w:tc>
        <w:tc>
          <w:tcPr>
            <w:tcW w:w="1749" w:type="dxa"/>
            <w:tcBorders>
              <w:top w:val="single" w:sz="4" w:space="0" w:color="auto"/>
              <w:bottom w:val="single" w:sz="12" w:space="0" w:color="auto"/>
            </w:tcBorders>
          </w:tcPr>
          <w:p w:rsidR="00000000" w:rsidRDefault="00000000">
            <w:pPr>
              <w:pStyle w:val="table"/>
              <w:jc w:val="center"/>
              <w:rPr>
                <w:i/>
              </w:rPr>
            </w:pPr>
            <w:r>
              <w:rPr>
                <w:i/>
              </w:rPr>
              <w:t>Доля женщин (в %)</w:t>
            </w:r>
          </w:p>
        </w:tc>
      </w:tr>
      <w:tr w:rsidR="00000000">
        <w:tblPrEx>
          <w:tblCellMar>
            <w:top w:w="0" w:type="dxa"/>
            <w:bottom w:w="0" w:type="dxa"/>
          </w:tblCellMar>
        </w:tblPrEx>
        <w:tc>
          <w:tcPr>
            <w:tcW w:w="2126" w:type="dxa"/>
            <w:tcBorders>
              <w:top w:val="single" w:sz="12" w:space="0" w:color="auto"/>
            </w:tcBorders>
          </w:tcPr>
          <w:p w:rsidR="00000000" w:rsidRDefault="00000000">
            <w:pPr>
              <w:pStyle w:val="table"/>
            </w:pPr>
            <w:r>
              <w:t>Профе</w:t>
            </w:r>
            <w:r>
              <w:t>с</w:t>
            </w:r>
            <w:r>
              <w:t>сор</w:t>
            </w:r>
          </w:p>
        </w:tc>
        <w:tc>
          <w:tcPr>
            <w:tcW w:w="1748" w:type="dxa"/>
            <w:tcBorders>
              <w:top w:val="single" w:sz="12" w:space="0" w:color="auto"/>
            </w:tcBorders>
          </w:tcPr>
          <w:p w:rsidR="00000000" w:rsidRDefault="00000000">
            <w:pPr>
              <w:pStyle w:val="table"/>
              <w:tabs>
                <w:tab w:val="decimal" w:pos="1026"/>
              </w:tabs>
            </w:pPr>
            <w:r>
              <w:t>9 529</w:t>
            </w:r>
          </w:p>
        </w:tc>
        <w:tc>
          <w:tcPr>
            <w:tcW w:w="1748" w:type="dxa"/>
            <w:tcBorders>
              <w:top w:val="single" w:sz="12" w:space="0" w:color="auto"/>
            </w:tcBorders>
          </w:tcPr>
          <w:p w:rsidR="00000000" w:rsidRDefault="00000000">
            <w:pPr>
              <w:pStyle w:val="table"/>
              <w:tabs>
                <w:tab w:val="decimal" w:pos="1026"/>
              </w:tabs>
            </w:pPr>
            <w:r>
              <w:t>2 350</w:t>
            </w:r>
          </w:p>
        </w:tc>
        <w:tc>
          <w:tcPr>
            <w:tcW w:w="1749" w:type="dxa"/>
            <w:tcBorders>
              <w:top w:val="single" w:sz="12" w:space="0" w:color="auto"/>
            </w:tcBorders>
          </w:tcPr>
          <w:p w:rsidR="00000000" w:rsidRDefault="00000000">
            <w:pPr>
              <w:pStyle w:val="table"/>
              <w:tabs>
                <w:tab w:val="decimal" w:pos="1026"/>
              </w:tabs>
            </w:pPr>
            <w:r>
              <w:t>24,7</w:t>
            </w:r>
          </w:p>
        </w:tc>
      </w:tr>
      <w:tr w:rsidR="00000000">
        <w:tblPrEx>
          <w:tblCellMar>
            <w:top w:w="0" w:type="dxa"/>
            <w:bottom w:w="0" w:type="dxa"/>
          </w:tblCellMar>
        </w:tblPrEx>
        <w:tc>
          <w:tcPr>
            <w:tcW w:w="2126" w:type="dxa"/>
          </w:tcPr>
          <w:p w:rsidR="00000000" w:rsidRDefault="00000000">
            <w:pPr>
              <w:pStyle w:val="table"/>
            </w:pPr>
            <w:r>
              <w:t>Доцент</w:t>
            </w:r>
          </w:p>
        </w:tc>
        <w:tc>
          <w:tcPr>
            <w:tcW w:w="1748" w:type="dxa"/>
          </w:tcPr>
          <w:p w:rsidR="00000000" w:rsidRDefault="00000000">
            <w:pPr>
              <w:pStyle w:val="table"/>
              <w:tabs>
                <w:tab w:val="decimal" w:pos="1026"/>
              </w:tabs>
            </w:pPr>
            <w:r>
              <w:t>5 576</w:t>
            </w:r>
          </w:p>
        </w:tc>
        <w:tc>
          <w:tcPr>
            <w:tcW w:w="1748" w:type="dxa"/>
          </w:tcPr>
          <w:p w:rsidR="00000000" w:rsidRDefault="00000000">
            <w:pPr>
              <w:pStyle w:val="table"/>
              <w:tabs>
                <w:tab w:val="decimal" w:pos="1026"/>
              </w:tabs>
            </w:pPr>
            <w:r>
              <w:t>1 754</w:t>
            </w:r>
          </w:p>
        </w:tc>
        <w:tc>
          <w:tcPr>
            <w:tcW w:w="1749" w:type="dxa"/>
          </w:tcPr>
          <w:p w:rsidR="00000000" w:rsidRDefault="00000000">
            <w:pPr>
              <w:pStyle w:val="table"/>
              <w:tabs>
                <w:tab w:val="decimal" w:pos="1026"/>
              </w:tabs>
            </w:pPr>
            <w:r>
              <w:t>31,5</w:t>
            </w:r>
          </w:p>
        </w:tc>
      </w:tr>
      <w:tr w:rsidR="00000000">
        <w:tblPrEx>
          <w:tblCellMar>
            <w:top w:w="0" w:type="dxa"/>
            <w:bottom w:w="0" w:type="dxa"/>
          </w:tblCellMar>
        </w:tblPrEx>
        <w:tc>
          <w:tcPr>
            <w:tcW w:w="2126" w:type="dxa"/>
          </w:tcPr>
          <w:p w:rsidR="00000000" w:rsidRDefault="00000000">
            <w:pPr>
              <w:pStyle w:val="table"/>
            </w:pPr>
            <w:r>
              <w:t>Ассистент пр</w:t>
            </w:r>
            <w:r>
              <w:t>о</w:t>
            </w:r>
            <w:r>
              <w:t>фессора</w:t>
            </w:r>
          </w:p>
        </w:tc>
        <w:tc>
          <w:tcPr>
            <w:tcW w:w="1748" w:type="dxa"/>
          </w:tcPr>
          <w:p w:rsidR="00000000" w:rsidRDefault="00000000">
            <w:pPr>
              <w:pStyle w:val="table"/>
              <w:tabs>
                <w:tab w:val="decimal" w:pos="1026"/>
              </w:tabs>
            </w:pPr>
            <w:r>
              <w:t>11 420</w:t>
            </w:r>
          </w:p>
        </w:tc>
        <w:tc>
          <w:tcPr>
            <w:tcW w:w="1748" w:type="dxa"/>
          </w:tcPr>
          <w:p w:rsidR="00000000" w:rsidRDefault="00000000">
            <w:pPr>
              <w:pStyle w:val="table"/>
              <w:tabs>
                <w:tab w:val="decimal" w:pos="1026"/>
              </w:tabs>
            </w:pPr>
            <w:r>
              <w:t>3 368</w:t>
            </w:r>
          </w:p>
        </w:tc>
        <w:tc>
          <w:tcPr>
            <w:tcW w:w="1749" w:type="dxa"/>
          </w:tcPr>
          <w:p w:rsidR="00000000" w:rsidRDefault="00000000">
            <w:pPr>
              <w:pStyle w:val="table"/>
              <w:tabs>
                <w:tab w:val="decimal" w:pos="1026"/>
              </w:tabs>
            </w:pPr>
            <w:r>
              <w:t>29,5</w:t>
            </w:r>
          </w:p>
        </w:tc>
      </w:tr>
      <w:tr w:rsidR="00000000">
        <w:tblPrEx>
          <w:tblCellMar>
            <w:top w:w="0" w:type="dxa"/>
            <w:bottom w:w="0" w:type="dxa"/>
          </w:tblCellMar>
        </w:tblPrEx>
        <w:tc>
          <w:tcPr>
            <w:tcW w:w="2126" w:type="dxa"/>
          </w:tcPr>
          <w:p w:rsidR="00000000" w:rsidRDefault="00000000">
            <w:pPr>
              <w:pStyle w:val="table"/>
            </w:pPr>
            <w:r>
              <w:t>Старший преп</w:t>
            </w:r>
            <w:r>
              <w:t>о</w:t>
            </w:r>
            <w:r>
              <w:t>даватель</w:t>
            </w:r>
          </w:p>
        </w:tc>
        <w:tc>
          <w:tcPr>
            <w:tcW w:w="1748" w:type="dxa"/>
          </w:tcPr>
          <w:p w:rsidR="00000000" w:rsidRDefault="00000000">
            <w:pPr>
              <w:pStyle w:val="table"/>
              <w:tabs>
                <w:tab w:val="decimal" w:pos="1026"/>
              </w:tabs>
            </w:pPr>
            <w:r>
              <w:t>10 976</w:t>
            </w:r>
          </w:p>
        </w:tc>
        <w:tc>
          <w:tcPr>
            <w:tcW w:w="1748" w:type="dxa"/>
          </w:tcPr>
          <w:p w:rsidR="00000000" w:rsidRDefault="00000000">
            <w:pPr>
              <w:pStyle w:val="table"/>
              <w:tabs>
                <w:tab w:val="decimal" w:pos="1026"/>
              </w:tabs>
            </w:pPr>
            <w:r>
              <w:t>3 958</w:t>
            </w:r>
          </w:p>
        </w:tc>
        <w:tc>
          <w:tcPr>
            <w:tcW w:w="1749" w:type="dxa"/>
          </w:tcPr>
          <w:p w:rsidR="00000000" w:rsidRDefault="00000000">
            <w:pPr>
              <w:pStyle w:val="table"/>
              <w:tabs>
                <w:tab w:val="decimal" w:pos="1026"/>
              </w:tabs>
            </w:pPr>
            <w:r>
              <w:t>36,1</w:t>
            </w:r>
          </w:p>
        </w:tc>
      </w:tr>
      <w:tr w:rsidR="00000000">
        <w:tblPrEx>
          <w:tblCellMar>
            <w:top w:w="0" w:type="dxa"/>
            <w:bottom w:w="0" w:type="dxa"/>
          </w:tblCellMar>
        </w:tblPrEx>
        <w:tc>
          <w:tcPr>
            <w:tcW w:w="2126" w:type="dxa"/>
          </w:tcPr>
          <w:p w:rsidR="00000000" w:rsidRDefault="00000000">
            <w:pPr>
              <w:pStyle w:val="table"/>
            </w:pPr>
            <w:r>
              <w:t>Препод</w:t>
            </w:r>
            <w:r>
              <w:t>а</w:t>
            </w:r>
            <w:r>
              <w:t>ватель языка</w:t>
            </w:r>
          </w:p>
        </w:tc>
        <w:tc>
          <w:tcPr>
            <w:tcW w:w="1748" w:type="dxa"/>
          </w:tcPr>
          <w:p w:rsidR="00000000" w:rsidRDefault="00000000">
            <w:pPr>
              <w:pStyle w:val="table"/>
              <w:tabs>
                <w:tab w:val="decimal" w:pos="1026"/>
              </w:tabs>
            </w:pPr>
            <w:r>
              <w:t>5 516</w:t>
            </w:r>
          </w:p>
        </w:tc>
        <w:tc>
          <w:tcPr>
            <w:tcW w:w="1748" w:type="dxa"/>
          </w:tcPr>
          <w:p w:rsidR="00000000" w:rsidRDefault="00000000">
            <w:pPr>
              <w:pStyle w:val="table"/>
              <w:tabs>
                <w:tab w:val="decimal" w:pos="1026"/>
              </w:tabs>
            </w:pPr>
            <w:r>
              <w:t>3 121</w:t>
            </w:r>
          </w:p>
        </w:tc>
        <w:tc>
          <w:tcPr>
            <w:tcW w:w="1749" w:type="dxa"/>
          </w:tcPr>
          <w:p w:rsidR="00000000" w:rsidRDefault="00000000">
            <w:pPr>
              <w:pStyle w:val="table"/>
              <w:tabs>
                <w:tab w:val="decimal" w:pos="1026"/>
              </w:tabs>
            </w:pPr>
            <w:r>
              <w:t>56,6</w:t>
            </w:r>
          </w:p>
        </w:tc>
      </w:tr>
      <w:tr w:rsidR="00000000">
        <w:tblPrEx>
          <w:tblCellMar>
            <w:top w:w="0" w:type="dxa"/>
            <w:bottom w:w="0" w:type="dxa"/>
          </w:tblCellMar>
        </w:tblPrEx>
        <w:tc>
          <w:tcPr>
            <w:tcW w:w="2126" w:type="dxa"/>
          </w:tcPr>
          <w:p w:rsidR="00000000" w:rsidRDefault="00000000">
            <w:pPr>
              <w:pStyle w:val="table"/>
            </w:pPr>
            <w:r>
              <w:t>Специ</w:t>
            </w:r>
            <w:r>
              <w:t>а</w:t>
            </w:r>
            <w:r>
              <w:t>лист</w:t>
            </w:r>
          </w:p>
        </w:tc>
        <w:tc>
          <w:tcPr>
            <w:tcW w:w="1748" w:type="dxa"/>
          </w:tcPr>
          <w:p w:rsidR="00000000" w:rsidRDefault="00000000">
            <w:pPr>
              <w:pStyle w:val="table"/>
              <w:tabs>
                <w:tab w:val="decimal" w:pos="1026"/>
              </w:tabs>
            </w:pPr>
            <w:r>
              <w:t>2 309</w:t>
            </w:r>
          </w:p>
        </w:tc>
        <w:tc>
          <w:tcPr>
            <w:tcW w:w="1748" w:type="dxa"/>
          </w:tcPr>
          <w:p w:rsidR="00000000" w:rsidRDefault="00000000">
            <w:pPr>
              <w:pStyle w:val="table"/>
              <w:tabs>
                <w:tab w:val="decimal" w:pos="1026"/>
              </w:tabs>
            </w:pPr>
            <w:r>
              <w:t>977</w:t>
            </w:r>
          </w:p>
        </w:tc>
        <w:tc>
          <w:tcPr>
            <w:tcW w:w="1749" w:type="dxa"/>
          </w:tcPr>
          <w:p w:rsidR="00000000" w:rsidRDefault="00000000">
            <w:pPr>
              <w:pStyle w:val="table"/>
              <w:tabs>
                <w:tab w:val="decimal" w:pos="1026"/>
              </w:tabs>
            </w:pPr>
            <w:r>
              <w:t>42,3</w:t>
            </w:r>
          </w:p>
        </w:tc>
      </w:tr>
      <w:tr w:rsidR="00000000">
        <w:tblPrEx>
          <w:tblCellMar>
            <w:top w:w="0" w:type="dxa"/>
            <w:bottom w:w="0" w:type="dxa"/>
          </w:tblCellMar>
        </w:tblPrEx>
        <w:tc>
          <w:tcPr>
            <w:tcW w:w="2126" w:type="dxa"/>
          </w:tcPr>
          <w:p w:rsidR="00000000" w:rsidRDefault="00000000">
            <w:pPr>
              <w:pStyle w:val="table"/>
            </w:pPr>
            <w:r>
              <w:t>Научный сотру</w:t>
            </w:r>
            <w:r>
              <w:t>д</w:t>
            </w:r>
            <w:r>
              <w:t>ник</w:t>
            </w:r>
          </w:p>
        </w:tc>
        <w:tc>
          <w:tcPr>
            <w:tcW w:w="1748" w:type="dxa"/>
          </w:tcPr>
          <w:p w:rsidR="00000000" w:rsidRDefault="00000000">
            <w:pPr>
              <w:pStyle w:val="table"/>
              <w:tabs>
                <w:tab w:val="decimal" w:pos="1026"/>
              </w:tabs>
            </w:pPr>
            <w:r>
              <w:t>25 933</w:t>
            </w:r>
          </w:p>
        </w:tc>
        <w:tc>
          <w:tcPr>
            <w:tcW w:w="1748" w:type="dxa"/>
          </w:tcPr>
          <w:p w:rsidR="00000000" w:rsidRDefault="00000000">
            <w:pPr>
              <w:pStyle w:val="table"/>
              <w:tabs>
                <w:tab w:val="decimal" w:pos="1026"/>
              </w:tabs>
            </w:pPr>
            <w:r>
              <w:t>10 611</w:t>
            </w:r>
          </w:p>
        </w:tc>
        <w:tc>
          <w:tcPr>
            <w:tcW w:w="1749" w:type="dxa"/>
          </w:tcPr>
          <w:p w:rsidR="00000000" w:rsidRDefault="00000000">
            <w:pPr>
              <w:pStyle w:val="table"/>
              <w:tabs>
                <w:tab w:val="decimal" w:pos="1026"/>
              </w:tabs>
            </w:pPr>
            <w:r>
              <w:t>40,9</w:t>
            </w:r>
          </w:p>
        </w:tc>
      </w:tr>
      <w:tr w:rsidR="00000000">
        <w:tblPrEx>
          <w:tblCellMar>
            <w:top w:w="0" w:type="dxa"/>
            <w:bottom w:w="0" w:type="dxa"/>
          </w:tblCellMar>
        </w:tblPrEx>
        <w:tc>
          <w:tcPr>
            <w:tcW w:w="2126" w:type="dxa"/>
          </w:tcPr>
          <w:p w:rsidR="00000000" w:rsidRDefault="00000000">
            <w:pPr>
              <w:pStyle w:val="table"/>
            </w:pPr>
            <w:r>
              <w:t>Перев</w:t>
            </w:r>
            <w:r>
              <w:t>о</w:t>
            </w:r>
            <w:r>
              <w:t>дчик</w:t>
            </w:r>
          </w:p>
        </w:tc>
        <w:tc>
          <w:tcPr>
            <w:tcW w:w="1748" w:type="dxa"/>
          </w:tcPr>
          <w:p w:rsidR="00000000" w:rsidRDefault="00000000">
            <w:pPr>
              <w:pStyle w:val="table"/>
              <w:tabs>
                <w:tab w:val="decimal" w:pos="1026"/>
              </w:tabs>
            </w:pPr>
            <w:r>
              <w:t>17</w:t>
            </w:r>
          </w:p>
        </w:tc>
        <w:tc>
          <w:tcPr>
            <w:tcW w:w="1748" w:type="dxa"/>
          </w:tcPr>
          <w:p w:rsidR="00000000" w:rsidRDefault="00000000">
            <w:pPr>
              <w:pStyle w:val="table"/>
              <w:tabs>
                <w:tab w:val="decimal" w:pos="1026"/>
              </w:tabs>
            </w:pPr>
            <w:r>
              <w:t>9</w:t>
            </w:r>
          </w:p>
        </w:tc>
        <w:tc>
          <w:tcPr>
            <w:tcW w:w="1749" w:type="dxa"/>
          </w:tcPr>
          <w:p w:rsidR="00000000" w:rsidRDefault="00000000">
            <w:pPr>
              <w:pStyle w:val="table"/>
              <w:tabs>
                <w:tab w:val="decimal" w:pos="1026"/>
              </w:tabs>
            </w:pPr>
            <w:r>
              <w:t>52,9</w:t>
            </w:r>
          </w:p>
        </w:tc>
      </w:tr>
      <w:tr w:rsidR="00000000">
        <w:tblPrEx>
          <w:tblCellMar>
            <w:top w:w="0" w:type="dxa"/>
            <w:bottom w:w="0" w:type="dxa"/>
          </w:tblCellMar>
        </w:tblPrEx>
        <w:tc>
          <w:tcPr>
            <w:tcW w:w="2126" w:type="dxa"/>
          </w:tcPr>
          <w:p w:rsidR="00000000" w:rsidRDefault="00000000">
            <w:pPr>
              <w:pStyle w:val="table"/>
            </w:pPr>
            <w:r>
              <w:t>Специалист по план</w:t>
            </w:r>
            <w:r>
              <w:t>и</w:t>
            </w:r>
            <w:r>
              <w:t>рованию учебного пр</w:t>
            </w:r>
            <w:r>
              <w:t>о</w:t>
            </w:r>
            <w:r>
              <w:t>цесса и подгото</w:t>
            </w:r>
            <w:r>
              <w:t>в</w:t>
            </w:r>
            <w:r>
              <w:t>ки</w:t>
            </w:r>
          </w:p>
        </w:tc>
        <w:tc>
          <w:tcPr>
            <w:tcW w:w="1748" w:type="dxa"/>
          </w:tcPr>
          <w:p w:rsidR="00000000" w:rsidRDefault="00000000">
            <w:pPr>
              <w:pStyle w:val="table"/>
              <w:tabs>
                <w:tab w:val="decimal" w:pos="1026"/>
              </w:tabs>
            </w:pPr>
            <w:r>
              <w:t>14</w:t>
            </w:r>
          </w:p>
        </w:tc>
        <w:tc>
          <w:tcPr>
            <w:tcW w:w="1748" w:type="dxa"/>
          </w:tcPr>
          <w:p w:rsidR="00000000" w:rsidRDefault="00000000">
            <w:pPr>
              <w:pStyle w:val="table"/>
              <w:tabs>
                <w:tab w:val="decimal" w:pos="1026"/>
              </w:tabs>
            </w:pPr>
            <w:r>
              <w:t>6</w:t>
            </w:r>
          </w:p>
        </w:tc>
        <w:tc>
          <w:tcPr>
            <w:tcW w:w="1749" w:type="dxa"/>
          </w:tcPr>
          <w:p w:rsidR="00000000" w:rsidRDefault="00000000">
            <w:pPr>
              <w:pStyle w:val="table"/>
              <w:tabs>
                <w:tab w:val="decimal" w:pos="1026"/>
              </w:tabs>
            </w:pPr>
            <w:r>
              <w:t>42,9</w:t>
            </w:r>
          </w:p>
        </w:tc>
      </w:tr>
      <w:tr w:rsidR="00000000">
        <w:tblPrEx>
          <w:tblCellMar>
            <w:top w:w="0" w:type="dxa"/>
            <w:bottom w:w="0" w:type="dxa"/>
          </w:tblCellMar>
        </w:tblPrEx>
        <w:tc>
          <w:tcPr>
            <w:tcW w:w="2126" w:type="dxa"/>
            <w:tcBorders>
              <w:bottom w:val="single" w:sz="12" w:space="0" w:color="auto"/>
            </w:tcBorders>
          </w:tcPr>
          <w:p w:rsidR="00000000" w:rsidRDefault="00000000">
            <w:pPr>
              <w:pStyle w:val="table"/>
              <w:rPr>
                <w:b/>
              </w:rPr>
            </w:pPr>
            <w:r>
              <w:rPr>
                <w:b/>
              </w:rPr>
              <w:t>ИТОГО</w:t>
            </w:r>
          </w:p>
        </w:tc>
        <w:tc>
          <w:tcPr>
            <w:tcW w:w="1748" w:type="dxa"/>
            <w:tcBorders>
              <w:bottom w:val="single" w:sz="12" w:space="0" w:color="auto"/>
            </w:tcBorders>
          </w:tcPr>
          <w:p w:rsidR="00000000" w:rsidRDefault="00000000">
            <w:pPr>
              <w:pStyle w:val="table"/>
              <w:tabs>
                <w:tab w:val="decimal" w:pos="1026"/>
              </w:tabs>
              <w:rPr>
                <w:b/>
              </w:rPr>
            </w:pPr>
            <w:r>
              <w:rPr>
                <w:b/>
              </w:rPr>
              <w:t>71 290</w:t>
            </w:r>
          </w:p>
        </w:tc>
        <w:tc>
          <w:tcPr>
            <w:tcW w:w="1748" w:type="dxa"/>
            <w:tcBorders>
              <w:bottom w:val="single" w:sz="12" w:space="0" w:color="auto"/>
            </w:tcBorders>
          </w:tcPr>
          <w:p w:rsidR="00000000" w:rsidRDefault="00000000">
            <w:pPr>
              <w:pStyle w:val="table"/>
              <w:tabs>
                <w:tab w:val="decimal" w:pos="1026"/>
              </w:tabs>
              <w:rPr>
                <w:b/>
              </w:rPr>
            </w:pPr>
            <w:r>
              <w:rPr>
                <w:b/>
              </w:rPr>
              <w:t>26 154</w:t>
            </w:r>
          </w:p>
        </w:tc>
        <w:tc>
          <w:tcPr>
            <w:tcW w:w="1749" w:type="dxa"/>
            <w:tcBorders>
              <w:bottom w:val="single" w:sz="12" w:space="0" w:color="auto"/>
            </w:tcBorders>
          </w:tcPr>
          <w:p w:rsidR="00000000" w:rsidRDefault="00000000">
            <w:pPr>
              <w:pStyle w:val="table"/>
              <w:tabs>
                <w:tab w:val="decimal" w:pos="1026"/>
              </w:tabs>
              <w:rPr>
                <w:b/>
              </w:rPr>
            </w:pPr>
            <w:r>
              <w:rPr>
                <w:b/>
              </w:rPr>
              <w:t>36,7</w:t>
            </w:r>
          </w:p>
        </w:tc>
      </w:tr>
    </w:tbl>
    <w:p w:rsidR="00000000" w:rsidRDefault="00000000">
      <w:pPr>
        <w:pStyle w:val="SingleTxt"/>
        <w:ind w:firstLine="0"/>
      </w:pPr>
      <w:r>
        <w:rPr>
          <w:i/>
        </w:rPr>
        <w:t>Источник</w:t>
      </w:r>
      <w:r>
        <w:t>: Статистические данные о высшем образовании за 2001–2002 учебный год, ССПЦ</w:t>
      </w:r>
    </w:p>
    <w:p w:rsidR="00000000" w:rsidRDefault="00000000">
      <w:pPr>
        <w:pStyle w:val="SingleTxt"/>
      </w:pPr>
      <w:r>
        <w:t>Государства-участники принимают все соответствующие меры для того, чтобы… обесп</w:t>
      </w:r>
      <w:r>
        <w:t>е</w:t>
      </w:r>
      <w:r>
        <w:t>чить…:</w:t>
      </w:r>
    </w:p>
    <w:p w:rsidR="00000000" w:rsidRDefault="00000000">
      <w:pPr>
        <w:pStyle w:val="SingleTxt"/>
        <w:tabs>
          <w:tab w:val="clear" w:pos="1267"/>
        </w:tabs>
        <w:ind w:left="2246" w:hanging="505"/>
        <w:rPr>
          <w:i/>
        </w:rPr>
      </w:pPr>
      <w:r>
        <w:rPr>
          <w:b/>
          <w:i/>
        </w:rPr>
        <w:t>с)</w:t>
      </w:r>
      <w:r>
        <w:rPr>
          <w:i/>
        </w:rPr>
        <w:t xml:space="preserve"> </w:t>
      </w:r>
      <w:r>
        <w:rPr>
          <w:i/>
        </w:rPr>
        <w:tab/>
        <w:t>устранение любой стереотипной концепции роли мужчин и женщин на всех уровнях и во всех формах обучения путем поощрения совм</w:t>
      </w:r>
      <w:r>
        <w:rPr>
          <w:i/>
        </w:rPr>
        <w:t>е</w:t>
      </w:r>
      <w:r>
        <w:rPr>
          <w:i/>
        </w:rPr>
        <w:t>стного обучения и других видов обучения, которые будут содейс</w:t>
      </w:r>
      <w:r>
        <w:rPr>
          <w:i/>
        </w:rPr>
        <w:t>т</w:t>
      </w:r>
      <w:r>
        <w:rPr>
          <w:i/>
        </w:rPr>
        <w:t>вовать достижению этой цели, и, в частности, путем пересмотра учебных пособий и школьных программ и адаптации методов обуч</w:t>
      </w:r>
      <w:r>
        <w:rPr>
          <w:i/>
        </w:rPr>
        <w:t>е</w:t>
      </w:r>
      <w:r>
        <w:rPr>
          <w:i/>
        </w:rPr>
        <w:t>ния.</w:t>
      </w:r>
    </w:p>
    <w:p w:rsidR="00000000" w:rsidRDefault="00000000">
      <w:pPr>
        <w:pStyle w:val="SingleTxt"/>
      </w:pPr>
      <w:r>
        <w:t>Учебные программы и пособия по-прежнему содержат дискриминацио</w:t>
      </w:r>
      <w:r>
        <w:t>н</w:t>
      </w:r>
      <w:r>
        <w:t>ные элементы по отношению к женщине и стереотипируют роль мужчин и женщин. Для того, чтобы устранить такие элементы из учебной программы, ГУЖ предусмотрело соответствующие меры в своей программе работы на 2000–2001 годы, а также поддержало осуществление научных проектов в этой области и взяло на себя публикацию и распространение их результатов.</w:t>
      </w:r>
    </w:p>
    <w:p w:rsidR="00000000" w:rsidRDefault="00000000">
      <w:pPr>
        <w:pStyle w:val="SingleTxt"/>
      </w:pPr>
      <w:r>
        <w:t>При пересмотре своих рабочих методов и процедур министерство образ</w:t>
      </w:r>
      <w:r>
        <w:t>о</w:t>
      </w:r>
      <w:r>
        <w:t>вания также включило задачу достижения гендерного равенства в число своих приоритетов. Так, удалось достичь значительного прогресса в области отраж</w:t>
      </w:r>
      <w:r>
        <w:t>е</w:t>
      </w:r>
      <w:r>
        <w:t>ния проблемы прав человека, особенно прав человека женщин и детей, в пр</w:t>
      </w:r>
      <w:r>
        <w:t>о</w:t>
      </w:r>
      <w:r>
        <w:t>граммах курсов и в обновленных учебниках: в ходе этого процесса были и</w:t>
      </w:r>
      <w:r>
        <w:t>с</w:t>
      </w:r>
      <w:r>
        <w:t>ключены дискриминационные утверждения, изобр</w:t>
      </w:r>
      <w:r>
        <w:t>а</w:t>
      </w:r>
      <w:r>
        <w:t>жения и т. п.</w:t>
      </w:r>
    </w:p>
    <w:p w:rsidR="00000000" w:rsidRDefault="00000000">
      <w:pPr>
        <w:pStyle w:val="SingleTxt"/>
      </w:pPr>
      <w:r>
        <w:t>Кроме того, была начата реализация целого ряда проектов по повышению уровня информированности относительно принципов демократии и эффекти</w:t>
      </w:r>
      <w:r>
        <w:t>в</w:t>
      </w:r>
      <w:r>
        <w:t>ного управления. Наиболее важным из них является проект под названием "Наука быть гражданином в демократическом обществе", осуществляемый в рамках сотрудничества государств-членов Совета Европы. Важное значение в проекте придается обеспечению гендерного равенства и равного участия же</w:t>
      </w:r>
      <w:r>
        <w:t>н</w:t>
      </w:r>
      <w:r>
        <w:t>щин в процессе принятия решений.</w:t>
      </w:r>
    </w:p>
    <w:p w:rsidR="00000000" w:rsidRDefault="00000000">
      <w:pPr>
        <w:pStyle w:val="SingleTxt"/>
      </w:pPr>
      <w:r>
        <w:t>В соответствии с протоколом об организации просвещения по правам ч</w:t>
      </w:r>
      <w:r>
        <w:t>е</w:t>
      </w:r>
      <w:r>
        <w:t>ловека в школах, подписанным государственным министерством, курирующим вопросы прав человека, и министерством образования, в 1998-1999 учебном году была пересмотрена программа для учащихся седьмого и восьмого кла</w:t>
      </w:r>
      <w:r>
        <w:t>с</w:t>
      </w:r>
      <w:r>
        <w:t>сов: в расписание был включен учебный курс под названием "Права граждан</w:t>
      </w:r>
      <w:r>
        <w:t>и</w:t>
      </w:r>
      <w:r>
        <w:t>на и человека" (один час в неделю). Кроме того, с 1999 года предлагается ф</w:t>
      </w:r>
      <w:r>
        <w:t>а</w:t>
      </w:r>
      <w:r>
        <w:t>культативный курс по теме "Демократия и права человека в средней школе". В 1998 году был учрежден Национальный комитет по проведению Десятилетия образования в области прав человека (1995-2004 годы). Документы, изучаемые в рамках других курсов по правам человека, включают, в частности, Конве</w:t>
      </w:r>
      <w:r>
        <w:t>н</w:t>
      </w:r>
      <w:r>
        <w:t>цию о ликвидации всех форм дискриминации в отношении женщин, перечень неправительственных организаций, осуществляющих деятельность в области прав человека, и соответс</w:t>
      </w:r>
      <w:r>
        <w:t>т</w:t>
      </w:r>
      <w:r>
        <w:t>вующие документы об их инициативах.</w:t>
      </w:r>
    </w:p>
    <w:p w:rsidR="00000000" w:rsidRDefault="00000000">
      <w:pPr>
        <w:pStyle w:val="SingleTxt"/>
      </w:pPr>
      <w:r>
        <w:t>Специально созданные комиссии пересматривают содержание учебников в контексте защиты прав человека и обеспечения гендерного равенства с уч</w:t>
      </w:r>
      <w:r>
        <w:t>е</w:t>
      </w:r>
      <w:r>
        <w:t>том принципов Конвенции о ликвидации всех форм дискриминации в отнош</w:t>
      </w:r>
      <w:r>
        <w:t>е</w:t>
      </w:r>
      <w:r>
        <w:t>нии женщин и критериев, выработанных Национальным комитетом по пров</w:t>
      </w:r>
      <w:r>
        <w:t>е</w:t>
      </w:r>
      <w:r>
        <w:t>дению Десятилетия образования в области прав человека. Такие критерии, в частности, включают следующее: в учебниках должно быть представлено ра</w:t>
      </w:r>
      <w:r>
        <w:t>в</w:t>
      </w:r>
      <w:r>
        <w:t>ное число персонажей мужского и женского пола; персонажи мужского и же</w:t>
      </w:r>
      <w:r>
        <w:t>н</w:t>
      </w:r>
      <w:r>
        <w:t>ского пола должны проявлять взаимное уважение и обладать равными правами и возможностями; обязанности по дому и на работе должны быть распредел</w:t>
      </w:r>
      <w:r>
        <w:t>е</w:t>
      </w:r>
      <w:r>
        <w:t>ны между персонажами мужского и женского пола поровну; персонажи же</w:t>
      </w:r>
      <w:r>
        <w:t>н</w:t>
      </w:r>
      <w:r>
        <w:t>ского пола, занимающиеся государственной деятельностью, должны предста</w:t>
      </w:r>
      <w:r>
        <w:t>в</w:t>
      </w:r>
      <w:r>
        <w:t>ляться в свободной от условностей роли политических деятелей и руководит</w:t>
      </w:r>
      <w:r>
        <w:t>е</w:t>
      </w:r>
      <w:r>
        <w:t>лей; и персонажи мужского и женского пола должны выполнять одинаковые родительские обязанности и фун</w:t>
      </w:r>
      <w:r>
        <w:t>к</w:t>
      </w:r>
      <w:r>
        <w:t>ции.</w:t>
      </w:r>
    </w:p>
    <w:p w:rsidR="00000000" w:rsidRDefault="00000000">
      <w:pPr>
        <w:pStyle w:val="SingleTxt"/>
      </w:pPr>
      <w:r>
        <w:t>Государства-участники принимают все соответствующие меры для того, чт</w:t>
      </w:r>
      <w:r>
        <w:t>о</w:t>
      </w:r>
      <w:r>
        <w:t>бы... обеспечить...:</w:t>
      </w:r>
    </w:p>
    <w:p w:rsidR="00000000" w:rsidRDefault="00000000">
      <w:pPr>
        <w:pStyle w:val="SingleTxt"/>
        <w:tabs>
          <w:tab w:val="clear" w:pos="1267"/>
        </w:tabs>
        <w:ind w:left="2246" w:hanging="505"/>
        <w:rPr>
          <w:i/>
        </w:rPr>
      </w:pPr>
      <w:r>
        <w:rPr>
          <w:b/>
          <w:i/>
          <w:lang w:val="en-US"/>
        </w:rPr>
        <w:t>d</w:t>
      </w:r>
      <w:r>
        <w:rPr>
          <w:b/>
          <w:i/>
        </w:rPr>
        <w:t>)</w:t>
      </w:r>
      <w:r>
        <w:t xml:space="preserve"> </w:t>
      </w:r>
      <w:r>
        <w:tab/>
      </w:r>
      <w:r>
        <w:rPr>
          <w:i/>
        </w:rPr>
        <w:t>одинаковые возможности получения стипендий и других пособий на образование.</w:t>
      </w:r>
    </w:p>
    <w:p w:rsidR="00000000" w:rsidRDefault="00000000">
      <w:pPr>
        <w:pStyle w:val="SingleTxt"/>
      </w:pPr>
      <w:r>
        <w:t>Шестнадцатый Национальный конгресс по образованию настоятельно призвал государственные органы поощрять учащихся девочек к подаче заявл</w:t>
      </w:r>
      <w:r>
        <w:t>е</w:t>
      </w:r>
      <w:r>
        <w:t>ний о сдаче экзаменов на получение государственной стипендии и зачислении в бесплатные школы-интернаты, а также призвал эти органы не взимать с дев</w:t>
      </w:r>
      <w:r>
        <w:t>у</w:t>
      </w:r>
      <w:r>
        <w:t>шек плату за такие экзамены.</w:t>
      </w:r>
    </w:p>
    <w:p w:rsidR="00000000" w:rsidRDefault="00000000">
      <w:pPr>
        <w:pStyle w:val="SingleTxt"/>
      </w:pPr>
      <w:r>
        <w:t>По данным министерства образования о распределении стипендий среди учащихся начальной и средней школы, на долю девочек приходится 36,3 процента всех стипендий.</w:t>
      </w:r>
    </w:p>
    <w:p w:rsidR="00000000" w:rsidRDefault="00000000">
      <w:pPr>
        <w:pStyle w:val="SingleTxt"/>
      </w:pPr>
      <w:r>
        <w:t>В 2001 году на долю девушек приходилось 44,4 процента всех заявлений о предоставлении ссуды на образование, поданных в Управление по предоста</w:t>
      </w:r>
      <w:r>
        <w:t>в</w:t>
      </w:r>
      <w:r>
        <w:t>лению ссуд и выделению мест в общежитии. На девушек была выделена сумма, составляющая 55,1 процента всех соответствующих ассигнований. Это свид</w:t>
      </w:r>
      <w:r>
        <w:t>е</w:t>
      </w:r>
      <w:r>
        <w:t>тельствует о росте по сравнению с предыдущими годами. Кроме того, девушки составили 44,5 процента всех учащихся, которым вышеуказанное Управление выделило места в общежитии. Вместе с тем в 2000-2001 учебном году деву</w:t>
      </w:r>
      <w:r>
        <w:t>ш</w:t>
      </w:r>
      <w:r>
        <w:t>кам было предоставлено лишь 26 процентов общей площади жилья, снятого для уч</w:t>
      </w:r>
      <w:r>
        <w:t>а</w:t>
      </w:r>
      <w:r>
        <w:t>щихся средних школ и университетов.</w:t>
      </w:r>
    </w:p>
    <w:p w:rsidR="00000000" w:rsidRDefault="00000000">
      <w:pPr>
        <w:pStyle w:val="SingleTxt"/>
      </w:pPr>
      <w:r>
        <w:t>Государства-участники принимают все соответствующие меры для того, чт</w:t>
      </w:r>
      <w:r>
        <w:t>о</w:t>
      </w:r>
      <w:r>
        <w:t>бы... обеспечить...:</w:t>
      </w:r>
    </w:p>
    <w:p w:rsidR="00000000" w:rsidRDefault="00000000">
      <w:pPr>
        <w:pStyle w:val="SingleTxt"/>
        <w:tabs>
          <w:tab w:val="clear" w:pos="1267"/>
        </w:tabs>
        <w:ind w:left="2246" w:hanging="505"/>
        <w:rPr>
          <w:i/>
        </w:rPr>
      </w:pPr>
      <w:r>
        <w:rPr>
          <w:b/>
          <w:i/>
        </w:rPr>
        <w:t>е)</w:t>
      </w:r>
      <w:r>
        <w:rPr>
          <w:i/>
        </w:rPr>
        <w:t xml:space="preserve"> </w:t>
      </w:r>
      <w:r>
        <w:rPr>
          <w:i/>
        </w:rPr>
        <w:tab/>
        <w:t>одинаковые возможности доступа к программам продолжения о</w:t>
      </w:r>
      <w:r>
        <w:rPr>
          <w:i/>
        </w:rPr>
        <w:t>б</w:t>
      </w:r>
      <w:r>
        <w:rPr>
          <w:i/>
        </w:rPr>
        <w:t>разования, включая программы распространения грамотности ср</w:t>
      </w:r>
      <w:r>
        <w:rPr>
          <w:i/>
        </w:rPr>
        <w:t>е</w:t>
      </w:r>
      <w:r>
        <w:rPr>
          <w:i/>
        </w:rPr>
        <w:t>ди взрослых и программы функциональной грамотности, направле</w:t>
      </w:r>
      <w:r>
        <w:rPr>
          <w:i/>
        </w:rPr>
        <w:t>н</w:t>
      </w:r>
      <w:r>
        <w:rPr>
          <w:i/>
        </w:rPr>
        <w:t>ные, в частности, на сокращение как можно скорее любого разрыва в знаниях мужчин и женщин.</w:t>
      </w:r>
    </w:p>
    <w:p w:rsidR="00000000" w:rsidRDefault="00000000">
      <w:pPr>
        <w:pStyle w:val="SingleTxt"/>
      </w:pPr>
      <w:r>
        <w:t>Министерство образования предоставляет разнообразные услуги, цель к</w:t>
      </w:r>
      <w:r>
        <w:t>о</w:t>
      </w:r>
      <w:r>
        <w:t>торых – сократить разрыв между уровнем грамотности мужчин и женщин и дать взрослым возможность продолжать свое образование. Одной из форм т</w:t>
      </w:r>
      <w:r>
        <w:t>а</w:t>
      </w:r>
      <w:r>
        <w:t>ких услуг является заочное обучение, позволяющее лицам, бросившим школу, завершить свое образование и стимулирующее их к продолжению образования на более высоких ступенях. Так, в 1997 году, после принятия закона о обяз</w:t>
      </w:r>
      <w:r>
        <w:t>а</w:t>
      </w:r>
      <w:r>
        <w:t>тельном восьмилетнем базовом образовании, была создана система открытых школ. К 2001-2002 учебному году в открытых начальных школах обучалось в общей сложности 90 906 женщин, или 41,4 процента всех обучающихся в таких школах. Кроме того, женщины составляют 32,6 процента всех выпускников о</w:t>
      </w:r>
      <w:r>
        <w:t>т</w:t>
      </w:r>
      <w:r>
        <w:t>крытых средних школ и 30 процентов выпускников открытых профессионал</w:t>
      </w:r>
      <w:r>
        <w:t>ь</w:t>
      </w:r>
      <w:r>
        <w:t>но-технических школ. В семи провинциях действуют несколько открытых учебных центров для девочек, которые дают возможность девочкам в сельских районах реализовать свое право на образ</w:t>
      </w:r>
      <w:r>
        <w:t>о</w:t>
      </w:r>
      <w:r>
        <w:t>вание.</w:t>
      </w:r>
    </w:p>
    <w:p w:rsidR="00000000" w:rsidRDefault="00000000">
      <w:pPr>
        <w:pStyle w:val="SingleTxt"/>
      </w:pPr>
      <w:r>
        <w:t>Помимо возможностей получения формального образования, существуют различные программы неформального образования для взрослых мужчин и женщин, цель которых – повышение грамотности, ознакомление с правами и обязанностями гражданина, привитие профессиональных навыков и т.д. Же</w:t>
      </w:r>
      <w:r>
        <w:t>н</w:t>
      </w:r>
      <w:r>
        <w:t>щины составляют 73 процента всех тех, кто был охвачен 237 284 программами, организованными с 1996 года. Вместе с тем обычно женщины выбирают такие учебные курсы, как искусство ведения домашнего хозяйства, ремесла и изуч</w:t>
      </w:r>
      <w:r>
        <w:t>е</w:t>
      </w:r>
      <w:r>
        <w:t>ние Корана, а также – в меньшей степени – курсы обучения грамоте. За период с 1995 по 2002 год благодаря участию в 34 801 программе обучения грамоте грамотой овладели 398 329 женщин (52 процента всех участников). Это свид</w:t>
      </w:r>
      <w:r>
        <w:t>е</w:t>
      </w:r>
      <w:r>
        <w:t>тельствует о значительном росте по сравн</w:t>
      </w:r>
      <w:r>
        <w:t>е</w:t>
      </w:r>
      <w:r>
        <w:t>нию с предыдущим периодом (1990-1995 годы): тогда 7 462 программами были охвачены 72 680 женщин, или 36 процентов всех учас</w:t>
      </w:r>
      <w:r>
        <w:t>т</w:t>
      </w:r>
      <w:r>
        <w:t>ников.</w:t>
      </w:r>
    </w:p>
    <w:p w:rsidR="00000000" w:rsidRDefault="00000000">
      <w:pPr>
        <w:pStyle w:val="SingleTxt"/>
      </w:pPr>
      <w:r>
        <w:t>В 2001 году правительство, неправительственные организации и униве</w:t>
      </w:r>
      <w:r>
        <w:t>р</w:t>
      </w:r>
      <w:r>
        <w:t>ситеты совместными усилиями развернули кампанию в поддержку национал</w:t>
      </w:r>
      <w:r>
        <w:t>ь</w:t>
      </w:r>
      <w:r>
        <w:t>ного образования с целью осуществления программ обучения грамоте, профе</w:t>
      </w:r>
      <w:r>
        <w:t>с</w:t>
      </w:r>
      <w:r>
        <w:t>сионально-технической ориентации и повышения социально-культурного уровня в восточных и юго-восточных районах Турции. На долю женщин, охв</w:t>
      </w:r>
      <w:r>
        <w:t>а</w:t>
      </w:r>
      <w:r>
        <w:t>ченных этими программами, приходилось соответственно 62, 62,4 и 52,9 процента всех учас</w:t>
      </w:r>
      <w:r>
        <w:t>т</w:t>
      </w:r>
      <w:r>
        <w:t>ников.</w:t>
      </w:r>
    </w:p>
    <w:p w:rsidR="00000000" w:rsidRDefault="00000000">
      <w:pPr>
        <w:pStyle w:val="SingleTxt"/>
      </w:pPr>
      <w:r>
        <w:t>Другой инициативой, ориентированной на женщин в восточной части страны, является инициатива руководства Проекта развития Юго-Восточной Анатолий (ПРА), которая предусматривает создание многоцелевых общинных центров (МОЦ). Задача МОЦ – вовлечь женщин в процесс развития в рамках ПРА посредством расширения их прав и возможностей на основе реализации различных учебных программ в таких областях, как ликвидация неграмотн</w:t>
      </w:r>
      <w:r>
        <w:t>о</w:t>
      </w:r>
      <w:r>
        <w:t>сти, привитие технических навыков, обучение ремеслу и воспитание лидерских качеств, а также привлечение внимания общества к нуждам и проблемам же</w:t>
      </w:r>
      <w:r>
        <w:t>н</w:t>
      </w:r>
      <w:r>
        <w:t>щин и расширение их возможностей для занятия деятельностью, приносящей доход. Усл</w:t>
      </w:r>
      <w:r>
        <w:t>у</w:t>
      </w:r>
      <w:r>
        <w:t xml:space="preserve">гами этих центров охвачены женщины в возрасте от 14 до 50 лет. </w:t>
      </w:r>
    </w:p>
    <w:p w:rsidR="00000000" w:rsidRDefault="00000000">
      <w:pPr>
        <w:pStyle w:val="SingleTxt"/>
      </w:pPr>
      <w:r>
        <w:t>Другим районным проектом является Проект поддержки социального ра</w:t>
      </w:r>
      <w:r>
        <w:t>з</w:t>
      </w:r>
      <w:r>
        <w:t>вития и обеспечения занятости в Восточной и Юго-Восточной Анатолии, кот</w:t>
      </w:r>
      <w:r>
        <w:t>о</w:t>
      </w:r>
      <w:r>
        <w:t>рый осуществляется в 26 населенных пунктах указанного района. Правител</w:t>
      </w:r>
      <w:r>
        <w:t>ь</w:t>
      </w:r>
      <w:r>
        <w:t>ство приступило к его реализации в октябре 2000 года с целью удовлетворить потребности малоимущих взрослых, в частности женщин, в области образов</w:t>
      </w:r>
      <w:r>
        <w:t>а</w:t>
      </w:r>
      <w:r>
        <w:t>ния. В 2001 году программами было охвачено 283 906 женщин и 204 201 мужчина.</w:t>
      </w:r>
    </w:p>
    <w:p w:rsidR="00000000" w:rsidRDefault="00000000">
      <w:pPr>
        <w:pStyle w:val="SingleTxt"/>
      </w:pPr>
      <w:r>
        <w:t>Услуги в области образования для взрослых оказывают также центры по изучению проблем женщин и принятию конкретных мер в области обеспечения ра</w:t>
      </w:r>
      <w:r>
        <w:t>в</w:t>
      </w:r>
      <w:r>
        <w:t>ноправия мужчин и женщин.</w:t>
      </w:r>
    </w:p>
    <w:p w:rsidR="00000000" w:rsidRDefault="00000000">
      <w:pPr>
        <w:pStyle w:val="SingleTxt"/>
      </w:pPr>
      <w:r>
        <w:t>Продолжается осуществление Проекта профессионально-технической подготовки (ППТП), инициированного в 1994 году с целью расширить возмо</w:t>
      </w:r>
      <w:r>
        <w:t>ж</w:t>
      </w:r>
      <w:r>
        <w:t>ности трудоустройства женщин, которые никогда не посещали школу или преждевременно прекратили обучение. Как правило, женщины, охваченные программами ППТП, предпочитают получать подготовку в традиционно "же</w:t>
      </w:r>
      <w:r>
        <w:t>н</w:t>
      </w:r>
      <w:r>
        <w:t>ских" областях. За период с 1996 по 2000 год такими программами было охв</w:t>
      </w:r>
      <w:r>
        <w:t>а</w:t>
      </w:r>
      <w:r>
        <w:t>чено примерно 100 тыс. же</w:t>
      </w:r>
      <w:r>
        <w:t>н</w:t>
      </w:r>
      <w:r>
        <w:t>щин и девочек.</w:t>
      </w:r>
    </w:p>
    <w:p w:rsidR="00000000" w:rsidRDefault="00000000">
      <w:pPr>
        <w:pStyle w:val="SingleTxt"/>
      </w:pPr>
      <w:r>
        <w:t>Кроме того, программы профессиональной подготовки в конкретных о</w:t>
      </w:r>
      <w:r>
        <w:t>б</w:t>
      </w:r>
      <w:r>
        <w:t>ластях реализуются различными государственными учреждениями; среди них следует отметить Управление по вопросам занятости и министерство сельского хозяйства и по делам сельских районов. Нередко такие программы осущест</w:t>
      </w:r>
      <w:r>
        <w:t>в</w:t>
      </w:r>
      <w:r>
        <w:t>ляются в партнерстве с неправительственными организациями и междунаро</w:t>
      </w:r>
      <w:r>
        <w:t>д</w:t>
      </w:r>
      <w:r>
        <w:t>ными органами, такими, как ЮНИСЕФ, ФАО и т.п. В 2001 году министерство сельского хозяйства и по делам сельских районов расширило охват своей пр</w:t>
      </w:r>
      <w:r>
        <w:t>о</w:t>
      </w:r>
      <w:r>
        <w:t>граммы обучения искусству внедрения домашнего хозяйства и распростран</w:t>
      </w:r>
      <w:r>
        <w:t>е</w:t>
      </w:r>
      <w:r>
        <w:t>ния знаний, с тем чтобы обеспечить доступ сельских женщин к производстве</w:t>
      </w:r>
      <w:r>
        <w:t>н</w:t>
      </w:r>
      <w:r>
        <w:t>ным знаниям. В общей сложности в указанном году 26 097 программами и практикумами были охв</w:t>
      </w:r>
      <w:r>
        <w:t>а</w:t>
      </w:r>
      <w:r>
        <w:t>чены 313 736 женщин.</w:t>
      </w:r>
    </w:p>
    <w:p w:rsidR="00000000" w:rsidRDefault="00000000">
      <w:pPr>
        <w:pStyle w:val="SingleTxt"/>
      </w:pPr>
      <w:r>
        <w:t>Несмотря на впечатляющий рост по сравнению с 1997 годом уровня гр</w:t>
      </w:r>
      <w:r>
        <w:t>а</w:t>
      </w:r>
      <w:r>
        <w:t>мотности среди женщин благодаря реализации вышеперечисленных программ и проектов, цели искоренения неграмотности к 2000 году, поставленной на П</w:t>
      </w:r>
      <w:r>
        <w:t>е</w:t>
      </w:r>
      <w:r>
        <w:t>ки</w:t>
      </w:r>
      <w:r>
        <w:t>н</w:t>
      </w:r>
      <w:r>
        <w:t>ской конференции, достичь не удалось.</w:t>
      </w:r>
    </w:p>
    <w:p w:rsidR="00000000" w:rsidRDefault="00000000">
      <w:pPr>
        <w:pStyle w:val="SingleTxt"/>
      </w:pPr>
      <w:r>
        <w:t>Государства-участники принимают все соответствующие меры для того, чт</w:t>
      </w:r>
      <w:r>
        <w:t>о</w:t>
      </w:r>
      <w:r>
        <w:t>бы... обеспечить...:</w:t>
      </w:r>
    </w:p>
    <w:p w:rsidR="00000000" w:rsidRDefault="00000000">
      <w:pPr>
        <w:pStyle w:val="SingleTxt"/>
        <w:ind w:left="2246" w:hanging="505"/>
        <w:rPr>
          <w:i/>
        </w:rPr>
      </w:pPr>
      <w:r>
        <w:rPr>
          <w:b/>
          <w:i/>
          <w:lang w:val="en-US"/>
        </w:rPr>
        <w:t>f</w:t>
      </w:r>
      <w:r>
        <w:rPr>
          <w:b/>
          <w:i/>
        </w:rPr>
        <w:t>)</w:t>
      </w:r>
      <w:r>
        <w:rPr>
          <w:i/>
        </w:rPr>
        <w:t xml:space="preserve"> </w:t>
      </w:r>
      <w:r>
        <w:rPr>
          <w:i/>
        </w:rPr>
        <w:tab/>
        <w:t>сокращение числа девушек, не заканчивающих школу, и разработку программ для девушек и женщин, преждевременно покинувших шк</w:t>
      </w:r>
      <w:r>
        <w:rPr>
          <w:i/>
        </w:rPr>
        <w:t>о</w:t>
      </w:r>
      <w:r>
        <w:rPr>
          <w:i/>
        </w:rPr>
        <w:t>лу.</w:t>
      </w:r>
    </w:p>
    <w:p w:rsidR="00000000" w:rsidRDefault="00000000">
      <w:pPr>
        <w:pStyle w:val="SingleTxt"/>
      </w:pPr>
      <w:r>
        <w:t>Соответствующая информация приводится в разделе доклада, посвяще</w:t>
      </w:r>
      <w:r>
        <w:t>н</w:t>
      </w:r>
      <w:r>
        <w:t>ном статье 10е).</w:t>
      </w:r>
    </w:p>
    <w:p w:rsidR="00000000" w:rsidRDefault="00000000">
      <w:pPr>
        <w:pStyle w:val="SingleTxt"/>
      </w:pPr>
      <w:r>
        <w:t>Государства-участники принимают все соответствующие меры для того, чт</w:t>
      </w:r>
      <w:r>
        <w:t>о</w:t>
      </w:r>
      <w:r>
        <w:t>бы... обеспечить...:</w:t>
      </w:r>
    </w:p>
    <w:p w:rsidR="00000000" w:rsidRDefault="00000000">
      <w:pPr>
        <w:pStyle w:val="SingleTxt"/>
        <w:ind w:left="2246" w:hanging="505"/>
        <w:rPr>
          <w:i/>
        </w:rPr>
      </w:pPr>
      <w:r>
        <w:rPr>
          <w:b/>
          <w:i/>
          <w:lang w:val="en-US"/>
        </w:rPr>
        <w:t>g</w:t>
      </w:r>
      <w:r>
        <w:rPr>
          <w:b/>
          <w:i/>
        </w:rPr>
        <w:t>)</w:t>
      </w:r>
      <w:r>
        <w:rPr>
          <w:i/>
        </w:rPr>
        <w:t xml:space="preserve"> </w:t>
      </w:r>
      <w:r>
        <w:rPr>
          <w:i/>
        </w:rPr>
        <w:tab/>
        <w:t>одинаковые возможности активно участвовать в занятиях спо</w:t>
      </w:r>
      <w:r>
        <w:rPr>
          <w:i/>
        </w:rPr>
        <w:t>р</w:t>
      </w:r>
      <w:r>
        <w:rPr>
          <w:i/>
        </w:rPr>
        <w:t>том и физической подготовкой.</w:t>
      </w:r>
    </w:p>
    <w:p w:rsidR="00000000" w:rsidRDefault="00000000">
      <w:pPr>
        <w:pStyle w:val="SingleTxt"/>
      </w:pPr>
      <w:r>
        <w:t>Все учащиеся начальных и средних школ обязаны заниматься физкульт</w:t>
      </w:r>
      <w:r>
        <w:t>у</w:t>
      </w:r>
      <w:r>
        <w:t>рой и спортом, в том числе участвовать в межшкольных соревнованиях по а</w:t>
      </w:r>
      <w:r>
        <w:t>т</w:t>
      </w:r>
      <w:r>
        <w:t>летике, художественной гимнастике, баскетболу, национальным видам спорта и т.д. Некоторыми из вышеперечисленных видов спорта занимается больше д</w:t>
      </w:r>
      <w:r>
        <w:t>е</w:t>
      </w:r>
      <w:r>
        <w:t>вочек, чем мальчиков.</w:t>
      </w:r>
    </w:p>
    <w:p w:rsidR="00000000" w:rsidRDefault="00000000">
      <w:pPr>
        <w:pStyle w:val="SingleTxt"/>
      </w:pPr>
      <w:r>
        <w:t>Государства-участники принимают все соответствующие меры для того, чт</w:t>
      </w:r>
      <w:r>
        <w:t>о</w:t>
      </w:r>
      <w:r>
        <w:t>бы... обеспечить...:</w:t>
      </w:r>
    </w:p>
    <w:p w:rsidR="00000000" w:rsidRDefault="00000000">
      <w:pPr>
        <w:pStyle w:val="SingleTxt"/>
        <w:tabs>
          <w:tab w:val="clear" w:pos="1267"/>
        </w:tabs>
        <w:ind w:left="2246" w:hanging="505"/>
        <w:rPr>
          <w:i/>
        </w:rPr>
      </w:pPr>
      <w:r>
        <w:rPr>
          <w:b/>
          <w:i/>
          <w:lang w:val="en-US"/>
        </w:rPr>
        <w:t>h</w:t>
      </w:r>
      <w:r>
        <w:rPr>
          <w:b/>
          <w:i/>
        </w:rPr>
        <w:t>)</w:t>
      </w:r>
      <w:r>
        <w:rPr>
          <w:i/>
        </w:rPr>
        <w:t xml:space="preserve"> </w:t>
      </w:r>
      <w:r>
        <w:rPr>
          <w:i/>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w:t>
      </w:r>
      <w:r>
        <w:rPr>
          <w:i/>
        </w:rPr>
        <w:t>е</w:t>
      </w:r>
      <w:r>
        <w:rPr>
          <w:i/>
        </w:rPr>
        <w:t>мьи.</w:t>
      </w:r>
    </w:p>
    <w:p w:rsidR="00000000" w:rsidRDefault="00000000">
      <w:pPr>
        <w:pStyle w:val="SingleTxt"/>
      </w:pPr>
      <w:r>
        <w:t>ГУЖ, в тесном сотрудничестве с неправительственными организациями, женскими исследовательскими центрами, коллегиями адвокатов и местными органами власти, инициировало кампанию под названием "Совещания женщин в 2000 году" для распространения информации среди женских групп и пов</w:t>
      </w:r>
      <w:r>
        <w:t>ы</w:t>
      </w:r>
      <w:r>
        <w:t>шения уровня осведомленности широких слоев общества о проблеме равн</w:t>
      </w:r>
      <w:r>
        <w:t>о</w:t>
      </w:r>
      <w:r>
        <w:t>правия женщин и мужчин. Так, в провинциальных центрах и уездах было орг</w:t>
      </w:r>
      <w:r>
        <w:t>а</w:t>
      </w:r>
      <w:r>
        <w:t>низовано свыше 300 совещаний, семинаров и посещений. В рамках кампании, которой было охвачено значительное число женщин, внимание было сосред</w:t>
      </w:r>
      <w:r>
        <w:t>о</w:t>
      </w:r>
      <w:r>
        <w:t>точено на таких проблемах, как образование девочек, репродуктивное здор</w:t>
      </w:r>
      <w:r>
        <w:t>о</w:t>
      </w:r>
      <w:r>
        <w:t>вье, заболевания, передаваемые половым путем, юридические права, насилие в отношении женщин, преступления чести и вопросы зан</w:t>
      </w:r>
      <w:r>
        <w:t>я</w:t>
      </w:r>
      <w:r>
        <w:t>тости.</w:t>
      </w:r>
    </w:p>
    <w:p w:rsidR="00000000" w:rsidRDefault="00000000">
      <w:pPr>
        <w:pStyle w:val="SingleTxt"/>
      </w:pPr>
      <w:r>
        <w:t>Министерство образования, в сотрудничестве с неправительственными организациями и ЮНФПА, осуществляет в 18 провинциях проект, направле</w:t>
      </w:r>
      <w:r>
        <w:t>н</w:t>
      </w:r>
      <w:r>
        <w:t>ный на то, чтобы повысить уровень знаний девочек-подростков и их матерей относительно физических изменений, происходящих в подростковый период, и необходимости соблюдения соответствующих правил гигиены. В период с 1993 по 1998 год различными мероприятиями в рамках указанного проекта б</w:t>
      </w:r>
      <w:r>
        <w:t>ы</w:t>
      </w:r>
      <w:r>
        <w:t>ло охвачено 2 150 000, а в 2000 году – около 1 450 000 девочек и их матерей. Кроме того, регулярным распространением информации и оказанием консул</w:t>
      </w:r>
      <w:r>
        <w:t>ь</w:t>
      </w:r>
      <w:r>
        <w:t>тационных услуг занимаются центры медицинского просвещения, подведомс</w:t>
      </w:r>
      <w:r>
        <w:t>т</w:t>
      </w:r>
      <w:r>
        <w:t>венные министерству образования. В целях укрепления потенциала этих це</w:t>
      </w:r>
      <w:r>
        <w:t>н</w:t>
      </w:r>
      <w:r>
        <w:t>тров, министерство, в сотрудничестве с Турецким фондом по вопросам здор</w:t>
      </w:r>
      <w:r>
        <w:t>о</w:t>
      </w:r>
      <w:r>
        <w:t>вья и планирования семьи, подготовило 413 инструкторов в 14 провинциях в Восточной и Юго-Восточной Анатолии в таких областях, как здоровье матери и ребенка, планирование семьи, заболевания, передаваемые половым путем, и ВИЧ/СПИД.</w:t>
      </w:r>
    </w:p>
    <w:p w:rsidR="00000000" w:rsidRDefault="00000000">
      <w:pPr>
        <w:pStyle w:val="HCh"/>
      </w:pPr>
      <w:r>
        <w:br w:type="page"/>
        <w:t>Занятость</w:t>
      </w:r>
    </w:p>
    <w:p w:rsidR="00000000" w:rsidRDefault="00000000">
      <w:pPr>
        <w:pStyle w:val="SingleTxt"/>
        <w:rPr>
          <w:i/>
        </w:rPr>
      </w:pPr>
      <w:r>
        <w:rPr>
          <w:b/>
          <w:i/>
        </w:rPr>
        <w:t>Статья 11. 1.</w:t>
      </w:r>
      <w:r>
        <w:rPr>
          <w:i/>
        </w:rPr>
        <w:t xml:space="preserve"> Государства-участники принимают все соответству</w:t>
      </w:r>
      <w:r>
        <w:rPr>
          <w:i/>
        </w:rPr>
        <w:t>ю</w:t>
      </w:r>
      <w:r>
        <w:rPr>
          <w:i/>
        </w:rPr>
        <w:t>щие меры для ликвидации дискриминации в отношении женщин в области з</w:t>
      </w:r>
      <w:r>
        <w:rPr>
          <w:i/>
        </w:rPr>
        <w:t>а</w:t>
      </w:r>
      <w:r>
        <w:rPr>
          <w:i/>
        </w:rPr>
        <w:t>нятости, с тем чтобы обеспечить на основе равенства мужчин и женщин равные права, в частности:</w:t>
      </w:r>
    </w:p>
    <w:p w:rsidR="00000000" w:rsidRDefault="00000000">
      <w:pPr>
        <w:pStyle w:val="SingleTxt"/>
      </w:pPr>
      <w:r>
        <w:t>Проводившаяся в течение предыдущего десятилетия экономическая пол</w:t>
      </w:r>
      <w:r>
        <w:t>и</w:t>
      </w:r>
      <w:r>
        <w:t>тика и ее социально-экономические последствия во многом повлияли на ту с</w:t>
      </w:r>
      <w:r>
        <w:t>и</w:t>
      </w:r>
      <w:r>
        <w:t>туацию, которая сложилась в области занятости женщин. Благодаря ориентир</w:t>
      </w:r>
      <w:r>
        <w:t>о</w:t>
      </w:r>
      <w:r>
        <w:t>ванной на экспорт модели роста, которая начиная с 80-х годов двадцатого века играла решающую роль в проведении экономической политики, рынок труда стал более гибким; в результате нередких циклических кризисов произошло сокращение реальной заработной платы; кроме того, неофициальный сектор расширился за счет официального сектора. В результате сократились возмо</w:t>
      </w:r>
      <w:r>
        <w:t>ж</w:t>
      </w:r>
      <w:r>
        <w:t>ности национальной экономики в плане создания рабочих мест, а структурная безработица по-прежнему представляет собой крупную проблему. Другими словами, в Турции, как и во многих других странах на сегодняшний день, ры</w:t>
      </w:r>
      <w:r>
        <w:t>н</w:t>
      </w:r>
      <w:r>
        <w:t>ку труда мешает стабилизироваться не предложение, а спрос. Кроме того, из-за ослабления позиций профессиональных союзов положение трудящихся пр</w:t>
      </w:r>
      <w:r>
        <w:t>о</w:t>
      </w:r>
      <w:r>
        <w:t>должает ухудшаться. Таким образом, из-за этих и взаимосвязанных структу</w:t>
      </w:r>
      <w:r>
        <w:t>р</w:t>
      </w:r>
      <w:r>
        <w:t>ных проблем в экономике перспективы в области занятости женщин никак нельзя считать радужными. Поэтому положение женщин с точки зрения статьи 11 и ее подпунктов следует оц</w:t>
      </w:r>
      <w:r>
        <w:t>е</w:t>
      </w:r>
      <w:r>
        <w:t>нивать в этих общих рамках.</w:t>
      </w:r>
    </w:p>
    <w:p w:rsidR="00000000" w:rsidRDefault="00000000">
      <w:pPr>
        <w:pStyle w:val="SingleTxt"/>
      </w:pPr>
      <w:r>
        <w:t>Государства-участники принимают все соответствующие меры.... с тем чтобы обеспечить... :</w:t>
      </w:r>
    </w:p>
    <w:p w:rsidR="00000000" w:rsidRDefault="00000000">
      <w:pPr>
        <w:pStyle w:val="SingleTxt"/>
        <w:tabs>
          <w:tab w:val="clear" w:pos="2693"/>
          <w:tab w:val="left" w:pos="2552"/>
        </w:tabs>
        <w:rPr>
          <w:i/>
        </w:rPr>
      </w:pPr>
      <w:r>
        <w:rPr>
          <w:i/>
        </w:rPr>
        <w:t>11.1 </w:t>
      </w:r>
      <w:r>
        <w:rPr>
          <w:b/>
          <w:i/>
        </w:rPr>
        <w:t>(а)</w:t>
      </w:r>
      <w:r>
        <w:rPr>
          <w:i/>
        </w:rPr>
        <w:t xml:space="preserve"> </w:t>
      </w:r>
      <w:r>
        <w:rPr>
          <w:i/>
        </w:rPr>
        <w:tab/>
        <w:t>право на труд как неотъемлемое право всех людей;</w:t>
      </w:r>
    </w:p>
    <w:p w:rsidR="00000000" w:rsidRDefault="00000000">
      <w:pPr>
        <w:pStyle w:val="SingleTxt"/>
      </w:pPr>
      <w:r>
        <w:t>Как указывается в предыдущем докладе Турции, принцип обеспечения права на труд предусмотрен Конституцией Турции. В соответствии со статьей 48 Конституции все люди имеют право на труд и на подписание трудового д</w:t>
      </w:r>
      <w:r>
        <w:t>о</w:t>
      </w:r>
      <w:r>
        <w:t>говора, а согласно статье 49 правом на труд и обязанностью трудиться надел</w:t>
      </w:r>
      <w:r>
        <w:t>е</w:t>
      </w:r>
      <w:r>
        <w:t>ны все люди, причем государство обязано заниматься улучшением условий труда и обеспечивать защиту трудящихся. Принятая в 2001 году поправка к Конституции гара</w:t>
      </w:r>
      <w:r>
        <w:t>н</w:t>
      </w:r>
      <w:r>
        <w:t>тирует защиту государства в том числе и безработным.</w:t>
      </w:r>
    </w:p>
    <w:p w:rsidR="00000000" w:rsidRDefault="00000000">
      <w:pPr>
        <w:pStyle w:val="SingleTxt"/>
      </w:pPr>
      <w:r>
        <w:t xml:space="preserve">По состоянию на 2002 год Турция присоединилась к сорока соглашениям </w:t>
      </w:r>
      <w:r>
        <w:rPr>
          <w:caps/>
        </w:rPr>
        <w:t>м</w:t>
      </w:r>
      <w:r>
        <w:t>еждународной организации труда (МОТ), устанавливающим международные трудовые права и нормы. Вопросов равенства между женщинами и мужчинами в сфере занятости касаются нижеследующие из этих соглашений: равная опл</w:t>
      </w:r>
      <w:r>
        <w:t>а</w:t>
      </w:r>
      <w:r>
        <w:t>та за труд равной ценности (соглашение 100); дискриминация в сфере занят</w:t>
      </w:r>
      <w:r>
        <w:t>о</w:t>
      </w:r>
      <w:r>
        <w:t>сти и в профессии (111); полтика в области занятости (122); развитие людских ресурсов (142) и иск</w:t>
      </w:r>
      <w:r>
        <w:t>о</w:t>
      </w:r>
      <w:r>
        <w:t>ренение наихудших форм детского труда (182).</w:t>
      </w:r>
    </w:p>
    <w:p w:rsidR="00000000" w:rsidRDefault="00000000">
      <w:pPr>
        <w:pStyle w:val="SingleTxt"/>
      </w:pPr>
      <w:r>
        <w:t>Государства-участники принимают все соответствующие меры.... с тем чтобы обеспечить... :</w:t>
      </w:r>
    </w:p>
    <w:p w:rsidR="00000000" w:rsidRDefault="00000000">
      <w:pPr>
        <w:pStyle w:val="SingleTxt"/>
        <w:tabs>
          <w:tab w:val="clear" w:pos="1267"/>
        </w:tabs>
        <w:ind w:left="2246" w:hanging="505"/>
        <w:rPr>
          <w:i/>
        </w:rPr>
      </w:pPr>
      <w:r>
        <w:rPr>
          <w:b/>
          <w:i/>
        </w:rPr>
        <w:t>(</w:t>
      </w:r>
      <w:r>
        <w:rPr>
          <w:b/>
          <w:i/>
          <w:lang w:val="en-US"/>
        </w:rPr>
        <w:t>b</w:t>
      </w:r>
      <w:r>
        <w:rPr>
          <w:b/>
          <w:i/>
        </w:rPr>
        <w:t>)</w:t>
      </w:r>
      <w:r>
        <w:rPr>
          <w:i/>
        </w:rPr>
        <w:t xml:space="preserve"> </w:t>
      </w:r>
      <w:r>
        <w:rPr>
          <w:i/>
        </w:rPr>
        <w:tab/>
        <w:t>право на одинаковые возможности при найме на работу, в том чи</w:t>
      </w:r>
      <w:r>
        <w:rPr>
          <w:i/>
        </w:rPr>
        <w:t>с</w:t>
      </w:r>
      <w:r>
        <w:rPr>
          <w:i/>
        </w:rPr>
        <w:t>ле применение одинаковых критериев о</w:t>
      </w:r>
      <w:r>
        <w:rPr>
          <w:i/>
        </w:rPr>
        <w:t>т</w:t>
      </w:r>
      <w:r>
        <w:rPr>
          <w:i/>
        </w:rPr>
        <w:t>бора при найме;</w:t>
      </w:r>
    </w:p>
    <w:p w:rsidR="00000000" w:rsidRDefault="00000000">
      <w:pPr>
        <w:pStyle w:val="SingleTxt"/>
      </w:pPr>
      <w:r>
        <w:t>До недавнего времени прослеживалась тенденция к сокращению пр</w:t>
      </w:r>
      <w:r>
        <w:t>о</w:t>
      </w:r>
      <w:r>
        <w:t>центной доли женщин в составе рабочей силы, причем этот показатель снизи</w:t>
      </w:r>
      <w:r>
        <w:t>л</w:t>
      </w:r>
      <w:r>
        <w:t>ся с 30,5 процентов в 1995 году до 25,9 процентов в 2000 году. За тот же самый период времени процентная доля мужчин сократилась с 77,9 процента до 72,9 процента. Снижение доли женщин в составе рабочей силы обусловлено прежде всего миграцией из сельской местности в города, в результате которой большинство мигрирующих женщин, ранее бесплатно работавших в семейных хозяйствах на селе, становится городскими домохозяйками или поступает на работу в неофициальный сектор. Численность домашних хозяек возросла с примерно 10 миллионов в 1995 году до приблизительно 12 миллионов в 2002 году. Несмотря на то, что благодаря недавно внесенным в Гражданский кодекс поправкам за женщинами теперь признается их вклад в экономику д</w:t>
      </w:r>
      <w:r>
        <w:t>о</w:t>
      </w:r>
      <w:r>
        <w:t>машнего хозяйства, эти соображения не учитываются в статистических да</w:t>
      </w:r>
      <w:r>
        <w:t>н</w:t>
      </w:r>
      <w:r>
        <w:t>ных, касающихся рабочей силы. Аналогичным образом в официальных стат</w:t>
      </w:r>
      <w:r>
        <w:t>и</w:t>
      </w:r>
      <w:r>
        <w:t>стических данных не учитывается также приносящая доход деятельность или индивидуальная трудовая деятельность, которой женщины могут заниматься дома, а также другие формы занятости в неофициальном секторе. По оценкам, женщины занимают примерно 65 процентов рабочих мест в неофициальном секторе, причем для мужчин соответствующий пок</w:t>
      </w:r>
      <w:r>
        <w:t>а</w:t>
      </w:r>
      <w:r>
        <w:t>затель составляет 37,5.</w:t>
      </w:r>
    </w:p>
    <w:p w:rsidR="00000000" w:rsidRDefault="00000000">
      <w:pPr>
        <w:pStyle w:val="SingleTxt"/>
      </w:pPr>
      <w:r>
        <w:t>Семейное положение женщин и уровень их образования по-прежнему и</w:t>
      </w:r>
      <w:r>
        <w:t>г</w:t>
      </w:r>
      <w:r>
        <w:t>рает решающую роль в определении масштабов и характера присутствия же</w:t>
      </w:r>
      <w:r>
        <w:t>н</w:t>
      </w:r>
      <w:r>
        <w:t>щин на рынке труда. С повышением уровня образования доля женщин в сост</w:t>
      </w:r>
      <w:r>
        <w:t>а</w:t>
      </w:r>
      <w:r>
        <w:t>ве рабочей силы также возрастает. По данным по состоянию на 2001 год, пр</w:t>
      </w:r>
      <w:r>
        <w:t>и</w:t>
      </w:r>
      <w:r>
        <w:t>мерно 70 процентов женщин с высшим образованием в городских районах вх</w:t>
      </w:r>
      <w:r>
        <w:t>о</w:t>
      </w:r>
      <w:r>
        <w:t>дит в состав рабочей силы, в то время как лишь 5 процентов неграмотных женщин занято в официальном секторе. Напротив, между занятостью мужчин и уровнем их образования столь тесной взаимозависимости не прослеживае</w:t>
      </w:r>
      <w:r>
        <w:t>т</w:t>
      </w:r>
      <w:r>
        <w:t>ся.</w:t>
      </w:r>
    </w:p>
    <w:p w:rsidR="00000000" w:rsidRDefault="00000000">
      <w:pPr>
        <w:pStyle w:val="SingleTxt"/>
      </w:pPr>
      <w:r>
        <w:t>В целом доля женщин в составе рабочей силы остается максимальной в сельскохозяйственном секторе, где подавляющее число женщин является не получающими заработной платы работницами семейных хозяйств. Процентная доля женщин среди не получающих заработной платы работников семейных хозяйств снизилась с 64,5 процента в 1995 году до 51,3 процента в 2001 году. С другой стороны, процентная доля женщин, занятых оплачиваемым трудом, во</w:t>
      </w:r>
      <w:r>
        <w:t>з</w:t>
      </w:r>
      <w:r>
        <w:t>росла с 26,4 процента до 36,1 процента, а доля самостоятельно занятых во</w:t>
      </w:r>
      <w:r>
        <w:t>з</w:t>
      </w:r>
      <w:r>
        <w:t>росла с 9,1 процента до 13,5 процентов соответственно.</w:t>
      </w:r>
    </w:p>
    <w:p w:rsidR="00000000" w:rsidRDefault="00000000">
      <w:pPr>
        <w:pStyle w:val="SingleTxt"/>
      </w:pPr>
      <w:r>
        <w:t>Безработица является общей проблемой женщин и мужчин, хотя в горо</w:t>
      </w:r>
      <w:r>
        <w:t>д</w:t>
      </w:r>
      <w:r>
        <w:t>ских районах женщинам найти работу сложнее, чем мужчинам. В соответствии со средними показателями по стране за 2001 год, доля безработных среди же</w:t>
      </w:r>
      <w:r>
        <w:t>н</w:t>
      </w:r>
      <w:r>
        <w:t>щин составила 7,9 процента, а среди мужчин – 8,8 процента.</w:t>
      </w:r>
    </w:p>
    <w:p w:rsidR="00000000" w:rsidRDefault="00000000">
      <w:pPr>
        <w:pStyle w:val="H1"/>
      </w:pPr>
      <w:r>
        <w:t>Участие в деятельности профессиональных союзов</w:t>
      </w:r>
    </w:p>
    <w:p w:rsidR="00000000" w:rsidRDefault="00000000">
      <w:pPr>
        <w:pStyle w:val="SingleTxt"/>
      </w:pPr>
      <w:r>
        <w:rPr>
          <w:caps/>
        </w:rPr>
        <w:t>с</w:t>
      </w:r>
      <w:r>
        <w:t>огласно статистическим данным Министерства труда и социального обеспечения, доля членов профсоюза среди работающих женщин возросла с 39 процентов в 1995 году до 51 процента в 2001 году. Однако препятствием для участия женщин в деятельности профсоюзов служит высокий уровень их зан</w:t>
      </w:r>
      <w:r>
        <w:t>я</w:t>
      </w:r>
      <w:r>
        <w:t>тости в сельскохозяйственном и неофициал</w:t>
      </w:r>
      <w:r>
        <w:t>ь</w:t>
      </w:r>
      <w:r>
        <w:t>ном секторах.</w:t>
      </w:r>
    </w:p>
    <w:p w:rsidR="00000000" w:rsidRDefault="00000000">
      <w:pPr>
        <w:pStyle w:val="SingleTxt"/>
      </w:pPr>
      <w:r>
        <w:t xml:space="preserve">С начала 90-х годов </w:t>
      </w:r>
      <w:r>
        <w:rPr>
          <w:lang w:val="en-US"/>
        </w:rPr>
        <w:t>XX</w:t>
      </w:r>
      <w:r>
        <w:t xml:space="preserve"> века организованные рабочие движения в целом были подорваны из-за проведения макроэкономической политики, ориентир</w:t>
      </w:r>
      <w:r>
        <w:t>о</w:t>
      </w:r>
      <w:r>
        <w:t>ванной на либерализацию и приватизацию. С другой стороны, из-за недавно разразившегося экономического кризиса, приведшего к повышению уровня безработицы, активность профсоюзов в целом снизилась. Парадокс состоит в том, что долгожданный закон, разрешающий государственным служащим об</w:t>
      </w:r>
      <w:r>
        <w:t>ъ</w:t>
      </w:r>
      <w:r>
        <w:t>единяться в профессиональные союзы, был окончательно принят в 2001 году, а первые переговоры, посвященные заключению коллективных трудовых дог</w:t>
      </w:r>
      <w:r>
        <w:t>о</w:t>
      </w:r>
      <w:r>
        <w:t>воров, начались в 2002 году. Женщины из числа государственных служащих приняли активное участие в процессе создания профессиональных союзов и заключения коллективных трудовых договоров. В законе о профсоюзе госуда</w:t>
      </w:r>
      <w:r>
        <w:t>р</w:t>
      </w:r>
      <w:r>
        <w:t>ственных служащих не содержится никаких положений, предусматривающих ди</w:t>
      </w:r>
      <w:r>
        <w:t>с</w:t>
      </w:r>
      <w:r>
        <w:t xml:space="preserve">криминацию по признаку пола. </w:t>
      </w:r>
    </w:p>
    <w:p w:rsidR="00000000" w:rsidRDefault="00000000">
      <w:pPr>
        <w:pStyle w:val="H23"/>
      </w:pPr>
      <w:r>
        <w:t>Комплекс мер по обеспечению занятости женщин</w:t>
      </w:r>
    </w:p>
    <w:p w:rsidR="00000000" w:rsidRDefault="00000000">
      <w:pPr>
        <w:pStyle w:val="SingleTxt"/>
      </w:pPr>
      <w:r>
        <w:t>Во втором и третьем объединенных докладах Турции сообщается о том, что в 1994 году ГУЖ при поддержке со стороны Всемирного банка приступило к реализации проекта по сбору и распространению стратегической информ</w:t>
      </w:r>
      <w:r>
        <w:t>а</w:t>
      </w:r>
      <w:r>
        <w:t>ции для разработки политики и программных инициатив в интересах расшир</w:t>
      </w:r>
      <w:r>
        <w:t>е</w:t>
      </w:r>
      <w:r>
        <w:t>ния возможностей для занятости женщин во всех секторах рынка труда, в час</w:t>
      </w:r>
      <w:r>
        <w:t>т</w:t>
      </w:r>
      <w:r>
        <w:t>ности, в тех его сегментах, где преобладают мужчины. Реализация проекта, включавшего четыре компонента (научные исследования, распространение и</w:t>
      </w:r>
      <w:r>
        <w:t>н</w:t>
      </w:r>
      <w:r>
        <w:t>формации, создание центра документации и разработка учебных материалов по гендерной проблематике), з</w:t>
      </w:r>
      <w:r>
        <w:t>а</w:t>
      </w:r>
      <w:r>
        <w:t>вершилась в 2000 году.</w:t>
      </w:r>
    </w:p>
    <w:p w:rsidR="00000000" w:rsidRDefault="00000000">
      <w:pPr>
        <w:pStyle w:val="SingleTxt"/>
      </w:pPr>
      <w:r>
        <w:t>После подготовки предыдущего доклада были приняты нижеследующие м</w:t>
      </w:r>
      <w:r>
        <w:t>е</w:t>
      </w:r>
      <w:r>
        <w:t>ры:</w:t>
      </w:r>
    </w:p>
    <w:p w:rsidR="00000000" w:rsidRDefault="00000000">
      <w:pPr>
        <w:pStyle w:val="dot"/>
      </w:pPr>
      <w:r>
        <w:tab/>
      </w:r>
      <w:r>
        <w:rPr>
          <w:lang w:val="en-US"/>
        </w:rPr>
        <w:tab/>
      </w:r>
      <w:r>
        <w:t>•</w:t>
      </w:r>
      <w:r>
        <w:tab/>
        <w:t>ГУЖ обнародовало результаты тринадцати из шестн</w:t>
      </w:r>
      <w:r>
        <w:t>а</w:t>
      </w:r>
      <w:r>
        <w:t>дцати научно-исследовательских проектов, реализованных в контексте этого проекта. В качестве справочного материала эти публикации широко используются лицами, ответственными за разработку политики и осуществление пр</w:t>
      </w:r>
      <w:r>
        <w:t>о</w:t>
      </w:r>
      <w:r>
        <w:t>грамм;</w:t>
      </w:r>
    </w:p>
    <w:p w:rsidR="00000000" w:rsidRDefault="00000000">
      <w:pPr>
        <w:pStyle w:val="dot"/>
      </w:pPr>
      <w:r>
        <w:tab/>
      </w:r>
      <w:r>
        <w:rPr>
          <w:lang w:val="en-US"/>
        </w:rPr>
        <w:tab/>
      </w:r>
      <w:r>
        <w:t>•</w:t>
      </w:r>
      <w:r>
        <w:tab/>
        <w:t>Для популяризации результатов научных исследований принимались ра</w:t>
      </w:r>
      <w:r>
        <w:t>з</w:t>
      </w:r>
      <w:r>
        <w:t>личные меры и использовались различные средства, например, провод</w:t>
      </w:r>
      <w:r>
        <w:t>и</w:t>
      </w:r>
      <w:r>
        <w:t>лись соответствующие конференции, был снят документальный фильм под названием "Ввиду того, что женщина работает"; был создан архив из тысячи диапозитивов, размещенный на веб-сайте ГУЖ (</w:t>
      </w:r>
      <w:r>
        <w:rPr>
          <w:lang w:val="en-US"/>
        </w:rPr>
        <w:t>www</w:t>
      </w:r>
      <w:r>
        <w:t>.</w:t>
      </w:r>
      <w:r>
        <w:rPr>
          <w:lang w:val="en-US"/>
        </w:rPr>
        <w:t>kssgm</w:t>
      </w:r>
      <w:r>
        <w:t>.</w:t>
      </w:r>
      <w:r>
        <w:rPr>
          <w:lang w:val="en-US"/>
        </w:rPr>
        <w:t>gov</w:t>
      </w:r>
      <w:r>
        <w:t>.</w:t>
      </w:r>
      <w:r>
        <w:rPr>
          <w:lang w:val="en-US"/>
        </w:rPr>
        <w:t>tr</w:t>
      </w:r>
      <w:r>
        <w:t>);</w:t>
      </w:r>
    </w:p>
    <w:p w:rsidR="00000000" w:rsidRDefault="00000000">
      <w:pPr>
        <w:pStyle w:val="dot"/>
      </w:pPr>
      <w:r>
        <w:tab/>
      </w:r>
      <w:r>
        <w:tab/>
        <w:t>•</w:t>
      </w:r>
      <w:r>
        <w:tab/>
        <w:t>В период с 1999 по 2000 год на основе итогов реализации проекта были выработаны политические рекомендации для их использования в работе двух специальных экспертных комиссий (комиссия по вопросам участия женщин в жизни общества и комиссия по вопросам трудовой жизни и з</w:t>
      </w:r>
      <w:r>
        <w:t>а</w:t>
      </w:r>
      <w:r>
        <w:t>нятости), созданных в связи с подготовкой восьмого пятилетнего плана развития. В результате план обращает внимание на незначительность д</w:t>
      </w:r>
      <w:r>
        <w:t>о</w:t>
      </w:r>
      <w:r>
        <w:t>ли женщин в составе городской рабочей силы, а также на обусловившие этот феномен социокультурные и рыночные факторы. Кроме того, в плане кратко изложены меры, которые будут приняты в соответствии с нормами МОТ и ЕС.</w:t>
      </w:r>
    </w:p>
    <w:p w:rsidR="00000000" w:rsidRDefault="00000000">
      <w:pPr>
        <w:pStyle w:val="dot"/>
      </w:pPr>
      <w:r>
        <w:tab/>
      </w:r>
      <w:r>
        <w:tab/>
        <w:t>•</w:t>
      </w:r>
      <w:r>
        <w:tab/>
        <w:t>В настоящее время на полную мощность функционирует центр докуме</w:t>
      </w:r>
      <w:r>
        <w:t>н</w:t>
      </w:r>
      <w:r>
        <w:t>тации, созданный в 1996 году в составе ГУЖ. По состоянию на декабрь 2002 года, в фондах центра имеется 1 971 книга, 262 рукописи, 762 ксерокопированных материала, а также 214 справочных изданий и п</w:t>
      </w:r>
      <w:r>
        <w:t>о</w:t>
      </w:r>
      <w:r>
        <w:t>с</w:t>
      </w:r>
      <w:r>
        <w:t>о</w:t>
      </w:r>
      <w:r>
        <w:t>бий;</w:t>
      </w:r>
    </w:p>
    <w:p w:rsidR="00000000" w:rsidRDefault="00000000">
      <w:pPr>
        <w:pStyle w:val="dot"/>
      </w:pPr>
      <w:r>
        <w:tab/>
      </w:r>
      <w:r>
        <w:rPr>
          <w:lang w:val="en-US"/>
        </w:rPr>
        <w:tab/>
      </w:r>
      <w:r>
        <w:t>•</w:t>
      </w:r>
      <w:r>
        <w:tab/>
        <w:t>В период с 1998 по 1999 год был подготовлен пакет учебных материалов по гендерной проблематике, включающий 55 интерактивных модулей, к</w:t>
      </w:r>
      <w:r>
        <w:t>о</w:t>
      </w:r>
      <w:r>
        <w:t xml:space="preserve">торый использовался на экспериментальной основе в </w:t>
      </w:r>
      <w:r>
        <w:rPr>
          <w:caps/>
        </w:rPr>
        <w:t>г</w:t>
      </w:r>
      <w:r>
        <w:t xml:space="preserve">осударственной организации по планированию, в </w:t>
      </w:r>
      <w:r>
        <w:rPr>
          <w:caps/>
        </w:rPr>
        <w:t>г</w:t>
      </w:r>
      <w:r>
        <w:t>осударственном управлении по вопр</w:t>
      </w:r>
      <w:r>
        <w:t>о</w:t>
      </w:r>
      <w:r>
        <w:t>сам занятости и в одной из неправительственных организаций, а именно в Ассоциации медицинских работников Турции. В сотрудничестве с це</w:t>
      </w:r>
      <w:r>
        <w:t>н</w:t>
      </w:r>
      <w:r>
        <w:t>трами подготовки научных кадров, специализирующихся на женской пр</w:t>
      </w:r>
      <w:r>
        <w:t>о</w:t>
      </w:r>
      <w:r>
        <w:t>блематике, ГУЖ занимается разработкой программы подготовки педаг</w:t>
      </w:r>
      <w:r>
        <w:t>о</w:t>
      </w:r>
      <w:r>
        <w:t>гов.</w:t>
      </w:r>
    </w:p>
    <w:p w:rsidR="00000000" w:rsidRDefault="00000000">
      <w:pPr>
        <w:pStyle w:val="H1"/>
      </w:pPr>
      <w:r>
        <w:t xml:space="preserve">Услуги в области трудоустройства женщин и </w:t>
      </w:r>
      <w:r>
        <w:rPr>
          <w:caps/>
        </w:rPr>
        <w:t>т</w:t>
      </w:r>
      <w:r>
        <w:t>урецкий институт по пр</w:t>
      </w:r>
      <w:r>
        <w:t>о</w:t>
      </w:r>
      <w:r>
        <w:t>блемам труда (ТИР)</w:t>
      </w:r>
    </w:p>
    <w:p w:rsidR="00000000" w:rsidRDefault="00000000">
      <w:pPr>
        <w:pStyle w:val="SingleTxt"/>
      </w:pPr>
      <w:r>
        <w:t>В 1999 году управление по вопросам занятости было реорганизовано, а его полномочия были расширены и укреплены в интересах предотвращения безработицы и/или сокращения ее масштабов, укрепления потенциала рабочей силы, а также поощрения и поддержки предпринимательских инициатив. По данным ТИР, в 2002 году из 464 228 безработных, зарегистрированных в кач</w:t>
      </w:r>
      <w:r>
        <w:t>е</w:t>
      </w:r>
      <w:r>
        <w:t>стве находящихся в поисках работы лиц, женщин было 84 465 (18 процентов). В том же году среди безработных, нашедших себе рабочие места, женщины с</w:t>
      </w:r>
      <w:r>
        <w:t>о</w:t>
      </w:r>
      <w:r>
        <w:t>ставили 9 процентов, причем примерно 61 процент из этих женщин были гр</w:t>
      </w:r>
      <w:r>
        <w:t>а</w:t>
      </w:r>
      <w:r>
        <w:t>мотными и/или закончили пятилетнюю начальную школу, 8 процентов из таких женщин закончили восьмилетнюю начальную школу, 21 процент закончили среднюю школу или имели аналогичный уровень образования, а 9 процентов закончили высшее учебное зав</w:t>
      </w:r>
      <w:r>
        <w:t>е</w:t>
      </w:r>
      <w:r>
        <w:t>дение.</w:t>
      </w:r>
    </w:p>
    <w:p w:rsidR="00000000" w:rsidRDefault="00000000">
      <w:pPr>
        <w:pStyle w:val="SingleTxt"/>
      </w:pPr>
      <w:r>
        <w:t>Несмотря на то, что ТИР борется с дискриминацией по признаку пола в сфере занятости, спрос преимущественно на работников мужского пола может свести на нет его усилия. Благодаря централизации процедур найма на работу в государственный сектор для гражданских служащих в 1999 году и для рабочих в 2001 году соблюдение принципа равенства возможностей в сфере занятости было укреплено. Работодатели обязаны предоставлять должностную инстру</w:t>
      </w:r>
      <w:r>
        <w:t>к</w:t>
      </w:r>
      <w:r>
        <w:t>цию, а отбор кандидатов осуществляется на основании результатов проводим</w:t>
      </w:r>
      <w:r>
        <w:t>о</w:t>
      </w:r>
      <w:r>
        <w:t>го в централизованном порядке конкурсного экзамена, участие в котором же</w:t>
      </w:r>
      <w:r>
        <w:t>н</w:t>
      </w:r>
      <w:r>
        <w:t>щины и мужчины принимают на одних тех же основаниях.</w:t>
      </w:r>
    </w:p>
    <w:p w:rsidR="00000000" w:rsidRDefault="00000000">
      <w:pPr>
        <w:pStyle w:val="SingleTxt"/>
      </w:pPr>
      <w:r>
        <w:t>Для тех безработных, кто активно занят поиском рабочих мест, ТИР пре</w:t>
      </w:r>
      <w:r>
        <w:t>д</w:t>
      </w:r>
      <w:r>
        <w:t>лагает курсы укрепления потенциала. За несколько лет доля женщин среди слушателей этих курсов составила примерно 75 процентов. За период с 1995 по 2002 год в общей сложности 1 150 женщин прослушали курсы по вопросам создания частных предприятий. Женщины, прослушавшие этих курсы, в бол</w:t>
      </w:r>
      <w:r>
        <w:t>ь</w:t>
      </w:r>
      <w:r>
        <w:t>шинстве своем принадлежали к возрастной группе от 18 до 24 лет, имели сре</w:t>
      </w:r>
      <w:r>
        <w:t>д</w:t>
      </w:r>
      <w:r>
        <w:t>нее образование и были н</w:t>
      </w:r>
      <w:r>
        <w:t>е</w:t>
      </w:r>
      <w:r>
        <w:t>замужними.</w:t>
      </w:r>
    </w:p>
    <w:p w:rsidR="00000000" w:rsidRDefault="00000000">
      <w:pPr>
        <w:pStyle w:val="SingleTxt"/>
      </w:pPr>
      <w:r>
        <w:t>Государства-участники принимают все соответствующие меры.... с тем чтобы обеспечить... :</w:t>
      </w:r>
    </w:p>
    <w:p w:rsidR="00000000" w:rsidRDefault="00000000">
      <w:pPr>
        <w:pStyle w:val="SingleTxt"/>
        <w:tabs>
          <w:tab w:val="clear" w:pos="1267"/>
        </w:tabs>
        <w:ind w:left="2246" w:hanging="505"/>
        <w:rPr>
          <w:i/>
        </w:rPr>
      </w:pPr>
      <w:r>
        <w:rPr>
          <w:b/>
          <w:i/>
        </w:rPr>
        <w:t>(с)</w:t>
      </w:r>
      <w:r>
        <w:rPr>
          <w:i/>
        </w:rPr>
        <w:t xml:space="preserve"> </w:t>
      </w:r>
      <w:r>
        <w:rPr>
          <w:i/>
        </w:rPr>
        <w:tab/>
        <w:t>право на свободный выбор профессии или рода работы, на продв</w:t>
      </w:r>
      <w:r>
        <w:rPr>
          <w:i/>
        </w:rPr>
        <w:t>и</w:t>
      </w:r>
      <w:r>
        <w:rPr>
          <w:i/>
        </w:rPr>
        <w:t>жение в должности и гарантию занятости, а также на пользов</w:t>
      </w:r>
      <w:r>
        <w:rPr>
          <w:i/>
        </w:rPr>
        <w:t>а</w:t>
      </w:r>
      <w:r>
        <w:rPr>
          <w:i/>
        </w:rPr>
        <w:t>ние всеми льготами и условиями работы, на получение професси</w:t>
      </w:r>
      <w:r>
        <w:rPr>
          <w:i/>
        </w:rPr>
        <w:t>о</w:t>
      </w:r>
      <w:r>
        <w:rPr>
          <w:i/>
        </w:rPr>
        <w:t>нальной подготовки и переподготовки, включая ученичество, пр</w:t>
      </w:r>
      <w:r>
        <w:rPr>
          <w:i/>
        </w:rPr>
        <w:t>о</w:t>
      </w:r>
      <w:r>
        <w:rPr>
          <w:i/>
        </w:rPr>
        <w:t>фессиональную подготовку повышенного уровня и регулярную пер</w:t>
      </w:r>
      <w:r>
        <w:rPr>
          <w:i/>
        </w:rPr>
        <w:t>е</w:t>
      </w:r>
      <w:r>
        <w:rPr>
          <w:i/>
        </w:rPr>
        <w:t>по</w:t>
      </w:r>
      <w:r>
        <w:rPr>
          <w:i/>
        </w:rPr>
        <w:t>д</w:t>
      </w:r>
      <w:r>
        <w:rPr>
          <w:i/>
        </w:rPr>
        <w:t>готовку;</w:t>
      </w:r>
    </w:p>
    <w:p w:rsidR="00000000" w:rsidRDefault="00000000">
      <w:pPr>
        <w:pStyle w:val="SingleTxt"/>
      </w:pPr>
      <w:r>
        <w:t>Право на свободный выбор профессии и рода работы гарантируется Ко</w:t>
      </w:r>
      <w:r>
        <w:t>н</w:t>
      </w:r>
      <w:r>
        <w:t>ституцией, в соответствии с которой при найме на работу в государственном секторе не принимаются во внимание никакие дискриминационные соображ</w:t>
      </w:r>
      <w:r>
        <w:t>е</w:t>
      </w:r>
      <w:r>
        <w:t>ния, за исключением должностных требований, а также той нормой нового гражданского законодательства, согласно которой ни муж, ни жена не обязаны выбирать профессию или род р</w:t>
      </w:r>
      <w:r>
        <w:t>а</w:t>
      </w:r>
      <w:r>
        <w:t>боты с согласия своего партнера.</w:t>
      </w:r>
    </w:p>
    <w:p w:rsidR="00000000" w:rsidRDefault="00000000">
      <w:pPr>
        <w:pStyle w:val="SingleTxt"/>
      </w:pPr>
      <w:r>
        <w:t>В 1999 году были приняты национальные нормативные акты, предусма</w:t>
      </w:r>
      <w:r>
        <w:t>т</w:t>
      </w:r>
      <w:r>
        <w:t>ривающие объективные критерии повышения по службе государственных сл</w:t>
      </w:r>
      <w:r>
        <w:t>у</w:t>
      </w:r>
      <w:r>
        <w:t>жащих, относящихся к категории руководящих работников низового и среднего звена. Эти меры эффективно обеспечивали предотвращение какой бы то ни б</w:t>
      </w:r>
      <w:r>
        <w:t>ы</w:t>
      </w:r>
      <w:r>
        <w:t>ло дискриминации по признаку пола в том, что касается продвижения по слу</w:t>
      </w:r>
      <w:r>
        <w:t>ж</w:t>
      </w:r>
      <w:r>
        <w:t>бе, будучи нацеленными на повышение компетентности и развитие навыков, необходимых для успе</w:t>
      </w:r>
      <w:r>
        <w:t>ш</w:t>
      </w:r>
      <w:r>
        <w:t>ной карьеры.</w:t>
      </w:r>
    </w:p>
    <w:p w:rsidR="00000000" w:rsidRDefault="00000000">
      <w:pPr>
        <w:pStyle w:val="SingleTxt"/>
      </w:pPr>
      <w:r>
        <w:t>Однако ситуация в частном секторе складывается далеко не лучшим обр</w:t>
      </w:r>
      <w:r>
        <w:t>а</w:t>
      </w:r>
      <w:r>
        <w:t>зом. Результаты научных исследований свидетельствуют о том, что замужние, беременные женщины, либо женщины с детьми, могут получить отказ в приеме на работу и столкнуться с дискриминацией в том, что касается продвижения по службе или доступа к прохождению подготовки без отрыва от производства. К сожалению, не создано никаких эффективных нормативных механизмов, за и</w:t>
      </w:r>
      <w:r>
        <w:t>с</w:t>
      </w:r>
      <w:r>
        <w:t>ключением механизма рассмотрения претензий. Стремясь к устранению сущ</w:t>
      </w:r>
      <w:r>
        <w:t>е</w:t>
      </w:r>
      <w:r>
        <w:t>ствующих в этой области недостатков, министерство труда и социального обеспечения принимает меры по приведению условий труда и норм в этой о</w:t>
      </w:r>
      <w:r>
        <w:t>б</w:t>
      </w:r>
      <w:r>
        <w:t>ласти в соотве</w:t>
      </w:r>
      <w:r>
        <w:t>т</w:t>
      </w:r>
      <w:r>
        <w:t>ствие с критериями ЕС.</w:t>
      </w:r>
    </w:p>
    <w:p w:rsidR="00000000" w:rsidRDefault="00000000">
      <w:pPr>
        <w:pStyle w:val="SingleTxt"/>
      </w:pPr>
      <w:r>
        <w:t>Право девочек на свободный выбор профессии и рода работы серьезным образом нарушалось в тех случаях, когда по завершении пятилетнего начальн</w:t>
      </w:r>
      <w:r>
        <w:t>о</w:t>
      </w:r>
      <w:r>
        <w:t>го образования многие девочки в возрасте 10-11 лет принуждались к уходу из школы. После введения в 1997 году требования о восьмилетнем базовом обр</w:t>
      </w:r>
      <w:r>
        <w:t>а</w:t>
      </w:r>
      <w:r>
        <w:t>зовании девочки получили возможность учиться в школе на три года дольше, благодаря чему перед ними открылся более широкий круг вариантов, связа</w:t>
      </w:r>
      <w:r>
        <w:t>н</w:t>
      </w:r>
      <w:r>
        <w:t>ных с продолжением образования и выбором рода занятий (см. раздел насто</w:t>
      </w:r>
      <w:r>
        <w:t>я</w:t>
      </w:r>
      <w:r>
        <w:t>щего доклада, посвященный статье 10). Увеличив период обязательного базов</w:t>
      </w:r>
      <w:r>
        <w:t>о</w:t>
      </w:r>
      <w:r>
        <w:t>го образования, правительство Турции, кроме того, в 1998 году ратифициров</w:t>
      </w:r>
      <w:r>
        <w:t>а</w:t>
      </w:r>
      <w:r>
        <w:t>ло конвенцию МОТ № 138 о минимальном возрасте для приема на работу, а в 2001 году – Конвенцию МОТ № 182 об искоренении наихудших форм детского труда. Исходя из этого в закон об ученичестве и профессиональной подготовке были внесены поправки, касающиеся увеличения минимального возраста п</w:t>
      </w:r>
      <w:r>
        <w:t>о</w:t>
      </w:r>
      <w:r>
        <w:t>ступления на работу до 14 лет и регламентации условий труда с уделением особого внимания возможностям в области укрепления здоровья и прохожд</w:t>
      </w:r>
      <w:r>
        <w:t>е</w:t>
      </w:r>
      <w:r>
        <w:t>ния обучения/профессиональной подготовки для тех, кто начинает трудовую жизнь в юном возрасте. Кроме того, этот закон с внесенными в него поправк</w:t>
      </w:r>
      <w:r>
        <w:t>а</w:t>
      </w:r>
      <w:r>
        <w:t>ми содержит положения, которые регламентируют работу в неофициальном секторе, на улице, дома, а также неоплачиваемую работу. Одновременно с улучшением условий детского труда в контексте проекта МОТ/ИПЕК прин</w:t>
      </w:r>
      <w:r>
        <w:t>и</w:t>
      </w:r>
      <w:r>
        <w:t>маются все более активные меры к искоренению детского труда и обеспечения всех детей во</w:t>
      </w:r>
      <w:r>
        <w:t>з</w:t>
      </w:r>
      <w:r>
        <w:t>можностями для получения образования.</w:t>
      </w:r>
    </w:p>
    <w:p w:rsidR="00000000" w:rsidRDefault="00000000">
      <w:pPr>
        <w:pStyle w:val="SingleTxt"/>
      </w:pPr>
      <w:r>
        <w:t>Государства-участники принимают все соответствующие меры.... с тем чтобы обеспечить... :</w:t>
      </w:r>
    </w:p>
    <w:p w:rsidR="00000000" w:rsidRDefault="00000000">
      <w:pPr>
        <w:pStyle w:val="SingleTxt"/>
        <w:tabs>
          <w:tab w:val="clear" w:pos="1267"/>
        </w:tabs>
        <w:ind w:left="2246" w:hanging="505"/>
        <w:rPr>
          <w:i/>
        </w:rPr>
      </w:pPr>
      <w:r>
        <w:rPr>
          <w:b/>
          <w:i/>
        </w:rPr>
        <w:t>(</w:t>
      </w:r>
      <w:r>
        <w:rPr>
          <w:b/>
          <w:i/>
          <w:lang w:val="en-US"/>
        </w:rPr>
        <w:t>d</w:t>
      </w:r>
      <w:r>
        <w:rPr>
          <w:b/>
          <w:i/>
        </w:rPr>
        <w:t>)</w:t>
      </w:r>
      <w:r>
        <w:rPr>
          <w:i/>
        </w:rPr>
        <w:t xml:space="preserve"> </w:t>
      </w:r>
      <w:r>
        <w:rPr>
          <w:i/>
        </w:rPr>
        <w:tab/>
        <w:t>право на равное вознаграждение, включая получение льгот, на ра</w:t>
      </w:r>
      <w:r>
        <w:rPr>
          <w:i/>
        </w:rPr>
        <w:t>в</w:t>
      </w:r>
      <w:r>
        <w:rPr>
          <w:i/>
        </w:rPr>
        <w:t>ные условия в отношении труда равной ценности, а также на ра</w:t>
      </w:r>
      <w:r>
        <w:rPr>
          <w:i/>
        </w:rPr>
        <w:t>в</w:t>
      </w:r>
      <w:r>
        <w:rPr>
          <w:i/>
        </w:rPr>
        <w:t>ный подход к оценке качества раб</w:t>
      </w:r>
      <w:r>
        <w:rPr>
          <w:i/>
        </w:rPr>
        <w:t>о</w:t>
      </w:r>
      <w:r>
        <w:rPr>
          <w:i/>
        </w:rPr>
        <w:t>ты;</w:t>
      </w:r>
    </w:p>
    <w:p w:rsidR="00000000" w:rsidRDefault="00000000">
      <w:pPr>
        <w:pStyle w:val="SingleTxt"/>
      </w:pPr>
      <w:r>
        <w:t>В предыдущих докладах Турции указывается на то, что в Турции закон</w:t>
      </w:r>
      <w:r>
        <w:t>о</w:t>
      </w:r>
      <w:r>
        <w:t>дательным образом запрещена дискриминация по признаку пола в отношении оплаты труда. Не допускается, соответственно, включение в трудовые догов</w:t>
      </w:r>
      <w:r>
        <w:t>о</w:t>
      </w:r>
      <w:r>
        <w:t>ры и коллективные трудовые договоры положений о различной оплате труда в зависимости от половой принадлежности. Например, с 1971 года при опред</w:t>
      </w:r>
      <w:r>
        <w:t>е</w:t>
      </w:r>
      <w:r>
        <w:t>лении минимального размера заработной платы соблюдается норма о недоп</w:t>
      </w:r>
      <w:r>
        <w:t>у</w:t>
      </w:r>
      <w:r>
        <w:t>щении дискриминации. Соглашения об установлении заработной платы на уровне выше минимального, а также об установлении дополнительных льгот, могут заключаться свободно и без какой бы то ни было дискриминации по пр</w:t>
      </w:r>
      <w:r>
        <w:t>и</w:t>
      </w:r>
      <w:r>
        <w:t>знаку пола. Законодательством не допускается также установление государс</w:t>
      </w:r>
      <w:r>
        <w:t>т</w:t>
      </w:r>
      <w:r>
        <w:t>венным служащим различной заработной платы в зависимости от половой принадлежности, языка, расовой принадлежности, политических воззрений, взглядов, религиозной принадлежности и вероисповедания. Нарушение этих прав влечет за собой соответс</w:t>
      </w:r>
      <w:r>
        <w:t>т</w:t>
      </w:r>
      <w:r>
        <w:t>вующее наказание.</w:t>
      </w:r>
    </w:p>
    <w:p w:rsidR="00000000" w:rsidRDefault="00000000">
      <w:pPr>
        <w:pStyle w:val="SingleTxt"/>
      </w:pPr>
      <w:r>
        <w:t>Несмотря на то, что принцип равной оплаты за труд равной ценности г</w:t>
      </w:r>
      <w:r>
        <w:t>а</w:t>
      </w:r>
      <w:r>
        <w:t>рантирован законом, женщины и мужчины получают различную заработную плату и оклады, что обусловлено гендерным неравенством в том, что касается уровня образования, непрерывности трудового стажа, процедур продвижения в должности и т.д. Поскольку в руководящем звене как государственного, так и частного сектора преобладают мужчины, мужчины зарабатывают больше же</w:t>
      </w:r>
      <w:r>
        <w:t>н</w:t>
      </w:r>
      <w:r>
        <w:t>щин на 20-60 процентов в государственном секторе и на 30-150 процентов в частном секторе. Различия в размере заработной платы наиболее заметны как на государственных, так и на частных предприятиях в сельском хозяйстве, ж</w:t>
      </w:r>
      <w:r>
        <w:t>и</w:t>
      </w:r>
      <w:r>
        <w:t>вотноводстве, лесном хозяйстве и рыбном хозяйстве. Относительно равную з</w:t>
      </w:r>
      <w:r>
        <w:t>а</w:t>
      </w:r>
      <w:r>
        <w:t>работную плату, как правило, получают те женщины и мужчины, которые о</w:t>
      </w:r>
      <w:r>
        <w:t>т</w:t>
      </w:r>
      <w:r>
        <w:t>носятся к категории руководящих работников. Несмотря на то, что различия в размере заработной платы в разбивке по полу в государственном секторе не з</w:t>
      </w:r>
      <w:r>
        <w:t>а</w:t>
      </w:r>
      <w:r>
        <w:t>висят от размера соответствующего предприятия, на предприятиях частного сектора с более чем двадцатью занятыми заработная плата мужчин, как прав</w:t>
      </w:r>
      <w:r>
        <w:t>и</w:t>
      </w:r>
      <w:r>
        <w:t>ло, превышает заработную плату женщин. Например, по данным проведенного Турецкой конфедерацией союзов работодателей в 1998 году обследования 258 крупных предприятий, на которых действует система заключения колле</w:t>
      </w:r>
      <w:r>
        <w:t>к</w:t>
      </w:r>
      <w:r>
        <w:t>тивных трудовых договоров, чистый оклад женщин составлял 90,4 процента от чистого оклада мужчин. Отсутствие полных данных относительно различий в оплате труда обусловлено тем фактом, что после 1994 года Государственный статистический институт перестал собирать данные о зарабо</w:t>
      </w:r>
      <w:r>
        <w:t>т</w:t>
      </w:r>
      <w:r>
        <w:t>ной плате.</w:t>
      </w:r>
    </w:p>
    <w:p w:rsidR="00000000" w:rsidRDefault="00000000">
      <w:pPr>
        <w:pStyle w:val="SingleTxt"/>
      </w:pPr>
      <w:r>
        <w:t>Государства-участники принимают все соответствующие меры.... с тем чтобы обеспечить... :</w:t>
      </w:r>
    </w:p>
    <w:p w:rsidR="00000000" w:rsidRDefault="00000000">
      <w:pPr>
        <w:pStyle w:val="SingleTxt"/>
        <w:tabs>
          <w:tab w:val="clear" w:pos="1267"/>
        </w:tabs>
        <w:ind w:left="2246" w:hanging="505"/>
        <w:rPr>
          <w:i/>
        </w:rPr>
      </w:pPr>
      <w:r>
        <w:rPr>
          <w:b/>
          <w:i/>
        </w:rPr>
        <w:t>(е)</w:t>
      </w:r>
      <w:r>
        <w:rPr>
          <w:i/>
        </w:rPr>
        <w:tab/>
        <w:t>право на социальное обеспечение, в частности в случае ухода на пенсию, безработицы, болезни, инвалидности, по старости и в др</w:t>
      </w:r>
      <w:r>
        <w:rPr>
          <w:i/>
        </w:rPr>
        <w:t>у</w:t>
      </w:r>
      <w:r>
        <w:rPr>
          <w:i/>
        </w:rPr>
        <w:t>гих случаях потери трудоспособности, а также право на оплач</w:t>
      </w:r>
      <w:r>
        <w:rPr>
          <w:i/>
        </w:rPr>
        <w:t>и</w:t>
      </w:r>
      <w:r>
        <w:rPr>
          <w:i/>
        </w:rPr>
        <w:t>ваемый отпуск;</w:t>
      </w:r>
    </w:p>
    <w:p w:rsidR="00000000" w:rsidRDefault="00000000">
      <w:pPr>
        <w:pStyle w:val="SingleTxt"/>
      </w:pPr>
      <w:r>
        <w:t>Нормативно-правовая база системы социального обеспечения была оп</w:t>
      </w:r>
      <w:r>
        <w:t>и</w:t>
      </w:r>
      <w:r>
        <w:t>сана во втором и третьем объединенных докладах Турции. За исключением п</w:t>
      </w:r>
      <w:r>
        <w:t>о</w:t>
      </w:r>
      <w:r>
        <w:t>ложения о семейной поддержке, система социального обеспечения Турции о</w:t>
      </w:r>
      <w:r>
        <w:t>т</w:t>
      </w:r>
      <w:r>
        <w:t>вечает тр</w:t>
      </w:r>
      <w:r>
        <w:t>е</w:t>
      </w:r>
      <w:r>
        <w:t>бованиям Конвенции 102 МОТ, однако:</w:t>
      </w:r>
    </w:p>
    <w:p w:rsidR="00000000" w:rsidRDefault="00000000">
      <w:pPr>
        <w:pStyle w:val="dot"/>
      </w:pPr>
      <w:r>
        <w:rPr>
          <w:lang w:val="en-US"/>
        </w:rPr>
        <w:tab/>
      </w:r>
      <w:r>
        <w:rPr>
          <w:lang w:val="en-US"/>
        </w:rPr>
        <w:tab/>
      </w:r>
      <w:r>
        <w:t>1.</w:t>
      </w:r>
      <w:r>
        <w:tab/>
        <w:t>Программы социального обеспечения, охватывающие независимых р</w:t>
      </w:r>
      <w:r>
        <w:t>а</w:t>
      </w:r>
      <w:r>
        <w:t>ботников, не предусматривают страхование расходов, связанных с бер</w:t>
      </w:r>
      <w:r>
        <w:t>е</w:t>
      </w:r>
      <w:r>
        <w:t>менн</w:t>
      </w:r>
      <w:r>
        <w:t>о</w:t>
      </w:r>
      <w:r>
        <w:t>стью;</w:t>
      </w:r>
    </w:p>
    <w:p w:rsidR="00000000" w:rsidRDefault="00000000">
      <w:pPr>
        <w:pStyle w:val="dot"/>
      </w:pPr>
      <w:r>
        <w:rPr>
          <w:lang w:val="en-US"/>
        </w:rPr>
        <w:tab/>
      </w:r>
      <w:r>
        <w:rPr>
          <w:lang w:val="en-US"/>
        </w:rPr>
        <w:tab/>
      </w:r>
      <w:r>
        <w:t>2.</w:t>
      </w:r>
      <w:r>
        <w:tab/>
        <w:t>Несмотря на то, что понятие "главы домашнего хозяйства" в 2001 году было исключено из Гражданского кодекса, оно по-прежнему в обязател</w:t>
      </w:r>
      <w:r>
        <w:t>ь</w:t>
      </w:r>
      <w:r>
        <w:t>ном порядке учитывается при оценке программ в области социального обеспечения в интересах независимых работников сельского хозяйства, что ставит женщин в неравноправное положение;</w:t>
      </w:r>
    </w:p>
    <w:p w:rsidR="00000000" w:rsidRDefault="00000000">
      <w:pPr>
        <w:pStyle w:val="dot"/>
      </w:pPr>
      <w:r>
        <w:tab/>
      </w:r>
      <w:r>
        <w:tab/>
        <w:t>3.</w:t>
      </w:r>
      <w:r>
        <w:tab/>
        <w:t>Из-за незначительности своей доли в официальной рабочей силе женщ</w:t>
      </w:r>
      <w:r>
        <w:t>и</w:t>
      </w:r>
      <w:r>
        <w:t>ны теряют возможности независимого доступа к благам системы соц</w:t>
      </w:r>
      <w:r>
        <w:t>и</w:t>
      </w:r>
      <w:r>
        <w:t>ального обеспечения. Зависимость от мужа или отца в плане социального обесп</w:t>
      </w:r>
      <w:r>
        <w:t>е</w:t>
      </w:r>
      <w:r>
        <w:t>чения подрывает самостоятельность женщин;</w:t>
      </w:r>
    </w:p>
    <w:p w:rsidR="00000000" w:rsidRDefault="00000000">
      <w:pPr>
        <w:pStyle w:val="dot"/>
      </w:pPr>
      <w:r>
        <w:rPr>
          <w:lang w:val="en-US"/>
        </w:rPr>
        <w:tab/>
      </w:r>
      <w:r>
        <w:rPr>
          <w:lang w:val="en-US"/>
        </w:rPr>
        <w:tab/>
      </w:r>
      <w:r>
        <w:t>4.</w:t>
      </w:r>
      <w:r>
        <w:tab/>
        <w:t>Те домашние хозяйки, которые не имеют самостоятельного источника д</w:t>
      </w:r>
      <w:r>
        <w:t>о</w:t>
      </w:r>
      <w:r>
        <w:t>хода, не могут воспользоваться возможностями системы частного мед</w:t>
      </w:r>
      <w:r>
        <w:t>и</w:t>
      </w:r>
      <w:r>
        <w:t>цинского страхования, возникшей с принятием в 2000 году закона, к</w:t>
      </w:r>
      <w:r>
        <w:t>а</w:t>
      </w:r>
      <w:r>
        <w:t>сающегося индив</w:t>
      </w:r>
      <w:r>
        <w:t>и</w:t>
      </w:r>
      <w:r>
        <w:t>дуальных программ пенсионного страхования;</w:t>
      </w:r>
    </w:p>
    <w:p w:rsidR="00000000" w:rsidRDefault="00000000">
      <w:pPr>
        <w:pStyle w:val="dot"/>
      </w:pPr>
      <w:r>
        <w:tab/>
      </w:r>
      <w:r>
        <w:tab/>
        <w:t>5.</w:t>
      </w:r>
      <w:r>
        <w:tab/>
        <w:t>Действующей программы назначения пенсии по старости, в которой в принципе могут принять участие все "нуждающиеся" женщины и мужч</w:t>
      </w:r>
      <w:r>
        <w:t>и</w:t>
      </w:r>
      <w:r>
        <w:t>ны старше 65 лет, недостаточно для удовлетворения нужд стареющего н</w:t>
      </w:r>
      <w:r>
        <w:t>а</w:t>
      </w:r>
      <w:r>
        <w:t>селения, в частности, в сельских районах. При отсутствии другого исто</w:t>
      </w:r>
      <w:r>
        <w:t>ч</w:t>
      </w:r>
      <w:r>
        <w:t>ника средств к существованию в особо уязвимом положении оказываются пожилые женщины, которые обычно живут дольше мужчин.</w:t>
      </w:r>
    </w:p>
    <w:p w:rsidR="00000000" w:rsidRDefault="00000000">
      <w:pPr>
        <w:pStyle w:val="SingleTxt"/>
      </w:pPr>
      <w:r>
        <w:t>Действующими системами социального обеспечения теоретически охв</w:t>
      </w:r>
      <w:r>
        <w:t>а</w:t>
      </w:r>
      <w:r>
        <w:t>чены все женщины; либо непосредственным образом, если они работают, либо косвенным образом, если они не работают, через своих родителей, мужа или детей. Таким образом, у женщин не появится больше возможностей в плане доступа к системе социального обеспечения до тех пор, пока в экономике не будут созданы дополнительные рабочие места и пока не возрастет доля же</w:t>
      </w:r>
      <w:r>
        <w:t>н</w:t>
      </w:r>
      <w:r>
        <w:t>щин в официальной рабочей силе. Однако проблему различий в сферах охвата трех основных программ в Турции, включающих как медицинское обслужив</w:t>
      </w:r>
      <w:r>
        <w:t>а</w:t>
      </w:r>
      <w:r>
        <w:t xml:space="preserve">ние, так и пенсионную систему, это не решит. </w:t>
      </w:r>
      <w:r>
        <w:rPr>
          <w:caps/>
        </w:rPr>
        <w:t>в</w:t>
      </w:r>
      <w:r>
        <w:t>опрос об упорядочении пр</w:t>
      </w:r>
      <w:r>
        <w:t>о</w:t>
      </w:r>
      <w:r>
        <w:t>грамм социального обеспечения включен в программу пятьдесят восьмого пр</w:t>
      </w:r>
      <w:r>
        <w:t>а</w:t>
      </w:r>
      <w:r>
        <w:t xml:space="preserve">вительства. </w:t>
      </w:r>
    </w:p>
    <w:p w:rsidR="00000000" w:rsidRDefault="00000000">
      <w:pPr>
        <w:pStyle w:val="SingleTxt"/>
      </w:pPr>
      <w:r>
        <w:t>Несмотря на то, что за прошедшие годы возможности женщин в плане доступа к программам социального обеспечения несколько расширились, с учетом перечисленных выше препятствий можно сделать вывод о том, что с</w:t>
      </w:r>
      <w:r>
        <w:t>и</w:t>
      </w:r>
      <w:r>
        <w:t>туация складывается далеко не лучшим образом. За период с 1994 по 2001 год доля женщин среди клиентов частной системы социального обеспечения (</w:t>
      </w:r>
      <w:r>
        <w:rPr>
          <w:lang w:val="en-US"/>
        </w:rPr>
        <w:t>Ba</w:t>
      </w:r>
      <w:r>
        <w:t>ğ</w:t>
      </w:r>
      <w:r>
        <w:rPr>
          <w:lang w:val="en-US"/>
        </w:rPr>
        <w:t>Kur</w:t>
      </w:r>
      <w:r>
        <w:t>) возросла с 9,4 до 9,6, среди участников программы ССК – с 9,9 до 19,9, а в системе, охватывающей государственных служащих (</w:t>
      </w:r>
      <w:r>
        <w:rPr>
          <w:lang w:val="en-US"/>
        </w:rPr>
        <w:t>Emekli</w:t>
      </w:r>
      <w:r>
        <w:t xml:space="preserve"> </w:t>
      </w:r>
      <w:r>
        <w:rPr>
          <w:lang w:val="en-US"/>
        </w:rPr>
        <w:t>Sandi</w:t>
      </w:r>
      <w:r>
        <w:t>ğ</w:t>
      </w:r>
      <w:r>
        <w:rPr>
          <w:lang w:val="en-US"/>
        </w:rPr>
        <w:t>i</w:t>
      </w:r>
      <w:r>
        <w:t>), – с 30,6 процента до 33,1 процента.</w:t>
      </w:r>
    </w:p>
    <w:p w:rsidR="00000000" w:rsidRDefault="00000000">
      <w:pPr>
        <w:pStyle w:val="SingleTxt"/>
      </w:pPr>
      <w:r>
        <w:t>Государства-участники принимают все соответствующие меры.... с тем чтобы обеспечить... :</w:t>
      </w:r>
    </w:p>
    <w:p w:rsidR="00000000" w:rsidRDefault="00000000">
      <w:pPr>
        <w:pStyle w:val="SingleTxt"/>
        <w:tabs>
          <w:tab w:val="clear" w:pos="1267"/>
        </w:tabs>
        <w:ind w:left="2246" w:hanging="505"/>
        <w:rPr>
          <w:i/>
        </w:rPr>
      </w:pPr>
      <w:r>
        <w:rPr>
          <w:b/>
          <w:i/>
        </w:rPr>
        <w:t>(</w:t>
      </w:r>
      <w:r>
        <w:rPr>
          <w:b/>
          <w:i/>
          <w:lang w:val="en-US"/>
        </w:rPr>
        <w:t>f</w:t>
      </w:r>
      <w:r>
        <w:rPr>
          <w:b/>
          <w:i/>
        </w:rPr>
        <w:t>)</w:t>
      </w:r>
      <w:r>
        <w:rPr>
          <w:i/>
        </w:rPr>
        <w:t xml:space="preserve"> </w:t>
      </w:r>
      <w:r>
        <w:rPr>
          <w:i/>
        </w:rPr>
        <w:tab/>
        <w:t>право на охрану здоровья и безопасные условия труда, в том числе по сохранению функции продолжения рода.</w:t>
      </w:r>
    </w:p>
    <w:p w:rsidR="00000000" w:rsidRDefault="00000000">
      <w:pPr>
        <w:pStyle w:val="SingleTxt"/>
      </w:pPr>
      <w:r>
        <w:t>После подготовки предыдущего доклада Турции механизмы правового р</w:t>
      </w:r>
      <w:r>
        <w:t>е</w:t>
      </w:r>
      <w:r>
        <w:t>гулирования не изменились. Однако для улучшения условий труда и укрепл</w:t>
      </w:r>
      <w:r>
        <w:t>е</w:t>
      </w:r>
      <w:r>
        <w:t>ния соответствующих институтов были приняты определе</w:t>
      </w:r>
      <w:r>
        <w:t>н</w:t>
      </w:r>
      <w:r>
        <w:t>ные меры.</w:t>
      </w:r>
    </w:p>
    <w:p w:rsidR="00000000" w:rsidRDefault="00000000">
      <w:pPr>
        <w:pStyle w:val="SingleTxt"/>
      </w:pPr>
      <w:r>
        <w:t>В этом отношении в октябре 2000 года Департамент по вопросам гигиены труда министерства труда и социального обеспечения был преобразован в Г</w:t>
      </w:r>
      <w:r>
        <w:t>е</w:t>
      </w:r>
      <w:r>
        <w:t>неральное управление по вопросам гигиены труда. Это генеральное управление уполномочено проводить обзоры национальных нормативных актов по вопр</w:t>
      </w:r>
      <w:r>
        <w:t>о</w:t>
      </w:r>
      <w:r>
        <w:t>сам гигиены и охраны труда и вносить в них поправки в соответствии с норм</w:t>
      </w:r>
      <w:r>
        <w:t>а</w:t>
      </w:r>
      <w:r>
        <w:t>ми ЕС. В связи с проведением реорганизации в структуре генерального упра</w:t>
      </w:r>
      <w:r>
        <w:t>в</w:t>
      </w:r>
      <w:r>
        <w:t>ления началось создание новой секции по вопросам "групп риска", которая должна заниматься конкретными проблем</w:t>
      </w:r>
      <w:r>
        <w:t>а</w:t>
      </w:r>
      <w:r>
        <w:t>ми детей, женщин и инвалидов.</w:t>
      </w:r>
    </w:p>
    <w:p w:rsidR="00000000" w:rsidRDefault="00000000">
      <w:pPr>
        <w:pStyle w:val="SingleTxt"/>
      </w:pPr>
      <w:r>
        <w:t>Надзор за соблюдением норм гигиены труда, а также за условиями труда, осуществляет отдел трудовых инспекций министерства и инспекционный отдел Института социального обеспечения. В общей сложности 674 трудовых и</w:t>
      </w:r>
      <w:r>
        <w:t>н</w:t>
      </w:r>
      <w:r>
        <w:t>спектора, 85 из которых – это женщины, проводят регулярные инспекции и расследования в связи с полученными жалобами. С другой стороны, инспект</w:t>
      </w:r>
      <w:r>
        <w:t>о</w:t>
      </w:r>
      <w:r>
        <w:t>ра по вопросам социального обеспечения определяют величину страховых премий, а также проводят расследование в случаях возникновения производс</w:t>
      </w:r>
      <w:r>
        <w:t>т</w:t>
      </w:r>
      <w:r>
        <w:t>венных травм и заб</w:t>
      </w:r>
      <w:r>
        <w:t>о</w:t>
      </w:r>
      <w:r>
        <w:t>леваний.</w:t>
      </w:r>
    </w:p>
    <w:p w:rsidR="00000000" w:rsidRDefault="00000000">
      <w:pPr>
        <w:pStyle w:val="SingleTxt"/>
        <w:rPr>
          <w:i/>
        </w:rPr>
      </w:pPr>
      <w:r>
        <w:rPr>
          <w:b/>
          <w:i/>
        </w:rPr>
        <w:t xml:space="preserve">11. 2. </w:t>
      </w:r>
      <w:r>
        <w:rPr>
          <w:i/>
        </w:rPr>
        <w:t>Для предупреждения дискриминации в отношении женщин по пр</w:t>
      </w:r>
      <w:r>
        <w:rPr>
          <w:i/>
        </w:rPr>
        <w:t>и</w:t>
      </w:r>
      <w:r>
        <w:rPr>
          <w:i/>
        </w:rPr>
        <w:t>чине замужества или материнства и гарантирования им эффективного права на труд государства-участники принимают соответствующие меры для т</w:t>
      </w:r>
      <w:r>
        <w:rPr>
          <w:i/>
        </w:rPr>
        <w:t>о</w:t>
      </w:r>
      <w:r>
        <w:rPr>
          <w:i/>
        </w:rPr>
        <w:t>го, чтобы:</w:t>
      </w:r>
    </w:p>
    <w:p w:rsidR="00000000" w:rsidRDefault="00000000">
      <w:pPr>
        <w:pStyle w:val="SingleTxt"/>
        <w:tabs>
          <w:tab w:val="clear" w:pos="1267"/>
        </w:tabs>
        <w:ind w:left="2246" w:hanging="505"/>
        <w:rPr>
          <w:i/>
        </w:rPr>
      </w:pPr>
      <w:r>
        <w:rPr>
          <w:b/>
          <w:i/>
        </w:rPr>
        <w:t xml:space="preserve">(а) </w:t>
      </w:r>
      <w:r>
        <w:rPr>
          <w:b/>
          <w:i/>
        </w:rPr>
        <w:tab/>
      </w:r>
      <w:r>
        <w:rPr>
          <w:i/>
        </w:rPr>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w:t>
      </w:r>
      <w:r>
        <w:rPr>
          <w:i/>
        </w:rPr>
        <w:t>й</w:t>
      </w:r>
      <w:r>
        <w:rPr>
          <w:i/>
        </w:rPr>
        <w:t>ного положения при увольнении;</w:t>
      </w:r>
    </w:p>
    <w:p w:rsidR="00000000" w:rsidRDefault="00000000">
      <w:pPr>
        <w:pStyle w:val="SingleTxt"/>
      </w:pPr>
      <w:r>
        <w:t>Соответствующая информация приводится во втором и третьем объед</w:t>
      </w:r>
      <w:r>
        <w:t>и</w:t>
      </w:r>
      <w:r>
        <w:t>ненных докладах Турции.</w:t>
      </w:r>
    </w:p>
    <w:p w:rsidR="00000000" w:rsidRDefault="00000000">
      <w:pPr>
        <w:pStyle w:val="SingleTxt"/>
      </w:pPr>
      <w:r>
        <w:t>Для предупреждения дискриминации...государства-участники принимают соответствующие меры для того, чт</w:t>
      </w:r>
      <w:r>
        <w:t>о</w:t>
      </w:r>
      <w:r>
        <w:t>бы:</w:t>
      </w:r>
    </w:p>
    <w:p w:rsidR="00000000" w:rsidRDefault="00000000">
      <w:pPr>
        <w:pStyle w:val="SingleTxt"/>
        <w:ind w:left="2246" w:hanging="505"/>
        <w:rPr>
          <w:i/>
        </w:rPr>
      </w:pPr>
      <w:r>
        <w:rPr>
          <w:b/>
          <w:i/>
        </w:rPr>
        <w:t>(</w:t>
      </w:r>
      <w:r>
        <w:rPr>
          <w:b/>
          <w:i/>
          <w:lang w:val="en-US"/>
        </w:rPr>
        <w:t>b</w:t>
      </w:r>
      <w:r>
        <w:rPr>
          <w:b/>
          <w:i/>
        </w:rPr>
        <w:t>)</w:t>
      </w:r>
      <w:r>
        <w:rPr>
          <w:i/>
        </w:rPr>
        <w:t xml:space="preserve"> </w:t>
      </w:r>
      <w:r>
        <w:rPr>
          <w:i/>
        </w:rPr>
        <w:tab/>
        <w:t>ввести оплачиваемые отпуска или отпуска с сопоставимыми соц</w:t>
      </w:r>
      <w:r>
        <w:rPr>
          <w:i/>
        </w:rPr>
        <w:t>и</w:t>
      </w:r>
      <w:r>
        <w:rPr>
          <w:i/>
        </w:rPr>
        <w:t>альными пособиями по беременности и родам без утраты прежнего места раб</w:t>
      </w:r>
      <w:r>
        <w:rPr>
          <w:i/>
        </w:rPr>
        <w:t>о</w:t>
      </w:r>
      <w:r>
        <w:rPr>
          <w:i/>
        </w:rPr>
        <w:t>ты, старшинства или социальных пособий;</w:t>
      </w:r>
    </w:p>
    <w:p w:rsidR="00000000" w:rsidRDefault="00000000">
      <w:pPr>
        <w:pStyle w:val="SingleTxt"/>
      </w:pPr>
      <w:r>
        <w:t>Важнейшим событием, произошедшим после подготовки предыдущего доклада и затронувшим соответствующее законодательство, стало принятие программы страхования от безработицы от 2000 года, которая дает возмо</w:t>
      </w:r>
      <w:r>
        <w:t>ж</w:t>
      </w:r>
      <w:r>
        <w:t>ность застрахованному лицу и его/ее иждивенцам не лишиться на период бе</w:t>
      </w:r>
      <w:r>
        <w:t>з</w:t>
      </w:r>
      <w:r>
        <w:t>работицы медицинской помощи и пособий по беременности и родам (см. ра</w:t>
      </w:r>
      <w:r>
        <w:t>з</w:t>
      </w:r>
      <w:r>
        <w:t>дел настоящего доклада, посвященный ст</w:t>
      </w:r>
      <w:r>
        <w:t>а</w:t>
      </w:r>
      <w:r>
        <w:t>тье 11/3).</w:t>
      </w:r>
    </w:p>
    <w:p w:rsidR="00000000" w:rsidRDefault="00000000">
      <w:pPr>
        <w:pStyle w:val="SingleTxt"/>
      </w:pPr>
      <w:r>
        <w:t>Для предупреждения дискриминации...государства-участники принимают соответствующие меры для того, чт</w:t>
      </w:r>
      <w:r>
        <w:t>о</w:t>
      </w:r>
      <w:r>
        <w:t>бы:</w:t>
      </w:r>
    </w:p>
    <w:p w:rsidR="00000000" w:rsidRDefault="00000000">
      <w:pPr>
        <w:pStyle w:val="SingleTxt"/>
        <w:ind w:left="2246" w:hanging="505"/>
        <w:rPr>
          <w:i/>
        </w:rPr>
      </w:pPr>
      <w:r>
        <w:rPr>
          <w:b/>
          <w:i/>
        </w:rPr>
        <w:t>(с)</w:t>
      </w:r>
      <w:r>
        <w:rPr>
          <w:i/>
        </w:rPr>
        <w:t xml:space="preserve"> </w:t>
      </w:r>
      <w:r>
        <w:rPr>
          <w:i/>
        </w:rPr>
        <w:tab/>
        <w:t>поощрять предоставление необходимых дополнительных социал</w:t>
      </w:r>
      <w:r>
        <w:rPr>
          <w:i/>
        </w:rPr>
        <w:t>ь</w:t>
      </w:r>
      <w:r>
        <w:rPr>
          <w:i/>
        </w:rPr>
        <w:t>ных услуг, с тем чтобы позволить родителям совмещать выполн</w:t>
      </w:r>
      <w:r>
        <w:rPr>
          <w:i/>
        </w:rPr>
        <w:t>е</w:t>
      </w:r>
      <w:r>
        <w:rPr>
          <w:i/>
        </w:rPr>
        <w:t>ние семейных обязанностей с трудовой деятельностью и участием в общественной жизни, в частности посредством создания и ра</w:t>
      </w:r>
      <w:r>
        <w:rPr>
          <w:i/>
        </w:rPr>
        <w:t>с</w:t>
      </w:r>
      <w:r>
        <w:rPr>
          <w:i/>
        </w:rPr>
        <w:t>ширения сети учреждений по уходу за детьми;</w:t>
      </w:r>
    </w:p>
    <w:p w:rsidR="00000000" w:rsidRDefault="00000000">
      <w:pPr>
        <w:pStyle w:val="SingleTxt"/>
      </w:pPr>
      <w:r>
        <w:t>После подготовки второго и третьего объединенных докладов Турции н</w:t>
      </w:r>
      <w:r>
        <w:t>и</w:t>
      </w:r>
      <w:r>
        <w:t>каких изменений не произошло. Трудовые инспектора по-прежнему инспект</w:t>
      </w:r>
      <w:r>
        <w:t>и</w:t>
      </w:r>
      <w:r>
        <w:t>руют рабочие места для проверки соблюдения установленных законодательс</w:t>
      </w:r>
      <w:r>
        <w:t>т</w:t>
      </w:r>
      <w:r>
        <w:t>вом норм относительно дневного ухода и создания комнат матери и ребенка. Однако механизмы обеспечения соблюдения этих норм эффективностью не о</w:t>
      </w:r>
      <w:r>
        <w:t>т</w:t>
      </w:r>
      <w:r>
        <w:t>личаются.</w:t>
      </w:r>
    </w:p>
    <w:p w:rsidR="00000000" w:rsidRDefault="00000000">
      <w:pPr>
        <w:pStyle w:val="SingleTxt"/>
        <w:ind w:left="2246" w:hanging="505"/>
        <w:rPr>
          <w:i/>
        </w:rPr>
      </w:pPr>
      <w:r>
        <w:rPr>
          <w:b/>
          <w:i/>
        </w:rPr>
        <w:t>(</w:t>
      </w:r>
      <w:r>
        <w:rPr>
          <w:b/>
          <w:i/>
          <w:lang w:val="en-US"/>
        </w:rPr>
        <w:t>d</w:t>
      </w:r>
      <w:r>
        <w:rPr>
          <w:b/>
          <w:i/>
        </w:rPr>
        <w:t>)</w:t>
      </w:r>
      <w:r>
        <w:rPr>
          <w:i/>
        </w:rPr>
        <w:t xml:space="preserve"> </w:t>
      </w:r>
      <w:r>
        <w:rPr>
          <w:i/>
        </w:rPr>
        <w:tab/>
        <w:t>обеспечивать женщинам особую защиту в период беременности на тех видах работ, вредность которых для их здоровья доказ</w:t>
      </w:r>
      <w:r>
        <w:rPr>
          <w:i/>
        </w:rPr>
        <w:t>а</w:t>
      </w:r>
      <w:r>
        <w:rPr>
          <w:i/>
        </w:rPr>
        <w:t>на.</w:t>
      </w:r>
    </w:p>
    <w:p w:rsidR="00000000" w:rsidRDefault="00000000">
      <w:pPr>
        <w:pStyle w:val="SingleTxt"/>
      </w:pPr>
      <w:r>
        <w:t>Соответствующая информация приводится во втором и третьем объед</w:t>
      </w:r>
      <w:r>
        <w:t>и</w:t>
      </w:r>
      <w:r>
        <w:t>ненных докладах Турции.</w:t>
      </w:r>
    </w:p>
    <w:p w:rsidR="00000000" w:rsidRDefault="00000000">
      <w:pPr>
        <w:pStyle w:val="SingleTxt"/>
        <w:rPr>
          <w:i/>
        </w:rPr>
      </w:pPr>
      <w:r>
        <w:rPr>
          <w:b/>
          <w:i/>
        </w:rPr>
        <w:t>11.3.</w:t>
      </w:r>
      <w:r>
        <w:rPr>
          <w:i/>
        </w:rPr>
        <w:t xml:space="preserve"> Законодательство, касающееся защиты прав, затрагиваемых в н</w:t>
      </w:r>
      <w:r>
        <w:rPr>
          <w:i/>
        </w:rPr>
        <w:t>а</w:t>
      </w:r>
      <w:r>
        <w:rPr>
          <w:i/>
        </w:rPr>
        <w:t>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SingleTxt"/>
      </w:pPr>
      <w:r>
        <w:t>Разработка законодательства, касающегося защиты прав, затрагиваемых в этой статье, относится к компетенции министерства труда и социального обе</w:t>
      </w:r>
      <w:r>
        <w:t>с</w:t>
      </w:r>
      <w:r>
        <w:t>печения. ГУЖ тесно сотрудничает с этим министерством в деле определения тех направлений, на которые следует обратить внимание в ходе разработки п</w:t>
      </w:r>
      <w:r>
        <w:t>о</w:t>
      </w:r>
      <w:r>
        <w:t>литики и проведения законодательных реформ.</w:t>
      </w:r>
    </w:p>
    <w:p w:rsidR="00000000" w:rsidRDefault="00000000">
      <w:pPr>
        <w:pStyle w:val="HCh"/>
      </w:pPr>
      <w:r>
        <w:br w:type="page"/>
        <w:t>Равенство возможностей доступа к медицинской помощи</w:t>
      </w:r>
    </w:p>
    <w:p w:rsidR="00000000" w:rsidRDefault="00000000">
      <w:pPr>
        <w:pStyle w:val="SingleTxt"/>
        <w:rPr>
          <w:i/>
        </w:rPr>
      </w:pPr>
      <w:r>
        <w:rPr>
          <w:b/>
          <w:i/>
        </w:rPr>
        <w:t>Статья 12.1.</w:t>
      </w:r>
      <w:r>
        <w:t xml:space="preserve"> </w:t>
      </w:r>
      <w:r>
        <w:rPr>
          <w:i/>
        </w:rPr>
        <w:t>Государства-участники принимают все соответствующие меры для ликвидации дискриминации в отношении женщин в области здрав</w:t>
      </w:r>
      <w:r>
        <w:rPr>
          <w:i/>
        </w:rPr>
        <w:t>о</w:t>
      </w:r>
      <w:r>
        <w:rPr>
          <w:i/>
        </w:rPr>
        <w:t>охранения, с тем чтобы обеспечить на основе равенства мужчин и женщин доступ к медицинскому обслуживанию, в частности в том, что касается пл</w:t>
      </w:r>
      <w:r>
        <w:rPr>
          <w:i/>
        </w:rPr>
        <w:t>а</w:t>
      </w:r>
      <w:r>
        <w:rPr>
          <w:i/>
        </w:rPr>
        <w:t>нирования размера семьи.</w:t>
      </w:r>
    </w:p>
    <w:p w:rsidR="00000000" w:rsidRDefault="00000000">
      <w:pPr>
        <w:pStyle w:val="SingleTxt"/>
      </w:pPr>
      <w:r>
        <w:t>В соответствии с принятым в 1961 году законом (224) службы медици</w:t>
      </w:r>
      <w:r>
        <w:t>н</w:t>
      </w:r>
      <w:r>
        <w:t>ского обслуживания были национализированы и объединены в единую систему первичной медико-санитарной помощи, охватывающей всю страну. В этом о</w:t>
      </w:r>
      <w:r>
        <w:t>т</w:t>
      </w:r>
      <w:r>
        <w:t>ношении имеется более 10 000 медицинских пунктов, 5 000 медицинских це</w:t>
      </w:r>
      <w:r>
        <w:t>н</w:t>
      </w:r>
      <w:r>
        <w:t>тров и 400 центров охраны здоровья матери и ребенка и планирования семьи, которые оказывают первичную медико-санитарную помощь жителям сельских и городских районов бесплатно, хотя в некоторых случаях и может быть уст</w:t>
      </w:r>
      <w:r>
        <w:t>а</w:t>
      </w:r>
      <w:r>
        <w:t>новлена минимальная плата. Тогда как учреждения первых двух видов разм</w:t>
      </w:r>
      <w:r>
        <w:t>е</w:t>
      </w:r>
      <w:r>
        <w:t>щаются в сельских и городских районах, центры охраны здоровья матери и р</w:t>
      </w:r>
      <w:r>
        <w:t>е</w:t>
      </w:r>
      <w:r>
        <w:t>бенка и планирования семьи находятся в городах.</w:t>
      </w:r>
    </w:p>
    <w:p w:rsidR="00000000" w:rsidRDefault="00000000">
      <w:pPr>
        <w:pStyle w:val="SingleTxt"/>
      </w:pPr>
      <w:r>
        <w:t>В том, что касается доступа к услугам этих учреждений какая бы то ни было дискриминация по признаку пола отсутствует, однако при этом соблюд</w:t>
      </w:r>
      <w:r>
        <w:t>а</w:t>
      </w:r>
      <w:r>
        <w:t>ются нижеследующие принципы: (</w:t>
      </w:r>
      <w:r>
        <w:rPr>
          <w:lang w:val="en-US"/>
        </w:rPr>
        <w:t>i</w:t>
      </w:r>
      <w:r>
        <w:t>) система первичной медико-санитарной помощи рассчитана на удовлетворение нужд в первую очередь женщин и детей. Это обусловлено в том числе и тем фактом, что женщины зачастую не имеют медицинской страховки; поэтому получить медицинскую помощь они могут лишь за счет тех бесплатных услуг, которые оказываются этими учреждениями; (</w:t>
      </w:r>
      <w:r>
        <w:rPr>
          <w:lang w:val="en-US"/>
        </w:rPr>
        <w:t>ii</w:t>
      </w:r>
      <w:r>
        <w:t>) тем женщинам, которые из-за своей традиционно ограниченной физической подвижности не могут добраться до соответствующих учреждений, помощь оказывается на дому в рамках системы акушерского обслужив</w:t>
      </w:r>
      <w:r>
        <w:t>а</w:t>
      </w:r>
      <w:r>
        <w:t>ния на дому.</w:t>
      </w:r>
    </w:p>
    <w:p w:rsidR="00000000" w:rsidRDefault="00000000">
      <w:pPr>
        <w:pStyle w:val="SingleTxt"/>
        <w:rPr>
          <w:i/>
        </w:rPr>
      </w:pPr>
      <w:r>
        <w:rPr>
          <w:b/>
          <w:i/>
        </w:rPr>
        <w:t>12.2.</w:t>
      </w:r>
      <w:r>
        <w:rPr>
          <w:i/>
        </w:rPr>
        <w:t xml:space="preserve"> Независимо от положений пункта 1 настоящей статьи, государс</w:t>
      </w:r>
      <w:r>
        <w:rPr>
          <w:i/>
        </w:rPr>
        <w:t>т</w:t>
      </w:r>
      <w:r>
        <w:rPr>
          <w:i/>
        </w:rPr>
        <w:t>ва-участники обеспечивают женщинам соответствующее обслуживание в п</w:t>
      </w:r>
      <w:r>
        <w:rPr>
          <w:i/>
        </w:rPr>
        <w:t>е</w:t>
      </w:r>
      <w:r>
        <w:rPr>
          <w:i/>
        </w:rPr>
        <w:t>риод беременности, родов и послеродовой период, предоставляя, когда это н</w:t>
      </w:r>
      <w:r>
        <w:rPr>
          <w:i/>
        </w:rPr>
        <w:t>е</w:t>
      </w:r>
      <w:r>
        <w:rPr>
          <w:i/>
        </w:rPr>
        <w:t>обходимо, бесплатные услуги, а также соответствующее питание в период беременности и кормления.</w:t>
      </w:r>
    </w:p>
    <w:p w:rsidR="00000000" w:rsidRDefault="00000000">
      <w:pPr>
        <w:pStyle w:val="SingleTxt"/>
      </w:pPr>
      <w:r>
        <w:t>Оказание услуг в области репродуктивного здоровья организовано в ра</w:t>
      </w:r>
      <w:r>
        <w:t>м</w:t>
      </w:r>
      <w:r>
        <w:t>ках системы первичной медико-санитарной помощи, о которой речь шла выше. Доступные услуги связаны прежде всего с охраной материнства, которая пр</w:t>
      </w:r>
      <w:r>
        <w:t>е</w:t>
      </w:r>
      <w:r>
        <w:t>дусматривает дородовой уход, безопасные роды, а также послеродовой уход и планир</w:t>
      </w:r>
      <w:r>
        <w:t>о</w:t>
      </w:r>
      <w:r>
        <w:t>вание семьи.</w:t>
      </w:r>
    </w:p>
    <w:p w:rsidR="00000000" w:rsidRDefault="00000000">
      <w:pPr>
        <w:pStyle w:val="SingleTxt"/>
      </w:pPr>
      <w:r>
        <w:t xml:space="preserve">С 1963 года каждые пять лет проводится обзор демографии и состояния здоровья. </w:t>
      </w:r>
      <w:r>
        <w:rPr>
          <w:caps/>
        </w:rPr>
        <w:t>в</w:t>
      </w:r>
      <w:r>
        <w:t xml:space="preserve"> результате этого обзора накапливаются достоверные данные для того, чтобы отслеживать тенденции в области изменения основных показателей состояния здоровья и практики планирования семьи, что, таким образом, дает возможность оценивать достигнутый прогресс и проблемы, требующие своего реш</w:t>
      </w:r>
      <w:r>
        <w:t>е</w:t>
      </w:r>
      <w:r>
        <w:t>ния.</w:t>
      </w:r>
    </w:p>
    <w:p w:rsidR="00000000" w:rsidRDefault="00000000">
      <w:pPr>
        <w:pStyle w:val="H1"/>
      </w:pPr>
      <w:r>
        <w:t xml:space="preserve">Прогресс, достигнутый в деле охраны здоровья матери </w:t>
      </w:r>
      <w:r>
        <w:br/>
        <w:t>и ребенка и план</w:t>
      </w:r>
      <w:r>
        <w:t>и</w:t>
      </w:r>
      <w:r>
        <w:t>рования семьи</w:t>
      </w:r>
    </w:p>
    <w:p w:rsidR="00000000" w:rsidRDefault="00000000">
      <w:pPr>
        <w:pStyle w:val="SingleTxt"/>
      </w:pPr>
      <w:r>
        <w:t>Самые последние данные приводятся в обзоре демографии и состояния здоровья за 1998 год, причем проведение следующего обзора намечено на 2003 год. Поэтому прогресс, достигнутый в сфере охраны здоровья матери и ребенка и планирования семьи, можно оценить путем сопоставления отдел</w:t>
      </w:r>
      <w:r>
        <w:t>ь</w:t>
      </w:r>
      <w:r>
        <w:t>ных показателей на основе результатов тех обзоров, которые были проведены в 1993 и 1998 годах.</w:t>
      </w:r>
    </w:p>
    <w:p w:rsidR="00000000" w:rsidRDefault="00000000">
      <w:pPr>
        <w:pStyle w:val="dot"/>
      </w:pPr>
      <w:r>
        <w:rPr>
          <w:lang w:val="en-US"/>
        </w:rPr>
        <w:tab/>
      </w:r>
      <w:r>
        <w:tab/>
      </w:r>
      <w:r>
        <w:tab/>
        <w:t>•Доля женщин, за которыми осуществлялся дородовой уход, возросла с 63 процентов в 1993 году до 68 процентов в 1998 году;</w:t>
      </w:r>
    </w:p>
    <w:p w:rsidR="00000000" w:rsidRDefault="00000000">
      <w:pPr>
        <w:pStyle w:val="dot"/>
      </w:pPr>
      <w:r>
        <w:tab/>
      </w:r>
      <w:r>
        <w:tab/>
        <w:t>•</w:t>
      </w:r>
      <w:r>
        <w:tab/>
        <w:t>Доля рожавших в безопасных условиях женщин возросла с 76 процентов в 1993 году до 81,5 процента в 1998 году;</w:t>
      </w:r>
    </w:p>
    <w:p w:rsidR="00000000" w:rsidRDefault="00000000">
      <w:pPr>
        <w:pStyle w:val="dot"/>
      </w:pPr>
      <w:r>
        <w:tab/>
      </w:r>
      <w:r>
        <w:tab/>
        <w:t>•</w:t>
      </w:r>
      <w:r>
        <w:tab/>
        <w:t xml:space="preserve">Коэффициент рождаемости снизился с 2,7 в 1993 году до 2,6 в 1998 году. Коэффициент рождаемости в сельских районах (3,1) превышает средний показатель по стране, а в юго-восточной Анатолии он достиг даже еще более высокого уровня (4,2). </w:t>
      </w:r>
      <w:r>
        <w:rPr>
          <w:caps/>
        </w:rPr>
        <w:t>в</w:t>
      </w:r>
      <w:r>
        <w:t xml:space="preserve"> западной Анатолии, с другой стороны, к</w:t>
      </w:r>
      <w:r>
        <w:t>о</w:t>
      </w:r>
      <w:r>
        <w:t>эффициент рождаемости самый низкий и равен 2. Эти данные ясно по</w:t>
      </w:r>
      <w:r>
        <w:t>д</w:t>
      </w:r>
      <w:r>
        <w:t>тверждают взаимозав</w:t>
      </w:r>
      <w:r>
        <w:t>и</w:t>
      </w:r>
      <w:r>
        <w:t>симость между развитием и уровнем рождаемости;</w:t>
      </w:r>
    </w:p>
    <w:p w:rsidR="00000000" w:rsidRDefault="00000000">
      <w:pPr>
        <w:pStyle w:val="dot"/>
      </w:pPr>
      <w:r>
        <w:tab/>
      </w:r>
      <w:r>
        <w:tab/>
        <w:t>•</w:t>
      </w:r>
      <w:r>
        <w:tab/>
        <w:t xml:space="preserve">Женщины и мужчины в равной степени владеют методами планирования семьи. </w:t>
      </w:r>
      <w:r>
        <w:rPr>
          <w:caps/>
        </w:rPr>
        <w:t>в</w:t>
      </w:r>
      <w:r>
        <w:t xml:space="preserve"> результате масштабы использования этих методов неуклонно расширялись. В этом отношении показатель использования современных противозачаточных средств возрос с 62,6 процента в 1993 году до 64 процентов в 1998 году. За пятилетний период показатель использов</w:t>
      </w:r>
      <w:r>
        <w:t>а</w:t>
      </w:r>
      <w:r>
        <w:t>ния мужчинами методов планирования семьи остался на прежнем уровне, будучи равным приме</w:t>
      </w:r>
      <w:r>
        <w:t>р</w:t>
      </w:r>
      <w:r>
        <w:t>но 34 процентам;</w:t>
      </w:r>
    </w:p>
    <w:p w:rsidR="00000000" w:rsidRDefault="00000000">
      <w:pPr>
        <w:pStyle w:val="dot"/>
      </w:pPr>
      <w:r>
        <w:tab/>
      </w:r>
      <w:r>
        <w:tab/>
        <w:t>•</w:t>
      </w:r>
      <w:r>
        <w:tab/>
        <w:t>Искусственное прерывание беременности практикуется по-прежнему, х</w:t>
      </w:r>
      <w:r>
        <w:t>о</w:t>
      </w:r>
      <w:r>
        <w:t>тя и не столь часто, как раньше. Важно отметить, что в Турции искусс</w:t>
      </w:r>
      <w:r>
        <w:t>т</w:t>
      </w:r>
      <w:r>
        <w:t>венный аборт редко становится причиной смерти женщины. С тем чтобы ликвидировать неравенство в плане доступа к соответствующим услугам и сделать хирургическое вмешательство менее опасным принимаются м</w:t>
      </w:r>
      <w:r>
        <w:t>е</w:t>
      </w:r>
      <w:r>
        <w:t>ры к обеспечению повсеместного применения метода "медицинского пр</w:t>
      </w:r>
      <w:r>
        <w:t>е</w:t>
      </w:r>
      <w:r>
        <w:t>рыв</w:t>
      </w:r>
      <w:r>
        <w:t>а</w:t>
      </w:r>
      <w:r>
        <w:t>ния беременности";</w:t>
      </w:r>
    </w:p>
    <w:p w:rsidR="00000000" w:rsidRDefault="00000000">
      <w:pPr>
        <w:pStyle w:val="dot"/>
      </w:pPr>
      <w:r>
        <w:tab/>
      </w:r>
      <w:r>
        <w:tab/>
        <w:t>•</w:t>
      </w:r>
      <w:r>
        <w:tab/>
        <w:t>Коэффициенты младенческой смертности сократились с 53 на тысячу ж</w:t>
      </w:r>
      <w:r>
        <w:t>и</w:t>
      </w:r>
      <w:r>
        <w:t>ворождений в 1993 году до 43 на тысячу в 1998 году, а коэффициент смертности детей (в возрасте до 5 лет включительно) – с 61 до 52 на т</w:t>
      </w:r>
      <w:r>
        <w:t>ы</w:t>
      </w:r>
      <w:r>
        <w:t>сячу живоро</w:t>
      </w:r>
      <w:r>
        <w:t>ж</w:t>
      </w:r>
      <w:r>
        <w:t>дений, соответственно;</w:t>
      </w:r>
    </w:p>
    <w:p w:rsidR="00000000" w:rsidRDefault="00000000">
      <w:pPr>
        <w:pStyle w:val="dot"/>
      </w:pPr>
      <w:r>
        <w:tab/>
      </w:r>
      <w:r>
        <w:tab/>
        <w:t>•</w:t>
      </w:r>
      <w:r>
        <w:tab/>
        <w:t>Доля прошедших вакцинацию детей составляет 96 процентов, что по</w:t>
      </w:r>
      <w:r>
        <w:t>д</w:t>
      </w:r>
      <w:r>
        <w:t>тверждается отсутствием случаев заболеваемости полиомиелитом с 1999 года. Всемирной организацией здравоохранения был присвоен Ту</w:t>
      </w:r>
      <w:r>
        <w:t>р</w:t>
      </w:r>
      <w:r>
        <w:t>ции статус стр</w:t>
      </w:r>
      <w:r>
        <w:t>а</w:t>
      </w:r>
      <w:r>
        <w:t>ны, свободной от полиомиелита.</w:t>
      </w:r>
    </w:p>
    <w:p w:rsidR="00000000" w:rsidRDefault="00000000">
      <w:pPr>
        <w:pStyle w:val="H1"/>
      </w:pPr>
      <w:r>
        <w:t>Задачи на будущее</w:t>
      </w:r>
    </w:p>
    <w:p w:rsidR="00000000" w:rsidRDefault="00000000">
      <w:pPr>
        <w:pStyle w:val="SingleTxt"/>
      </w:pPr>
      <w:r>
        <w:t>Несмотря на достижение определенного прогресса в области оказания первичной медицинской помощи матери и ребенку, а также репродуктивного здоровья, серьезные различия с точки зрения доступности медицинского о</w:t>
      </w:r>
      <w:r>
        <w:t>б</w:t>
      </w:r>
      <w:r>
        <w:t>служивания имеются, в частности, между городскими и сельскими районами и между отдельными регионами. Кроме того, данные научных исследований св</w:t>
      </w:r>
      <w:r>
        <w:t>и</w:t>
      </w:r>
      <w:r>
        <w:t>детельствуют о том, что уровень образования женщин находится в позитивной взаимозависимости с более низкими показателями фертильности и улучшением состояния здор</w:t>
      </w:r>
      <w:r>
        <w:t>о</w:t>
      </w:r>
      <w:r>
        <w:t>вья матери и ребенка.</w:t>
      </w:r>
    </w:p>
    <w:p w:rsidR="00000000" w:rsidRDefault="00000000">
      <w:pPr>
        <w:pStyle w:val="SingleTxt"/>
      </w:pPr>
      <w:r>
        <w:t>Несмотря на свое снижение, коэффициент младенческой смертности до сих пор является весьма высоким, поскольку он приблизительно в десять раз выше соответствующих величин для развитых стран. Тот факт, что среди умерших новорожденных преобладают те, кто погиб в первые четыре недели своей жизни, свидетельствует о необходимости повысить эффективность ак</w:t>
      </w:r>
      <w:r>
        <w:t>у</w:t>
      </w:r>
      <w:r>
        <w:t>шерской помощи. Эффективное использование доступных услуг требует также повышения уровня образования, в частности, образования женщин.</w:t>
      </w:r>
    </w:p>
    <w:p w:rsidR="00000000" w:rsidRDefault="00000000">
      <w:pPr>
        <w:pStyle w:val="SingleTxt"/>
      </w:pPr>
      <w:r>
        <w:t>Отсутствие возможностей для удовлетворения потребностей в средствах планирования семьи приводит к тому, что 35 процентов супружеских пар либо вообще не использует никакого метода планирования семьи (10 процентов), либо пользуется методом, не относящимся к категории эффективных (25 процентов), даже несмотря на то, что беременность для них нежелательна. Выше уже говорилось о том, что искусственных абортов по-прежнему сове</w:t>
      </w:r>
      <w:r>
        <w:t>р</w:t>
      </w:r>
      <w:r>
        <w:t>шается немало; однако противозачаточные средства после совершения аборта в Турции хотя и применяются, но все же не так часто. Схожим образом ситуация складывается и в случае с противозачаточными средствами, применяемыми п</w:t>
      </w:r>
      <w:r>
        <w:t>о</w:t>
      </w:r>
      <w:r>
        <w:t>сле р</w:t>
      </w:r>
      <w:r>
        <w:t>о</w:t>
      </w:r>
      <w:r>
        <w:t>дов.</w:t>
      </w:r>
    </w:p>
    <w:p w:rsidR="00000000" w:rsidRDefault="00000000">
      <w:pPr>
        <w:pStyle w:val="SingleTxt"/>
      </w:pPr>
      <w:r>
        <w:t>Незначительное число услуг в области репродуктивного здоровья оказ</w:t>
      </w:r>
      <w:r>
        <w:t>ы</w:t>
      </w:r>
      <w:r>
        <w:t>вается подросткам и женщинам более старшего возраста. Мало мужчин прин</w:t>
      </w:r>
      <w:r>
        <w:t>и</w:t>
      </w:r>
      <w:r>
        <w:t>мает участие в програ</w:t>
      </w:r>
      <w:r>
        <w:t>м</w:t>
      </w:r>
      <w:r>
        <w:t>мах в области репродуктивного здоровья.</w:t>
      </w:r>
    </w:p>
    <w:p w:rsidR="00000000" w:rsidRDefault="00000000">
      <w:pPr>
        <w:pStyle w:val="H1"/>
      </w:pPr>
      <w:r>
        <w:t xml:space="preserve">Инициативы по улучшению здоровья матери и ребенка, </w:t>
      </w:r>
      <w:r>
        <w:br/>
        <w:t>а также репроду</w:t>
      </w:r>
      <w:r>
        <w:t>к</w:t>
      </w:r>
      <w:r>
        <w:t>тивного здоровья</w:t>
      </w:r>
    </w:p>
    <w:p w:rsidR="00000000" w:rsidRDefault="00000000">
      <w:pPr>
        <w:pStyle w:val="SingleTxt"/>
      </w:pPr>
      <w:r>
        <w:t>Основная стратегия программы охраны здоровья матери и ребенка и пл</w:t>
      </w:r>
      <w:r>
        <w:t>а</w:t>
      </w:r>
      <w:r>
        <w:t>нирования семьи состоит в укреплении потенциала всех соответствующих и</w:t>
      </w:r>
      <w:r>
        <w:t>н</w:t>
      </w:r>
      <w:r>
        <w:t>ститутов. В этом отношении министерство здравоохранения, в сотрудничестве с гражданским обществом и высшими учебными заведениями, а также с ме</w:t>
      </w:r>
      <w:r>
        <w:t>ж</w:t>
      </w:r>
      <w:r>
        <w:t>дународными организациями, реализует в различных районах страны мног</w:t>
      </w:r>
      <w:r>
        <w:t>о</w:t>
      </w:r>
      <w:r>
        <w:t>численные проекты в интересах улучшения репродуктивного здравоохранения и первичной медико-санитарной помощи матери и ребенку, в частности, в м</w:t>
      </w:r>
      <w:r>
        <w:t>е</w:t>
      </w:r>
      <w:r>
        <w:t>нее развитых регионах и среди малоимущих слоев населения. К числу таких проектов относятся нижеследу</w:t>
      </w:r>
      <w:r>
        <w:t>ю</w:t>
      </w:r>
      <w:r>
        <w:t>щие:</w:t>
      </w:r>
    </w:p>
    <w:p w:rsidR="00000000" w:rsidRDefault="00000000">
      <w:pPr>
        <w:pStyle w:val="dot"/>
      </w:pPr>
      <w:r>
        <w:tab/>
      </w:r>
      <w:r>
        <w:tab/>
        <w:t>•</w:t>
      </w:r>
      <w:r>
        <w:tab/>
        <w:t>Программа охраны материнства предусматривает организацию обучения без отрыва от производства в интересах сокращения масштабов матери</w:t>
      </w:r>
      <w:r>
        <w:t>н</w:t>
      </w:r>
      <w:r>
        <w:t>ской и младенческой смер</w:t>
      </w:r>
      <w:r>
        <w:t>т</w:t>
      </w:r>
      <w:r>
        <w:t>ности;</w:t>
      </w:r>
    </w:p>
    <w:p w:rsidR="00000000" w:rsidRDefault="00000000">
      <w:pPr>
        <w:pStyle w:val="dot"/>
      </w:pPr>
      <w:r>
        <w:tab/>
      </w:r>
      <w:r>
        <w:tab/>
        <w:t>•</w:t>
      </w:r>
      <w:r>
        <w:tab/>
        <w:t>Международный учебный центр по вопросам репродуктивного здоровья – совместная инициатива правительства Турции и ЮНФПА по организации учебных курсов по вопросам репродуктивного здоровья для слушателей из Турции, а также стран Восточной Европы, Центральной Азии и Афр</w:t>
      </w:r>
      <w:r>
        <w:t>и</w:t>
      </w:r>
      <w:r>
        <w:t>ки;</w:t>
      </w:r>
    </w:p>
    <w:p w:rsidR="00000000" w:rsidRDefault="00000000">
      <w:pPr>
        <w:pStyle w:val="dot"/>
      </w:pPr>
      <w:r>
        <w:tab/>
      </w:r>
      <w:r>
        <w:tab/>
        <w:t>•</w:t>
      </w:r>
      <w:r>
        <w:tab/>
        <w:t>Программа в области охраны репродуктивного здоровья осуществлялась в период с 1997 по 2000 год в качестве многоцелевой программы, пред</w:t>
      </w:r>
      <w:r>
        <w:t>у</w:t>
      </w:r>
      <w:r>
        <w:t>сматривающей обучение медицинских работников, консультирование су</w:t>
      </w:r>
      <w:r>
        <w:t>п</w:t>
      </w:r>
      <w:r>
        <w:t>ружеских пар по вопросам планирования семьи и использования против</w:t>
      </w:r>
      <w:r>
        <w:t>о</w:t>
      </w:r>
      <w:r>
        <w:t>зачаточных средств, а также реорганизацию учреждений, оказывающих первичную медико-санитарную помощь матери и ребенку, в женские м</w:t>
      </w:r>
      <w:r>
        <w:t>е</w:t>
      </w:r>
      <w:r>
        <w:t>дицинские центры, оснащенные современной медицинской аппаратурой и средствами для хирург</w:t>
      </w:r>
      <w:r>
        <w:t>и</w:t>
      </w:r>
      <w:r>
        <w:t>ческого вмешательства.</w:t>
      </w:r>
    </w:p>
    <w:p w:rsidR="00000000" w:rsidRDefault="00000000">
      <w:pPr>
        <w:pStyle w:val="dot"/>
      </w:pPr>
      <w:r>
        <w:tab/>
      </w:r>
      <w:r>
        <w:tab/>
        <w:t>•</w:t>
      </w:r>
      <w:r>
        <w:tab/>
        <w:t>Третья национальная программа правительства Турции и ЮНФПА (2001-2005) рассчитана на укрепление репродуктивного здоровья в том числе посредством проведения обучения и информационно-пропагандистской работы, наращивания институционального потенциала, сбора знаний и информации. В реализации проекта участвует министерство здравоохр</w:t>
      </w:r>
      <w:r>
        <w:t>а</w:t>
      </w:r>
      <w:r>
        <w:t>нения, министерство образования, Академия наук Турции, Государстве</w:t>
      </w:r>
      <w:r>
        <w:t>н</w:t>
      </w:r>
      <w:r>
        <w:t>ная организация по планированию, Государственный статистический и</w:t>
      </w:r>
      <w:r>
        <w:t>н</w:t>
      </w:r>
      <w:r>
        <w:t>ститут и ГУЖ.</w:t>
      </w:r>
    </w:p>
    <w:p w:rsidR="00000000" w:rsidRDefault="00000000">
      <w:pPr>
        <w:pStyle w:val="SingleTxt"/>
      </w:pPr>
      <w:r>
        <w:t>Государственный статистический институт занят разработкой гендерных медицинских показателей и сбором данных с разбивкой по полу. Кроме того, правительство Турции и НПО по отдельности или в сотрудничестве осущест</w:t>
      </w:r>
      <w:r>
        <w:t>в</w:t>
      </w:r>
      <w:r>
        <w:t>ляют множество мелкомасштабных экспериментальных проектов, нацеленных на повышение эффективности первичной медико-санитарной помощи и охраны репродуктивного здоровья, повышение информированности общественности о взаимосвязанных вопросах, включая передаваемые половым путем заболев</w:t>
      </w:r>
      <w:r>
        <w:t>а</w:t>
      </w:r>
      <w:r>
        <w:t>ния, разработку учебных программ по вопросам репродуктивного здоровья для студентов высших учебных заведений, а также тех проектов, которые нацелены на расширение общих возможностей доступа к медицинскому обсл</w:t>
      </w:r>
      <w:r>
        <w:t>у</w:t>
      </w:r>
      <w:r>
        <w:t>живанию.</w:t>
      </w:r>
    </w:p>
    <w:p w:rsidR="00000000" w:rsidRDefault="00000000">
      <w:pPr>
        <w:pStyle w:val="HCh"/>
      </w:pPr>
      <w:r>
        <w:br w:type="page"/>
        <w:t>Социально-экономические выгоды</w:t>
      </w:r>
    </w:p>
    <w:p w:rsidR="00000000" w:rsidRDefault="00000000">
      <w:pPr>
        <w:pStyle w:val="SingleTxt"/>
        <w:rPr>
          <w:i/>
        </w:rPr>
      </w:pPr>
      <w:r>
        <w:rPr>
          <w:b/>
          <w:i/>
        </w:rPr>
        <w:t>Статья 13.</w:t>
      </w:r>
      <w:r>
        <w:rPr>
          <w:i/>
        </w:rPr>
        <w:t xml:space="preserve"> 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w:t>
      </w:r>
      <w:r>
        <w:rPr>
          <w:i/>
        </w:rPr>
        <w:t>н</w:t>
      </w:r>
      <w:r>
        <w:rPr>
          <w:i/>
        </w:rPr>
        <w:t>ства мужчин и женщин равные права, в ч</w:t>
      </w:r>
      <w:r>
        <w:rPr>
          <w:i/>
        </w:rPr>
        <w:t>а</w:t>
      </w:r>
      <w:r>
        <w:rPr>
          <w:i/>
        </w:rPr>
        <w:t>стности:</w:t>
      </w:r>
    </w:p>
    <w:p w:rsidR="00000000" w:rsidRDefault="00000000">
      <w:pPr>
        <w:pStyle w:val="SingleTxt"/>
        <w:ind w:left="2246" w:hanging="505"/>
        <w:rPr>
          <w:i/>
        </w:rPr>
      </w:pPr>
      <w:r>
        <w:rPr>
          <w:b/>
          <w:i/>
        </w:rPr>
        <w:t>(а)</w:t>
      </w:r>
      <w:r>
        <w:rPr>
          <w:i/>
        </w:rPr>
        <w:t xml:space="preserve"> </w:t>
      </w:r>
      <w:r>
        <w:rPr>
          <w:i/>
        </w:rPr>
        <w:tab/>
        <w:t>право на семейные пособия;</w:t>
      </w:r>
    </w:p>
    <w:p w:rsidR="00000000" w:rsidRDefault="00000000">
      <w:pPr>
        <w:pStyle w:val="SingleTxt"/>
      </w:pPr>
      <w:r>
        <w:t>В соответствии со статьей 203 Закона о гражданской службе (657) правом на получение семейных пособий обладает муж, даже в тех случаях, когда и муж, и жена находятся на государственной службе. Это противоречит новому Гражданскому кодексу, который вывел из обращения понятие главы домашнего хозяйства и признал равноправие обоих супругов в области представительства (см. раздел настоящего доклада, посвященный статье 2/</w:t>
      </w:r>
      <w:r>
        <w:rPr>
          <w:lang w:val="en-US"/>
        </w:rPr>
        <w:t>f</w:t>
      </w:r>
      <w:r>
        <w:t>). К действующему З</w:t>
      </w:r>
      <w:r>
        <w:t>а</w:t>
      </w:r>
      <w:r>
        <w:t>кону о гражданской службе готовятся поправки, которые должны предоставить обоим супругам право претендовать на получение семейных пособий, а причем в случае возни</w:t>
      </w:r>
      <w:r>
        <w:t>к</w:t>
      </w:r>
      <w:r>
        <w:t>новения спора пособия делятся поровну между супругами.</w:t>
      </w:r>
    </w:p>
    <w:p w:rsidR="00000000" w:rsidRDefault="00000000">
      <w:pPr>
        <w:pStyle w:val="SingleTxt"/>
      </w:pPr>
      <w:r>
        <w:t>Государства-участники принимают все соответствующие меры... с тем чтобы обеспечить... :</w:t>
      </w:r>
    </w:p>
    <w:p w:rsidR="00000000" w:rsidRDefault="00000000">
      <w:pPr>
        <w:pStyle w:val="SingleTxt"/>
        <w:tabs>
          <w:tab w:val="clear" w:pos="1267"/>
        </w:tabs>
        <w:ind w:left="2246" w:hanging="505"/>
        <w:rPr>
          <w:i/>
        </w:rPr>
      </w:pPr>
      <w:r>
        <w:rPr>
          <w:b/>
          <w:i/>
        </w:rPr>
        <w:t>(</w:t>
      </w:r>
      <w:r>
        <w:rPr>
          <w:b/>
          <w:i/>
          <w:lang w:val="en-US"/>
        </w:rPr>
        <w:t>b</w:t>
      </w:r>
      <w:r>
        <w:rPr>
          <w:b/>
          <w:i/>
        </w:rPr>
        <w:t>)</w:t>
      </w:r>
      <w:r>
        <w:rPr>
          <w:i/>
        </w:rPr>
        <w:t xml:space="preserve"> </w:t>
      </w:r>
      <w:r>
        <w:rPr>
          <w:i/>
        </w:rPr>
        <w:tab/>
        <w:t>право на получение займов, ссуд под недвижимость и других форм ф</w:t>
      </w:r>
      <w:r>
        <w:rPr>
          <w:i/>
        </w:rPr>
        <w:t>и</w:t>
      </w:r>
      <w:r>
        <w:rPr>
          <w:i/>
        </w:rPr>
        <w:t>нансового кредита;</w:t>
      </w:r>
    </w:p>
    <w:p w:rsidR="00000000" w:rsidRDefault="00000000">
      <w:pPr>
        <w:pStyle w:val="SingleTxt"/>
      </w:pPr>
      <w:r>
        <w:t>Ввиду отсутствия данных об использовании займов и кредитов с разби</w:t>
      </w:r>
      <w:r>
        <w:t>в</w:t>
      </w:r>
      <w:r>
        <w:t>кой по полу, не представляется возможным более или менее достоверно и по</w:t>
      </w:r>
      <w:r>
        <w:t>д</w:t>
      </w:r>
      <w:r>
        <w:t>робно охарактеризовать возможности женщин в плане доступа к финансовому рынку. Однако разрозненная и неполная информация свидетельствует о том, что с этой точки зрения женщины находятся в худшем, чем мужчины, полож</w:t>
      </w:r>
      <w:r>
        <w:t>е</w:t>
      </w:r>
      <w:r>
        <w:t>нии.</w:t>
      </w:r>
    </w:p>
    <w:p w:rsidR="00000000" w:rsidRDefault="00000000">
      <w:pPr>
        <w:pStyle w:val="SingleTxt"/>
      </w:pPr>
      <w:r>
        <w:t>В предыдущем докладе Турции говорится о том, что в 1993 году началось осуществление программы кредитования мелких предпринимателей в по</w:t>
      </w:r>
      <w:r>
        <w:t>д</w:t>
      </w:r>
      <w:r>
        <w:t>держку приносящих доход женских инициатив. Реализация этой программы еще не закончена, причем к настоящему моменту ею были охвачены в общей сложности 21 361 женщина. По состоянию на май 2002 года 869 работающих дома женщин и 509 женщин, работающих вне дома, получили кредиты для о</w:t>
      </w:r>
      <w:r>
        <w:t>т</w:t>
      </w:r>
      <w:r>
        <w:t>крытия или расширения собс</w:t>
      </w:r>
      <w:r>
        <w:t>т</w:t>
      </w:r>
      <w:r>
        <w:t>венного дела.</w:t>
      </w:r>
    </w:p>
    <w:p w:rsidR="00000000" w:rsidRDefault="00000000">
      <w:pPr>
        <w:pStyle w:val="SingleTxt"/>
      </w:pPr>
      <w:r>
        <w:t>Фонд поддержки занятости женщин – это неправительственная организ</w:t>
      </w:r>
      <w:r>
        <w:t>а</w:t>
      </w:r>
      <w:r>
        <w:t>ция, которая организует обучение, кредитование и консультирование женщин, заинтересованных в открытии своего собственного дела. В этом контексте за период с 1995 по 1998 год фонд осуществил проект в области микрокредитов</w:t>
      </w:r>
      <w:r>
        <w:t>а</w:t>
      </w:r>
      <w:r>
        <w:t>ния в тех семи регионах, где у него созданы отделения на местах. Кредиты п</w:t>
      </w:r>
      <w:r>
        <w:t>о</w:t>
      </w:r>
      <w:r>
        <w:t>лучили в общей сложности 90 женщин - предпринимателей, а еще 150 женщин прошли обучение. В соответствии с планом погашение должно было осущест</w:t>
      </w:r>
      <w:r>
        <w:t>в</w:t>
      </w:r>
      <w:r>
        <w:t>ляться годовыми или полугодовыми взносами с субсидированием 40 процентов суммы каждого кредита. О весьма успешной реализации проекта свидетельс</w:t>
      </w:r>
      <w:r>
        <w:t>т</w:t>
      </w:r>
      <w:r>
        <w:t>вует не только возврат 100 процентов выданных средств, но и тот факт, что п</w:t>
      </w:r>
      <w:r>
        <w:t>о</w:t>
      </w:r>
      <w:r>
        <w:t>лучившим кредиты женщинам удалось создать или расширить свое собстве</w:t>
      </w:r>
      <w:r>
        <w:t>н</w:t>
      </w:r>
      <w:r>
        <w:t>ное дело, а также сущ</w:t>
      </w:r>
      <w:r>
        <w:t>е</w:t>
      </w:r>
      <w:r>
        <w:t>ственно повысить уровень своего дохода.</w:t>
      </w:r>
    </w:p>
    <w:p w:rsidR="00000000" w:rsidRDefault="00000000">
      <w:pPr>
        <w:pStyle w:val="SingleTxt"/>
      </w:pPr>
      <w:r>
        <w:t>Другой формой оказания поддержки женщинам-предпринимателям явл</w:t>
      </w:r>
      <w:r>
        <w:t>я</w:t>
      </w:r>
      <w:r>
        <w:t>ется регулярная организация ярмарок, на которых женщины-производители м</w:t>
      </w:r>
      <w:r>
        <w:t>о</w:t>
      </w:r>
      <w:r>
        <w:t>гут выставить на обозрение и продать свою продукцию, а также войти в ко</w:t>
      </w:r>
      <w:r>
        <w:t>н</w:t>
      </w:r>
      <w:r>
        <w:t>такт с другими женщинами, которые занимаются малым предпринимательс</w:t>
      </w:r>
      <w:r>
        <w:t>т</w:t>
      </w:r>
      <w:r>
        <w:t>вом. Многие из этих ярмарок и выставок организуются женскими НПО.</w:t>
      </w:r>
    </w:p>
    <w:p w:rsidR="00000000" w:rsidRDefault="00000000">
      <w:pPr>
        <w:pStyle w:val="SingleTxt"/>
      </w:pPr>
      <w:r>
        <w:t>Управление по вопросам развития малых и средних предприятий (КОСГЕБ) также организует обучение по вопросам ведения предпринимател</w:t>
      </w:r>
      <w:r>
        <w:t>ь</w:t>
      </w:r>
      <w:r>
        <w:t>ской деятельности для тех лиц, кто заинтересован в открытии своего собстве</w:t>
      </w:r>
      <w:r>
        <w:t>н</w:t>
      </w:r>
      <w:r>
        <w:t>ного дела. Учебные программы охватывают технико-экономические обоснов</w:t>
      </w:r>
      <w:r>
        <w:t>а</w:t>
      </w:r>
      <w:r>
        <w:t>ния, подготовку рабочих планов и основные принципы бухгалтерского учета. Через свои центры по созданию рабочих мест КОСГЕБ оказывает поддержку недавно созданным предприятиям. Кроме того, с тем чтобы обеспечить согл</w:t>
      </w:r>
      <w:r>
        <w:t>а</w:t>
      </w:r>
      <w:r>
        <w:t>сованность деятельность в этой области и выполнять функции банка данных КОСГЕБ создало в "И</w:t>
      </w:r>
      <w:r>
        <w:t>н</w:t>
      </w:r>
      <w:r>
        <w:t>тернете" сеть ресурсов для предпринимателей.</w:t>
      </w:r>
    </w:p>
    <w:p w:rsidR="00000000" w:rsidRDefault="00000000">
      <w:pPr>
        <w:pStyle w:val="SingleTxt"/>
      </w:pPr>
      <w:r>
        <w:t>В предыдущем докладе Турции указывается на то, что в 1994 году ГУЖ создало банк данных для стимулирования и поддержки инициатив женщин в области предпринимательства и оказания им помощи в продаже своей реме</w:t>
      </w:r>
      <w:r>
        <w:t>с</w:t>
      </w:r>
      <w:r>
        <w:t>ленной продукции посредством организации ярмарок и выставок. За период с 1994 по 2000 годы в них приняло участие 2 195 женщин. В контексте этого банка данных и в сотрудничестве с Турецким народным банком в 1997 и в 1999 годах были проведены "семинары по вопросам предпринимательства". Участие в этих семинарах приняло в общей сложности 60 женщин.</w:t>
      </w:r>
    </w:p>
    <w:p w:rsidR="00000000" w:rsidRDefault="00000000">
      <w:pPr>
        <w:pStyle w:val="SingleTxt"/>
      </w:pPr>
      <w:r>
        <w:t>Информация о соответствующей деятельности многоцелевых общинных центров (МОЦ), функционирующих в ра</w:t>
      </w:r>
      <w:r>
        <w:t>м</w:t>
      </w:r>
      <w:r>
        <w:t>ках Проекта развития Юго-Восточной Анатолии (ПРА), а также других проектов и программ в интересах сельских женщин, приводится в разделе настоящего доклада, посвященном статье 14.</w:t>
      </w:r>
    </w:p>
    <w:p w:rsidR="00000000" w:rsidRDefault="00000000">
      <w:pPr>
        <w:pStyle w:val="SingleTxt"/>
      </w:pPr>
      <w:r>
        <w:t>Государства-участники принимают все соответствующие меры... с тем чтобы обеспечить...:</w:t>
      </w:r>
    </w:p>
    <w:p w:rsidR="00000000" w:rsidRDefault="00000000">
      <w:pPr>
        <w:pStyle w:val="SingleTxt"/>
        <w:ind w:left="2246" w:hanging="505"/>
        <w:rPr>
          <w:i/>
        </w:rPr>
      </w:pPr>
      <w:r>
        <w:rPr>
          <w:b/>
          <w:i/>
        </w:rPr>
        <w:t>(с)</w:t>
      </w:r>
      <w:r>
        <w:rPr>
          <w:i/>
        </w:rPr>
        <w:t xml:space="preserve"> </w:t>
      </w:r>
      <w:r>
        <w:rPr>
          <w:i/>
        </w:rPr>
        <w:tab/>
        <w:t>право участвовать в мероприятиях, связанных с отдыхом, занятиях спортом и во всех областях культу</w:t>
      </w:r>
      <w:r>
        <w:rPr>
          <w:i/>
        </w:rPr>
        <w:t>р</w:t>
      </w:r>
      <w:r>
        <w:rPr>
          <w:i/>
        </w:rPr>
        <w:t>ной жизни.</w:t>
      </w:r>
    </w:p>
    <w:p w:rsidR="00000000" w:rsidRDefault="00000000">
      <w:pPr>
        <w:pStyle w:val="SingleTxt"/>
      </w:pPr>
      <w:r>
        <w:t>Одним из наиболее торжественных женских культурных мероприятий, получивших в Турции официальное признание, является ежегодный фестиваль женских фильмов, который проводится с 1998 года "Помелом" и пользуется даже международной известностью. На этом фестивале вниманию зрителей представляются работы как турецких, так и зарубежных режиссеров, а затем проводится обсуждение этих фильмов с учетом гендерной проблематики. Этот фестиваль организуется при финансовой помощи со стороны министерства культуры.</w:t>
      </w:r>
    </w:p>
    <w:p w:rsidR="00000000" w:rsidRDefault="00000000">
      <w:pPr>
        <w:pStyle w:val="SingleTxt"/>
      </w:pPr>
      <w:r>
        <w:t>Первый информационный женский центр в Турции – "Фонд женской би</w:t>
      </w:r>
      <w:r>
        <w:t>б</w:t>
      </w:r>
      <w:r>
        <w:t>лиотеки и женского информационного центра" – в сотрудничестве с органами местного самоуправления занимается сбором работ женщин в различных о</w:t>
      </w:r>
      <w:r>
        <w:t>б</w:t>
      </w:r>
      <w:r>
        <w:t>ластях, а также их размещением в библиотеке. К настоящему моменту им со</w:t>
      </w:r>
      <w:r>
        <w:t>б</w:t>
      </w:r>
      <w:r>
        <w:t>раны около 10 000 книг, написанных женщинами или посвященных женской проблематике, около 5 000 периодических изданий на турецком языке или на иностранных языках, диссертации, многочисленные видеокассеты и плакаты, а также биографическая информация о женщинах-писателях или художниках, помимо информации о женских НПО. В 2002 году в сотрудничестве с мин</w:t>
      </w:r>
      <w:r>
        <w:t>и</w:t>
      </w:r>
      <w:r>
        <w:t>стерством культуры была подготовлена библиография женских организаций в Турции.</w:t>
      </w:r>
    </w:p>
    <w:p w:rsidR="00000000" w:rsidRDefault="00000000">
      <w:pPr>
        <w:pStyle w:val="SingleTxt"/>
      </w:pPr>
      <w:r>
        <w:t>Еще одним источником бесценных ресурсов для тех, кто работает над женской проблематикой, является созданный в 1996 году центр документации ГУЖ, в фондах которого имеются книги, статьи, диссертации, отчеты о сем</w:t>
      </w:r>
      <w:r>
        <w:t>и</w:t>
      </w:r>
      <w:r>
        <w:t>нарах и ко</w:t>
      </w:r>
      <w:r>
        <w:t>н</w:t>
      </w:r>
      <w:r>
        <w:t>ференциях, а также газетные статьи.</w:t>
      </w:r>
    </w:p>
    <w:p w:rsidR="00000000" w:rsidRDefault="00000000">
      <w:pPr>
        <w:pStyle w:val="SingleTxt"/>
      </w:pPr>
      <w:r>
        <w:t>Спортивные федерации (которых насчитывается в общей сложности 46) Генерального управления по делам молодежи и спорта основали национальную женскую команду и способствуют тому, чтобы девочки и женщины занимались различными видами спорта на объектах физической культуры, располагающи</w:t>
      </w:r>
      <w:r>
        <w:t>х</w:t>
      </w:r>
      <w:r>
        <w:t>ся вблизи от места их жительства. В настоящее время в спортивных федерац</w:t>
      </w:r>
      <w:r>
        <w:t>и</w:t>
      </w:r>
      <w:r>
        <w:t>ях зарегистрировано 77 746 женщин, а 41 824 женщины активно готовятся к соревнованиям. Несмотря на то, что женщины не обходят своим вниманием ни одного вида спорта, они отдают предпочтение волейболу, баскетболу, таекво</w:t>
      </w:r>
      <w:r>
        <w:t>н</w:t>
      </w:r>
      <w:r>
        <w:t>до, ручн</w:t>
      </w:r>
      <w:r>
        <w:t>о</w:t>
      </w:r>
      <w:r>
        <w:t>му мячу и легкой атлетике.</w:t>
      </w:r>
    </w:p>
    <w:p w:rsidR="00000000" w:rsidRDefault="00000000">
      <w:pPr>
        <w:pStyle w:val="SingleTxt"/>
      </w:pPr>
      <w:r>
        <w:t>За последние годы несколько турецких женщин добилось значительных успехов на международных соревнованиях. Благодаря этому общественность и частные организации стали не только уделять больше внимания поощрению и поддержке женских инициатив в спорте, но, возможно, появление для девочек новых моделей поведения во всех сферах жизни играет в связи с этим еще б</w:t>
      </w:r>
      <w:r>
        <w:t>о</w:t>
      </w:r>
      <w:r>
        <w:t>лее важную роль. К числу наиболее заметных достижений относятся нижесл</w:t>
      </w:r>
      <w:r>
        <w:t>е</w:t>
      </w:r>
      <w:r>
        <w:t>дующие:</w:t>
      </w:r>
    </w:p>
    <w:p w:rsidR="00000000" w:rsidRDefault="00000000">
      <w:pPr>
        <w:pStyle w:val="SingleTxt"/>
      </w:pPr>
      <w:r>
        <w:t>1999 год – титул чемпиона мира по карате; 2000 год – титул чемпиона Е</w:t>
      </w:r>
      <w:r>
        <w:t>в</w:t>
      </w:r>
      <w:r>
        <w:t>ропы по карате; титул чемпиона мира по карате, третье место на Олимпийских играх по таеквондо; 2002 год – титул чемпиона Европы по легкой атлетике в беге на полторы тысячи метров; вхождение в золотую легкоатлетическую лигу в Брюсселе и в Берлине; титул чемпиона мира по легкой атлетике; титул че</w:t>
      </w:r>
      <w:r>
        <w:t>м</w:t>
      </w:r>
      <w:r>
        <w:t>пиона мира по таеквондо; титул чемпиона Европы по таеквондо; трехкратное присуждение титула чемпиона мира по поднятию тяжестей в различных вес</w:t>
      </w:r>
      <w:r>
        <w:t>о</w:t>
      </w:r>
      <w:r>
        <w:t>вых категориях.</w:t>
      </w:r>
    </w:p>
    <w:p w:rsidR="00000000" w:rsidRDefault="00000000">
      <w:pPr>
        <w:pStyle w:val="SingleTxt"/>
      </w:pPr>
      <w:r>
        <w:t>С 1995 года женщина исполняет функции арбитра в первой и вт</w:t>
      </w:r>
      <w:r>
        <w:t>о</w:t>
      </w:r>
      <w:r>
        <w:t>рой лиге.</w:t>
      </w:r>
    </w:p>
    <w:p w:rsidR="00000000" w:rsidRDefault="00000000">
      <w:pPr>
        <w:pStyle w:val="SingleTxt"/>
      </w:pPr>
      <w:r>
        <w:t>Далеко не все меры пока еще приняты для того, чтобы активизировать культурную и спортивную жизнь, а также привлечь женщин всех возрастов к участию в такой жизни. Отдых – это неотъемлемая часть повседневной жизни.</w:t>
      </w:r>
    </w:p>
    <w:p w:rsidR="00000000" w:rsidRDefault="00000000">
      <w:pPr>
        <w:pStyle w:val="HCh"/>
      </w:pPr>
      <w:r>
        <w:br w:type="page"/>
        <w:t>Сельские женщины</w:t>
      </w:r>
    </w:p>
    <w:p w:rsidR="00000000" w:rsidRDefault="00000000">
      <w:pPr>
        <w:pStyle w:val="SingleTxt"/>
        <w:rPr>
          <w:i/>
        </w:rPr>
      </w:pPr>
      <w:r>
        <w:rPr>
          <w:b/>
          <w:i/>
        </w:rPr>
        <w:t xml:space="preserve">Статья 14.1. </w:t>
      </w:r>
      <w:r>
        <w:rPr>
          <w:i/>
        </w:rPr>
        <w:t>Государства-участники принимают во внимание особые проблемы, с которыми сталкиваются женщины, проживающие в сельской м</w:t>
      </w:r>
      <w:r>
        <w:rPr>
          <w:i/>
        </w:rPr>
        <w:t>е</w:t>
      </w:r>
      <w:r>
        <w:rPr>
          <w:i/>
        </w:rPr>
        <w:t>стности, и значительную роль, которую они играют в обеспечении экономич</w:t>
      </w:r>
      <w:r>
        <w:rPr>
          <w:i/>
        </w:rPr>
        <w:t>е</w:t>
      </w:r>
      <w:r>
        <w:rPr>
          <w:i/>
        </w:rPr>
        <w:t>ского благосостояния своих семей, в том числе их деятельность в нетоварных отраслях хозяйства, и принимают все соответствующие меры для обеспеч</w:t>
      </w:r>
      <w:r>
        <w:rPr>
          <w:i/>
        </w:rPr>
        <w:t>е</w:t>
      </w:r>
      <w:r>
        <w:rPr>
          <w:i/>
        </w:rPr>
        <w:t>ния применения положений настоящей Конвенции к женщинам, проживающим в сельской местн</w:t>
      </w:r>
      <w:r>
        <w:rPr>
          <w:i/>
        </w:rPr>
        <w:t>о</w:t>
      </w:r>
      <w:r>
        <w:rPr>
          <w:i/>
        </w:rPr>
        <w:t>сти.</w:t>
      </w:r>
    </w:p>
    <w:p w:rsidR="00000000" w:rsidRDefault="00000000">
      <w:pPr>
        <w:pStyle w:val="SingleTxt"/>
      </w:pPr>
      <w:r>
        <w:t>Проблемы, с которыми сталкиваются женщины в сельской местности, тесно взаимосвязаны с аграрной и сельской структурой, сложившейся в Ту</w:t>
      </w:r>
      <w:r>
        <w:t>р</w:t>
      </w:r>
      <w:r>
        <w:t>ции. Раздробленность сельскохозяйственных угодий и ограниченность их пл</w:t>
      </w:r>
      <w:r>
        <w:t>о</w:t>
      </w:r>
      <w:r>
        <w:t>щади, а также падение прибыльности сельскохозяйственного производства, приводит к тому, что мужчины в поисках работы переселяются в города, а женщины берут на себя ответственность за обработку земли, не всегда имея доступ к необходимым ресурсам, информации и полномочиям для принятия решений. Из-за географической рассеянности населенных пунктов и их малого размера сельские женщины в большей степени, чем мужчины лишены тех пр</w:t>
      </w:r>
      <w:r>
        <w:t>е</w:t>
      </w:r>
      <w:r>
        <w:t>имуществ, которые имеют городские жители. Положение сельских женщин з</w:t>
      </w:r>
      <w:r>
        <w:t>а</w:t>
      </w:r>
      <w:r>
        <w:t>висит от того региона, в котором они проживают, будь то более зажиточные равнинные деревни или неудобно расположенные горные и лесные деревни. В настоящем докладе выше указывалось на то, что в 2001 году женщины сост</w:t>
      </w:r>
      <w:r>
        <w:t>а</w:t>
      </w:r>
      <w:r>
        <w:t>вили 51,3 процента не получающих заработной платы работников семейных хозяйств и 61,1 процента работников сельского хозяйства всей страны. В сел</w:t>
      </w:r>
      <w:r>
        <w:t>ь</w:t>
      </w:r>
      <w:r>
        <w:t>ских районах женщины заняты исключительно в сельском хозяйстве (90,5 процентов), причем 80 процентов из них – это не получающие заработной платы работники семейных хозяйств. Крайне незначительная доля женщин в сельской местности занята в сфере услуг (4,8 процента) и в промышленности (4,7 процента).</w:t>
      </w:r>
    </w:p>
    <w:p w:rsidR="00000000" w:rsidRDefault="00000000">
      <w:pPr>
        <w:pStyle w:val="SingleTxt"/>
        <w:rPr>
          <w:i/>
        </w:rPr>
      </w:pPr>
      <w:r>
        <w:rPr>
          <w:b/>
          <w:i/>
        </w:rPr>
        <w:t>14.2</w:t>
      </w:r>
      <w:r>
        <w:rPr>
          <w:i/>
        </w:rPr>
        <w:t> 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w:t>
      </w:r>
      <w:r>
        <w:rPr>
          <w:i/>
        </w:rPr>
        <w:t>з</w:t>
      </w:r>
      <w:r>
        <w:rPr>
          <w:i/>
        </w:rPr>
        <w:t>витии сельских районов и в получении выгод от такого развития и, в частн</w:t>
      </w:r>
      <w:r>
        <w:rPr>
          <w:i/>
        </w:rPr>
        <w:t>о</w:t>
      </w:r>
      <w:r>
        <w:rPr>
          <w:i/>
        </w:rPr>
        <w:t>сти, обеспечивают таким женщинам право:</w:t>
      </w:r>
    </w:p>
    <w:p w:rsidR="00000000" w:rsidRDefault="00000000">
      <w:pPr>
        <w:pStyle w:val="SingleTxt"/>
        <w:tabs>
          <w:tab w:val="clear" w:pos="1267"/>
        </w:tabs>
        <w:ind w:left="2246" w:hanging="505"/>
      </w:pPr>
      <w:r>
        <w:rPr>
          <w:b/>
          <w:i/>
        </w:rPr>
        <w:t>(а)</w:t>
      </w:r>
      <w:r>
        <w:rPr>
          <w:i/>
        </w:rPr>
        <w:t xml:space="preserve"> </w:t>
      </w:r>
      <w:r>
        <w:rPr>
          <w:i/>
        </w:rPr>
        <w:tab/>
        <w:t>участвовать в разработке и осуществлении планов развития на всех уровнях.</w:t>
      </w:r>
    </w:p>
    <w:p w:rsidR="00000000" w:rsidRDefault="00000000">
      <w:pPr>
        <w:pStyle w:val="SingleTxt"/>
      </w:pPr>
      <w:r>
        <w:t>Турция занимает семнадцатое место среди наиболее развитых в промы</w:t>
      </w:r>
      <w:r>
        <w:t>ш</w:t>
      </w:r>
      <w:r>
        <w:t>ленном отношении стран мира, однако исходя из показателей развития челов</w:t>
      </w:r>
      <w:r>
        <w:t>е</w:t>
      </w:r>
      <w:r>
        <w:t>ческого потенциала ПРООН за 1999 год – 86 место среди 180 стран. Сельское хозяйство уже не играет в экономике столь значительной роли, как раньше, о</w:t>
      </w:r>
      <w:r>
        <w:t>д</w:t>
      </w:r>
      <w:r>
        <w:t>нако в этом секторе все еще занято 45 процентов рабочей силы, среди которой преобладают женщины. Уровень жизни жителей сельской местности гораздо ниже уровня жизни городских жителей. Кроме того, размер валового внутре</w:t>
      </w:r>
      <w:r>
        <w:t>н</w:t>
      </w:r>
      <w:r>
        <w:t>него продукта (ВВП) на душу населения в 80 провинциях существенно отлич</w:t>
      </w:r>
      <w:r>
        <w:t>а</w:t>
      </w:r>
      <w:r>
        <w:t>ется друг от друга. На востоке ВВП на душу населения равен примерно 800 долларов США, что соответствует лишь 29 процентам национального ВВП, равного 2 800 долл</w:t>
      </w:r>
      <w:r>
        <w:t>а</w:t>
      </w:r>
      <w:r>
        <w:t>ров США.</w:t>
      </w:r>
    </w:p>
    <w:p w:rsidR="00000000" w:rsidRDefault="00000000">
      <w:pPr>
        <w:pStyle w:val="SingleTxt"/>
      </w:pPr>
      <w:r>
        <w:t>Принятая в Турции стратегия развития основана на планируемых инте</w:t>
      </w:r>
      <w:r>
        <w:t>р</w:t>
      </w:r>
      <w:r>
        <w:t>венциях в регионах, находящихся в экономически неблагоприятном полож</w:t>
      </w:r>
      <w:r>
        <w:t>е</w:t>
      </w:r>
      <w:r>
        <w:t>нии, в целях сокращения неравенства между регионами. Одной из задач, кот</w:t>
      </w:r>
      <w:r>
        <w:t>о</w:t>
      </w:r>
      <w:r>
        <w:t>рой уделяется первоочередное внимание в восьмом пятилетнем плане развития, является "обеспечение более справедливого распределения доходов в целях с</w:t>
      </w:r>
      <w:r>
        <w:t>о</w:t>
      </w:r>
      <w:r>
        <w:t>кращения масштабов нищеты и наделение различных сегментов общества во</w:t>
      </w:r>
      <w:r>
        <w:t>з</w:t>
      </w:r>
      <w:r>
        <w:t>можностями для справедливого повышения собственного благосостояния". О</w:t>
      </w:r>
      <w:r>
        <w:t>с</w:t>
      </w:r>
      <w:r>
        <w:t>новным средством выполнения этой задачи стали проекты в области развития сельских ра</w:t>
      </w:r>
      <w:r>
        <w:t>й</w:t>
      </w:r>
      <w:r>
        <w:t>онов, реализуемые в государственном секторе.</w:t>
      </w:r>
    </w:p>
    <w:p w:rsidR="00000000" w:rsidRDefault="00000000">
      <w:pPr>
        <w:pStyle w:val="SingleTxt"/>
      </w:pPr>
      <w:r>
        <w:t>Кроме того, правительство хочет привлечь частные инвестиции в недост</w:t>
      </w:r>
      <w:r>
        <w:t>а</w:t>
      </w:r>
      <w:r>
        <w:t>точно развитые регионы с помощью прямых и косвенных стим</w:t>
      </w:r>
      <w:r>
        <w:t>у</w:t>
      </w:r>
      <w:r>
        <w:t>лов.</w:t>
      </w:r>
    </w:p>
    <w:p w:rsidR="00000000" w:rsidRDefault="00000000">
      <w:pPr>
        <w:pStyle w:val="SingleTxt"/>
      </w:pPr>
      <w:r>
        <w:t>В основе проектов в области развития сельских районов, обстоятельно охарактеризованных ниже, в разделе настоящего доклада, посвященном статье 14/</w:t>
      </w:r>
      <w:r>
        <w:rPr>
          <w:lang w:val="en-US"/>
        </w:rPr>
        <w:t>d</w:t>
      </w:r>
      <w:r>
        <w:t>, лежат подходы, ориентированные на массовое участие. В этом контексте проекты рассчитаны на привлечение женщин к участию в процессе разработки и осуществления. Несмотря на то, что в этом отношении не все еще проблемы решены, был достигнут значительный прогресс и извлечены определенные уроки для усовершенствования будущих методологий. В рамках проектов, к</w:t>
      </w:r>
      <w:r>
        <w:t>а</w:t>
      </w:r>
      <w:r>
        <w:t>сающихся развития сельских районов, до сих пор недостаточно активно и</w:t>
      </w:r>
      <w:r>
        <w:t>с</w:t>
      </w:r>
      <w:r>
        <w:t>пользуется такое мощное средство активного вовлечения женщин в процесс развития, как составление бюджетов с учетом гендерных аспе</w:t>
      </w:r>
      <w:r>
        <w:t>к</w:t>
      </w:r>
      <w:r>
        <w:t>тов.</w:t>
      </w:r>
    </w:p>
    <w:p w:rsidR="00000000" w:rsidRDefault="00000000">
      <w:pPr>
        <w:pStyle w:val="SingleTxt"/>
      </w:pPr>
      <w:r>
        <w:t>Государства-участники...обеспечивают... право:</w:t>
      </w:r>
    </w:p>
    <w:p w:rsidR="00000000" w:rsidRDefault="00000000">
      <w:pPr>
        <w:pStyle w:val="SingleTxt"/>
        <w:tabs>
          <w:tab w:val="clear" w:pos="1267"/>
        </w:tabs>
        <w:ind w:left="2246" w:hanging="505"/>
        <w:rPr>
          <w:i/>
        </w:rPr>
      </w:pPr>
      <w:r>
        <w:rPr>
          <w:b/>
          <w:i/>
        </w:rPr>
        <w:t>(</w:t>
      </w:r>
      <w:r>
        <w:rPr>
          <w:b/>
          <w:i/>
          <w:lang w:val="en-US"/>
        </w:rPr>
        <w:t>b</w:t>
      </w:r>
      <w:r>
        <w:rPr>
          <w:b/>
          <w:i/>
        </w:rPr>
        <w:t>)</w:t>
      </w:r>
      <w:r>
        <w:rPr>
          <w:i/>
        </w:rPr>
        <w:t xml:space="preserve"> </w:t>
      </w:r>
      <w:r>
        <w:rPr>
          <w:i/>
        </w:rPr>
        <w:tab/>
        <w:t>на доступ к соответствующему медицинскому обслуживанию, включая информацию, консультации и обслуживание по вопросам планиров</w:t>
      </w:r>
      <w:r>
        <w:rPr>
          <w:i/>
        </w:rPr>
        <w:t>а</w:t>
      </w:r>
      <w:r>
        <w:rPr>
          <w:i/>
        </w:rPr>
        <w:t>ния размера семьи;</w:t>
      </w:r>
    </w:p>
    <w:p w:rsidR="00000000" w:rsidRDefault="00000000">
      <w:pPr>
        <w:pStyle w:val="SingleTxt"/>
      </w:pPr>
      <w:r>
        <w:t>В разделе настоящего доклада, посвященном статье 12, указывалось на то, что в большинстве деревень имеется либо медицинский центр, либо медици</w:t>
      </w:r>
      <w:r>
        <w:t>н</w:t>
      </w:r>
      <w:r>
        <w:t>ский пункт, который оказывает первичную медико-санитарную помощь и обе</w:t>
      </w:r>
      <w:r>
        <w:t>с</w:t>
      </w:r>
      <w:r>
        <w:t>печивает охрану здоровья матери и ребенка. Возможностей этой системы, о</w:t>
      </w:r>
      <w:r>
        <w:t>д</w:t>
      </w:r>
      <w:r>
        <w:t>нако, недостаточно для удовлетворения растущих потребностей жителей сел</w:t>
      </w:r>
      <w:r>
        <w:t>ь</w:t>
      </w:r>
      <w:r>
        <w:t>ских районов в медицинской помощи, в частности, женщин, которые могут подвергаться большему риску из-за проблем, связанных с репродуктивным здоровьем.</w:t>
      </w:r>
    </w:p>
    <w:p w:rsidR="00000000" w:rsidRDefault="00000000">
      <w:pPr>
        <w:pStyle w:val="SingleTxt"/>
      </w:pPr>
      <w:r>
        <w:t>Проект в интересах детей, нуждающихся в особой защите, который ос</w:t>
      </w:r>
      <w:r>
        <w:t>у</w:t>
      </w:r>
      <w:r>
        <w:t>ществляется в рамках координационной программы правительства Турции и ЮНИСЕФ, – это комплексная инициатива, охватывающая всю территорию страны, которая, как предполагается, должна способствовать укреплению зд</w:t>
      </w:r>
      <w:r>
        <w:t>о</w:t>
      </w:r>
      <w:r>
        <w:t>ровья населения за счет наращивания потенциала жителей как городских, так и сельских районов. Однако, с учетом первоочередных задач этого проекта, сел</w:t>
      </w:r>
      <w:r>
        <w:t>ь</w:t>
      </w:r>
      <w:r>
        <w:t>ские женщины и дети относятся к числу его основных целевых групп. Данный проект включает три компонента: (а) уход за детьми дошкольного возраста, рассчитанный на сокращение показателей младенческой смертности и ускор</w:t>
      </w:r>
      <w:r>
        <w:t>е</w:t>
      </w:r>
      <w:r>
        <w:t>ние психологического и когнитивного развития детей с помощью различных мер, включая повышение качества питания, борьбу с заболеваниями, вакцин</w:t>
      </w:r>
      <w:r>
        <w:t>а</w:t>
      </w:r>
      <w:r>
        <w:t>цию, уход за женщинами в период беременности и после его окончания и их просвещение, а также проведение информационно-пропагандистской работы среди родителей. Этот компонент проекта, как предполагается, должен охв</w:t>
      </w:r>
      <w:r>
        <w:t>а</w:t>
      </w:r>
      <w:r>
        <w:t>тить более трех миллионов семей во всех провинциях; (</w:t>
      </w:r>
      <w:r>
        <w:rPr>
          <w:lang w:val="en-US"/>
        </w:rPr>
        <w:t>b</w:t>
      </w:r>
      <w:r>
        <w:t>) компонент развития и защиты детей и подростков, который рассчитан на то, чтобы повысить ур</w:t>
      </w:r>
      <w:r>
        <w:t>о</w:t>
      </w:r>
      <w:r>
        <w:t>вень мотивации и расширить возможности в том, что касается обучения детей в возрасте от 6 до 14 лет и привлечь большее количество детей, в частности, д</w:t>
      </w:r>
      <w:r>
        <w:t>е</w:t>
      </w:r>
      <w:r>
        <w:t>вочек к обучению в школе, а также укрепить здоровье детей и подростков и у</w:t>
      </w:r>
      <w:r>
        <w:t>с</w:t>
      </w:r>
      <w:r>
        <w:t>корить их физический рост; и (с) компонент формулирования политики и соц</w:t>
      </w:r>
      <w:r>
        <w:t>и</w:t>
      </w:r>
      <w:r>
        <w:t>альной мобилизации, рассчитанный на то, чтобы сократить различия в уровнях развития и повысить уровень жизни путем укрепления системы децентрализ</w:t>
      </w:r>
      <w:r>
        <w:t>о</w:t>
      </w:r>
      <w:r>
        <w:t>ванного управления и оказания основных услуг семьям, в частности, детям и женщинам; обеспечить соблюдение прав человека в отношении женщин и д</w:t>
      </w:r>
      <w:r>
        <w:t>е</w:t>
      </w:r>
      <w:r>
        <w:t>тей с помощью учебных программ, семинаров и конференций в соответствии с КЛДЖ и Конвенцией о правах ребенка (КПР); создать информационную сеть по проблемам женщин и детей для осуществления контроля за ходом выполн</w:t>
      </w:r>
      <w:r>
        <w:t>е</w:t>
      </w:r>
      <w:r>
        <w:t>ния КЛДЖ и КПР; а также разрабатывать меры по смягчению последствий стихийных бедствий для таких групп риска, как младенцы, дети и женщ</w:t>
      </w:r>
      <w:r>
        <w:t>и</w:t>
      </w:r>
      <w:r>
        <w:t>ны.</w:t>
      </w:r>
    </w:p>
    <w:p w:rsidR="00000000" w:rsidRDefault="00000000">
      <w:pPr>
        <w:pStyle w:val="SingleTxt"/>
      </w:pPr>
      <w:r>
        <w:t>К числу основных национальных участников этого проекта относятся различные министерства, такие, как министерства сельского хозяйства и по д</w:t>
      </w:r>
      <w:r>
        <w:t>е</w:t>
      </w:r>
      <w:r>
        <w:t>лам сельской местности, здравоохранения, образования, внутренних дел, ю</w:t>
      </w:r>
      <w:r>
        <w:t>с</w:t>
      </w:r>
      <w:r>
        <w:t>тиции, а также Государственный статистический и</w:t>
      </w:r>
      <w:r>
        <w:t>н</w:t>
      </w:r>
      <w:r>
        <w:t>ститут.</w:t>
      </w:r>
    </w:p>
    <w:p w:rsidR="00000000" w:rsidRDefault="00000000">
      <w:pPr>
        <w:pStyle w:val="SingleTxt"/>
      </w:pPr>
      <w:r>
        <w:t>Государства-участники...обеспечивают... право:</w:t>
      </w:r>
    </w:p>
    <w:p w:rsidR="00000000" w:rsidRDefault="00000000">
      <w:pPr>
        <w:pStyle w:val="SingleTxt"/>
        <w:ind w:left="2246" w:hanging="505"/>
        <w:rPr>
          <w:i/>
        </w:rPr>
      </w:pPr>
      <w:r>
        <w:rPr>
          <w:b/>
          <w:i/>
        </w:rPr>
        <w:t>(с)</w:t>
      </w:r>
      <w:r>
        <w:rPr>
          <w:i/>
        </w:rPr>
        <w:t xml:space="preserve"> </w:t>
      </w:r>
      <w:r>
        <w:rPr>
          <w:i/>
        </w:rPr>
        <w:tab/>
        <w:t>непосредственно пользоваться благами программ социального страхования;</w:t>
      </w:r>
    </w:p>
    <w:p w:rsidR="00000000" w:rsidRDefault="00000000">
      <w:pPr>
        <w:pStyle w:val="SingleTxt"/>
      </w:pPr>
      <w:r>
        <w:t>Многое еще предстоит сделать для того, чтобы улучшить систему соц</w:t>
      </w:r>
      <w:r>
        <w:t>и</w:t>
      </w:r>
      <w:r>
        <w:t>ального страхования для тех, кто занят в сельскохозяйственном секторе. В н</w:t>
      </w:r>
      <w:r>
        <w:t>а</w:t>
      </w:r>
      <w:r>
        <w:t>стоящее время этот вопрос изучается министерством труда и социального обеспечения с тем, чтобы сформировать систему с более широкой сферой охв</w:t>
      </w:r>
      <w:r>
        <w:t>а</w:t>
      </w:r>
      <w:r>
        <w:t>та и упорядочить выплату пособий (см. раздел настоящего доклада, посвяще</w:t>
      </w:r>
      <w:r>
        <w:t>н</w:t>
      </w:r>
      <w:r>
        <w:t>ный статье 11).</w:t>
      </w:r>
    </w:p>
    <w:p w:rsidR="00000000" w:rsidRDefault="00000000">
      <w:pPr>
        <w:pStyle w:val="SingleTxt"/>
      </w:pPr>
      <w:r>
        <w:t>Государства-участники...обеспечивают... право:</w:t>
      </w:r>
    </w:p>
    <w:p w:rsidR="00000000" w:rsidRDefault="00000000">
      <w:pPr>
        <w:pStyle w:val="SingleTxt"/>
        <w:ind w:left="2246" w:hanging="505"/>
        <w:rPr>
          <w:i/>
        </w:rPr>
      </w:pPr>
      <w:r>
        <w:rPr>
          <w:b/>
          <w:i/>
        </w:rPr>
        <w:t>(</w:t>
      </w:r>
      <w:r>
        <w:rPr>
          <w:b/>
          <w:i/>
          <w:lang w:val="en-US"/>
        </w:rPr>
        <w:t>d</w:t>
      </w:r>
      <w:r>
        <w:rPr>
          <w:b/>
          <w:i/>
        </w:rPr>
        <w:t>)</w:t>
      </w:r>
      <w:r>
        <w:rPr>
          <w:i/>
        </w:rPr>
        <w:t xml:space="preserve"> </w:t>
      </w:r>
      <w:r>
        <w:rPr>
          <w:i/>
        </w:rPr>
        <w:tab/>
        <w:t>получать все виды подготовки и формального и неформального о</w:t>
      </w:r>
      <w:r>
        <w:rPr>
          <w:i/>
        </w:rPr>
        <w:t>б</w:t>
      </w:r>
      <w:r>
        <w:rPr>
          <w:i/>
        </w:rPr>
        <w:t>разования, включая функциональную грамотность, а также польз</w:t>
      </w:r>
      <w:r>
        <w:rPr>
          <w:i/>
        </w:rPr>
        <w:t>о</w:t>
      </w:r>
      <w:r>
        <w:rPr>
          <w:i/>
        </w:rPr>
        <w:t>ваться услугами всех средств общинного обслуживания, консульт</w:t>
      </w:r>
      <w:r>
        <w:rPr>
          <w:i/>
        </w:rPr>
        <w:t>а</w:t>
      </w:r>
      <w:r>
        <w:rPr>
          <w:i/>
        </w:rPr>
        <w:t>тивных служб по сельскохозяйственным вопросам, в частности для повышения их технического уровня;</w:t>
      </w:r>
    </w:p>
    <w:p w:rsidR="00000000" w:rsidRDefault="00000000">
      <w:pPr>
        <w:pStyle w:val="SingleTxt"/>
      </w:pPr>
      <w:r>
        <w:t>Министерство сельского хозяйства и по делам сельской местности (МАРА) уполномочено пропагандировать рациональные методы ведения сел</w:t>
      </w:r>
      <w:r>
        <w:t>ь</w:t>
      </w:r>
      <w:r>
        <w:t>ского хозяйства и внедрять надлежащие технологии в сельских общинах с п</w:t>
      </w:r>
      <w:r>
        <w:t>о</w:t>
      </w:r>
      <w:r>
        <w:t>мощью своей программы обучения и консультирования фермеров в интересах повышения доходов фермеров и производительности труда в таких отраслях, как растениеводство и животноводство. Несмотря на то, что женщинам открыт доступ к этим услугам, распространение знаний по вопросам сельскохозяйс</w:t>
      </w:r>
      <w:r>
        <w:t>т</w:t>
      </w:r>
      <w:r>
        <w:t>венного производства – это та область, в которой доминируют мужчины, то есть соответствующие знания распространяются мужчинами, специалистами по сельскохозяйственной, технике среди мужчин фермеров. Консультационные программы, рассчитанные на сельских женщин, ограничены, как правило, ку</w:t>
      </w:r>
      <w:r>
        <w:t>р</w:t>
      </w:r>
      <w:r>
        <w:t>сами по вопросам экономики домашнего хозяйства, проблемами семейного п</w:t>
      </w:r>
      <w:r>
        <w:t>и</w:t>
      </w:r>
      <w:r>
        <w:t>тания, кустарного производства и т.п.</w:t>
      </w:r>
    </w:p>
    <w:p w:rsidR="00000000" w:rsidRDefault="00000000">
      <w:pPr>
        <w:pStyle w:val="SingleTxt"/>
      </w:pPr>
      <w:r>
        <w:t>Для того, чтобы более эффективно учитывать гендерную проблематику в своей работе по распространению знаний, в 1997 году МАРА создало секцию по вопросам участия женщин в развитии сельских районов в составе Генерал</w:t>
      </w:r>
      <w:r>
        <w:t>ь</w:t>
      </w:r>
      <w:r>
        <w:t>ного управления по вопросам организации и поддержки. В рамках МАРА се</w:t>
      </w:r>
      <w:r>
        <w:t>к</w:t>
      </w:r>
      <w:r>
        <w:t>ция по вопросам участия женщин в развитии сельских районов играет це</w:t>
      </w:r>
      <w:r>
        <w:t>н</w:t>
      </w:r>
      <w:r>
        <w:t>тральную роль в том, что касается планирования программ консультирования сельских женщин по сельскохозяйственным вопросам и по вопросам эконом</w:t>
      </w:r>
      <w:r>
        <w:t>и</w:t>
      </w:r>
      <w:r>
        <w:t>ки домашнего хозяйства, а также контролирует их осуществление с помощью консультативных отделений, созданных на уровне провинций и округов. На службе в МАРА состоит в общей сложности 1 227 женщин–специалистов по сельскохозяйственной технике, причем такого их количества явно недостато</w:t>
      </w:r>
      <w:r>
        <w:t>ч</w:t>
      </w:r>
      <w:r>
        <w:t>но, учитывая ту центральную роль, которую играют женщины в сфере сельск</w:t>
      </w:r>
      <w:r>
        <w:t>о</w:t>
      </w:r>
      <w:r>
        <w:t>хозяйственного производс</w:t>
      </w:r>
      <w:r>
        <w:t>т</w:t>
      </w:r>
      <w:r>
        <w:t>ва.</w:t>
      </w:r>
    </w:p>
    <w:p w:rsidR="00000000" w:rsidRDefault="00000000">
      <w:pPr>
        <w:pStyle w:val="SingleTxt"/>
      </w:pPr>
      <w:r>
        <w:t>В дополнение к тем услугам в области обучения и консультирования фе</w:t>
      </w:r>
      <w:r>
        <w:t>р</w:t>
      </w:r>
      <w:r>
        <w:t>меров, которые оказывало МАРА в рамках своей программы регулярной раб</w:t>
      </w:r>
      <w:r>
        <w:t>о</w:t>
      </w:r>
      <w:r>
        <w:t>ты в течение трех прошедших десятилетий, осуществляются проекты в области планирования развития сельскохозяйственных районов, которые уделяют пе</w:t>
      </w:r>
      <w:r>
        <w:t>р</w:t>
      </w:r>
      <w:r>
        <w:t>воочередное внимание приоритетным вопросам и областям. Проекты госуда</w:t>
      </w:r>
      <w:r>
        <w:t>р</w:t>
      </w:r>
      <w:r>
        <w:t>ственного сектора реализуются соответствующей организацией государстве</w:t>
      </w:r>
      <w:r>
        <w:t>н</w:t>
      </w:r>
      <w:r>
        <w:t>ного сектора (такой, например, как МАРА, министерство лесного хозяйства, администрация ПРА и т.д.) в сотрудничестве в том числе с такими междун</w:t>
      </w:r>
      <w:r>
        <w:t>а</w:t>
      </w:r>
      <w:r>
        <w:t xml:space="preserve">родными организациями, как </w:t>
      </w:r>
      <w:r>
        <w:rPr>
          <w:caps/>
        </w:rPr>
        <w:t>м</w:t>
      </w:r>
      <w:r>
        <w:t>еждународный фонд сельскохозяйственного развития (ИФАД), Продовольственная и сельскохозяйственная организация (ФАО), Всемирный банк, а также двусторонними донорами и финансовыми у</w:t>
      </w:r>
      <w:r>
        <w:t>ч</w:t>
      </w:r>
      <w:r>
        <w:t>реждениями. Большинство проектов предусматривает налаживание партне</w:t>
      </w:r>
      <w:r>
        <w:t>р</w:t>
      </w:r>
      <w:r>
        <w:t>ских отношений с неправител</w:t>
      </w:r>
      <w:r>
        <w:t>ь</w:t>
      </w:r>
      <w:r>
        <w:t>ственными организациями.</w:t>
      </w:r>
    </w:p>
    <w:p w:rsidR="00000000" w:rsidRDefault="00000000">
      <w:pPr>
        <w:pStyle w:val="SingleTxt"/>
      </w:pPr>
      <w:r>
        <w:t>После подготовки предыдущего доклада одним из главных комплексных проектов стал проект правительства Турции и ИФАД по развитию сельских районов Орду-Гирезун. Осуществление этого проекта началось в 1999 году и должно закончиться в 2004 году. Один из аспектов, по которому этот проект о</w:t>
      </w:r>
      <w:r>
        <w:t>т</w:t>
      </w:r>
      <w:r>
        <w:t>личается от тех, которые осуществлялись в прошлом, состоит в том, что в о</w:t>
      </w:r>
      <w:r>
        <w:t>с</w:t>
      </w:r>
      <w:r>
        <w:t>нове осуществления этого проекта лежит проектный план, подготовленный при участии целевой группы населения по данному проекту, в том числе женщин. В соответствии с концепцией этого проекта для его осуществления на уровне д</w:t>
      </w:r>
      <w:r>
        <w:t>е</w:t>
      </w:r>
      <w:r>
        <w:t xml:space="preserve">ревень создаются комитеты по вопросам развития деревень, причем в состав каждого такого комитета должно входить не менее одной женщины. </w:t>
      </w:r>
      <w:r>
        <w:rPr>
          <w:caps/>
        </w:rPr>
        <w:t>к</w:t>
      </w:r>
      <w:r>
        <w:t>роме т</w:t>
      </w:r>
      <w:r>
        <w:t>о</w:t>
      </w:r>
      <w:r>
        <w:t>го, с тем чтобы при осуществлении проекта на всех уровнях обеспечить учет вопросов, вызывающих озабоченность у женщин, в провинциях к работе пр</w:t>
      </w:r>
      <w:r>
        <w:t>и</w:t>
      </w:r>
      <w:r>
        <w:t>влекаются же</w:t>
      </w:r>
      <w:r>
        <w:t>н</w:t>
      </w:r>
      <w:r>
        <w:t>щины–сельские координаторы.</w:t>
      </w:r>
    </w:p>
    <w:p w:rsidR="00000000" w:rsidRDefault="00000000">
      <w:pPr>
        <w:pStyle w:val="SingleTxt"/>
      </w:pPr>
      <w:r>
        <w:t>Из всех осуществляемых в Турции проектов в области развития сельских районов наиболее комплексным является проект развития Юго-Восточной Анатолии, широко известный как ПРА. Он представляет собой реализуемую на практике инициативу, нацеленную на сокращение региональных диспропорций путем применения комплексных стратегий вмешательства в девяти провинц</w:t>
      </w:r>
      <w:r>
        <w:t>и</w:t>
      </w:r>
      <w:r>
        <w:t>ях. Поскольку в своей ключевой части ПРА основан на крупномасштабной и</w:t>
      </w:r>
      <w:r>
        <w:t>р</w:t>
      </w:r>
      <w:r>
        <w:t>ригации, проводится большая работа по распространению сельскохозяйстве</w:t>
      </w:r>
      <w:r>
        <w:t>н</w:t>
      </w:r>
      <w:r>
        <w:t>ных знаний. Однако наиболее новаторским из всех результатов осуществления ПРА является создание многоцелевых общинных центров (МОЦ), которые пр</w:t>
      </w:r>
      <w:r>
        <w:t>и</w:t>
      </w:r>
      <w:r>
        <w:t>званы способс</w:t>
      </w:r>
      <w:r>
        <w:t>т</w:t>
      </w:r>
      <w:r>
        <w:t>вовать вовлечению женщин в процесс развития.</w:t>
      </w:r>
    </w:p>
    <w:p w:rsidR="00000000" w:rsidRDefault="00000000">
      <w:pPr>
        <w:pStyle w:val="SingleTxt"/>
      </w:pPr>
      <w:r>
        <w:t>Создание МОЦ началось в 1995 году по инициативе администрации ПРА и при поддержке со стороны ЮНИСЕФ на экспериментальной основе в сел</w:t>
      </w:r>
      <w:r>
        <w:t>ь</w:t>
      </w:r>
      <w:r>
        <w:t>ских районах и в трущобах Шанхурфа. За короткий период времени подобные центры были созданы по всему региону и приобрели более автономную стру</w:t>
      </w:r>
      <w:r>
        <w:t>к</w:t>
      </w:r>
      <w:r>
        <w:t>туру. С 1997 года МОЦ возглавляет группа из 5-7 женщин, избираемых самими участниками. По состоянию на май 2002 года в восьми провинциях насчитыв</w:t>
      </w:r>
      <w:r>
        <w:t>а</w:t>
      </w:r>
      <w:r>
        <w:t>лось двадцать три МОЦ, размещавшихся в деревнях и в пригородных районах. Они начали привлекать к себе женщин самых разных возрастов, оказывая п</w:t>
      </w:r>
      <w:r>
        <w:t>о</w:t>
      </w:r>
      <w:r>
        <w:t>мощь более чем 60 000 женщин с помощью различных программ в области у</w:t>
      </w:r>
      <w:r>
        <w:t>к</w:t>
      </w:r>
      <w:r>
        <w:t>репления потенциала. В настоящее время администрация ПРА приступила к пересмотру вопросов функционирования этих центров с тем, чтобы расширить их полномочия и повысить эффективность методов их работы. К числу осно</w:t>
      </w:r>
      <w:r>
        <w:t>в</w:t>
      </w:r>
      <w:r>
        <w:t>ных видов деятельности МОЦ относятся нижеследу</w:t>
      </w:r>
      <w:r>
        <w:t>ю</w:t>
      </w:r>
      <w:r>
        <w:t>щие:</w:t>
      </w:r>
    </w:p>
    <w:p w:rsidR="00000000" w:rsidRDefault="00000000">
      <w:pPr>
        <w:pStyle w:val="dot"/>
      </w:pPr>
      <w:r>
        <w:tab/>
      </w:r>
      <w:r>
        <w:tab/>
        <w:t>•</w:t>
      </w:r>
      <w:r>
        <w:tab/>
        <w:t>Краткосрочные курсы повышения грамотности, подготовки к работе на комп</w:t>
      </w:r>
      <w:r>
        <w:t>ь</w:t>
      </w:r>
      <w:r>
        <w:t>ютере, английского языка, экономики домашнего хозяйства;</w:t>
      </w:r>
    </w:p>
    <w:p w:rsidR="00000000" w:rsidRDefault="00000000">
      <w:pPr>
        <w:pStyle w:val="dot"/>
      </w:pPr>
      <w:r>
        <w:tab/>
      </w:r>
      <w:r>
        <w:tab/>
        <w:t>•</w:t>
      </w:r>
      <w:r>
        <w:tab/>
        <w:t>Программы по вопросам гигиены, охраны здоровья матери и ребенка, а также ограниченный ряд клинических у</w:t>
      </w:r>
      <w:r>
        <w:t>с</w:t>
      </w:r>
      <w:r>
        <w:t>луг;</w:t>
      </w:r>
    </w:p>
    <w:p w:rsidR="00000000" w:rsidRDefault="00000000">
      <w:pPr>
        <w:pStyle w:val="dot"/>
      </w:pPr>
      <w:r>
        <w:tab/>
      </w:r>
      <w:r>
        <w:tab/>
        <w:t>•</w:t>
      </w:r>
      <w:r>
        <w:tab/>
        <w:t>Развитие навыков в области управления и лидерства;</w:t>
      </w:r>
    </w:p>
    <w:p w:rsidR="00000000" w:rsidRDefault="00000000">
      <w:pPr>
        <w:pStyle w:val="dot"/>
      </w:pPr>
      <w:r>
        <w:tab/>
      </w:r>
      <w:r>
        <w:tab/>
        <w:t>•</w:t>
      </w:r>
      <w:r>
        <w:tab/>
        <w:t>Обучение приносящим доход видам деятельности, в том числе приобр</w:t>
      </w:r>
      <w:r>
        <w:t>е</w:t>
      </w:r>
      <w:r>
        <w:t>тение квалификации в области ремесла, модельного дела и шитья, пари</w:t>
      </w:r>
      <w:r>
        <w:t>к</w:t>
      </w:r>
      <w:r>
        <w:t>махерского искусства, эле</w:t>
      </w:r>
      <w:r>
        <w:t>к</w:t>
      </w:r>
      <w:r>
        <w:t>тронасаждения серебра и т.д.;</w:t>
      </w:r>
    </w:p>
    <w:p w:rsidR="00000000" w:rsidRDefault="00000000">
      <w:pPr>
        <w:pStyle w:val="dot"/>
      </w:pPr>
      <w:r>
        <w:tab/>
      </w:r>
      <w:r>
        <w:tab/>
        <w:t>•</w:t>
      </w:r>
      <w:r>
        <w:tab/>
        <w:t>Программы социальной солидарности в том, что касается получения з</w:t>
      </w:r>
      <w:r>
        <w:t>е</w:t>
      </w:r>
      <w:r>
        <w:t>леной медицинской карты, грантов на цели образования и других досту</w:t>
      </w:r>
      <w:r>
        <w:t>п</w:t>
      </w:r>
      <w:r>
        <w:t>ных в</w:t>
      </w:r>
      <w:r>
        <w:t>и</w:t>
      </w:r>
      <w:r>
        <w:t>дов социальной помощи.</w:t>
      </w:r>
    </w:p>
    <w:p w:rsidR="00000000" w:rsidRDefault="00000000">
      <w:pPr>
        <w:pStyle w:val="SingleTxt"/>
      </w:pPr>
      <w:r>
        <w:t>МОЦ не оставили без внимания беднейших и наиболее обездоленных женщин юго-востока. Благодаря тому успеху, который был достигнут этими центрами в том, что касается ускорения развития в их соответствующих общ</w:t>
      </w:r>
      <w:r>
        <w:t>и</w:t>
      </w:r>
      <w:r>
        <w:t>нах и в расширении возможностей малоимущих женщин в плане доступа к о</w:t>
      </w:r>
      <w:r>
        <w:t>б</w:t>
      </w:r>
      <w:r>
        <w:t>щественным услугам, различные слои населения и институты стали активнее интересоваться работой этих центров. В результате МОЦ в Шанхурфе, Сивер</w:t>
      </w:r>
      <w:r>
        <w:t>е</w:t>
      </w:r>
      <w:r>
        <w:t>ке и Газиантепе теперь получают финансовую помощь со стороны частного сектора. МОЦ в Батмане получает помощь со стороны НПО и канцелярии г</w:t>
      </w:r>
      <w:r>
        <w:t>у</w:t>
      </w:r>
      <w:r>
        <w:t>бернатора.</w:t>
      </w:r>
    </w:p>
    <w:p w:rsidR="00000000" w:rsidRDefault="00000000">
      <w:pPr>
        <w:pStyle w:val="SingleTxt"/>
      </w:pPr>
      <w:r>
        <w:t>Государства-участники... обеспечивают... право:</w:t>
      </w:r>
    </w:p>
    <w:p w:rsidR="00000000" w:rsidRDefault="00000000">
      <w:pPr>
        <w:pStyle w:val="SingleTxt"/>
        <w:ind w:left="2246" w:hanging="505"/>
        <w:rPr>
          <w:i/>
        </w:rPr>
      </w:pPr>
      <w:r>
        <w:rPr>
          <w:b/>
          <w:i/>
        </w:rPr>
        <w:t>(е)</w:t>
      </w:r>
      <w:r>
        <w:rPr>
          <w:i/>
        </w:rPr>
        <w:t xml:space="preserve"> </w:t>
      </w:r>
      <w:r>
        <w:rPr>
          <w:i/>
        </w:rPr>
        <w:tab/>
        <w:t>организовывать группы самопомощи и кооперативы, с тем чтобы обеспечить равный доступ к экономическим возможностям посре</w:t>
      </w:r>
      <w:r>
        <w:rPr>
          <w:i/>
        </w:rPr>
        <w:t>д</w:t>
      </w:r>
      <w:r>
        <w:rPr>
          <w:i/>
        </w:rPr>
        <w:t>ством работы по найму или независимой трудовой деятельн</w:t>
      </w:r>
      <w:r>
        <w:rPr>
          <w:i/>
        </w:rPr>
        <w:t>о</w:t>
      </w:r>
      <w:r>
        <w:rPr>
          <w:i/>
        </w:rPr>
        <w:t>сти;</w:t>
      </w:r>
    </w:p>
    <w:p w:rsidR="00000000" w:rsidRDefault="00000000">
      <w:pPr>
        <w:pStyle w:val="SingleTxt"/>
      </w:pPr>
      <w:r>
        <w:t>Соответствующие меры принимаются в контексте регулярных программ МАРА по вопросам консультирования и экономики домашнего хозяйства, а также проектов в области планирования развития сельских районов.</w:t>
      </w:r>
    </w:p>
    <w:p w:rsidR="00000000" w:rsidRDefault="00000000">
      <w:pPr>
        <w:pStyle w:val="SingleTxt"/>
      </w:pPr>
      <w:r>
        <w:t>В рамках двух научно-исследовательских проектов, реализуемых ГУЖ в контексте проекта по обеспечению занятости женщин, основное внимание б</w:t>
      </w:r>
      <w:r>
        <w:t>ы</w:t>
      </w:r>
      <w:r>
        <w:t>ло уделено эффективным стратегиям расширения возможностей сельских же</w:t>
      </w:r>
      <w:r>
        <w:t>н</w:t>
      </w:r>
      <w:r>
        <w:t>щин в экономической области и были разработаны политические руководящие принципы соответствующего содержания. Оба этих исследования были опу</w:t>
      </w:r>
      <w:r>
        <w:t>б</w:t>
      </w:r>
      <w:r>
        <w:t>ликованы и не остались без вним</w:t>
      </w:r>
      <w:r>
        <w:t>а</w:t>
      </w:r>
      <w:r>
        <w:t>ния.</w:t>
      </w:r>
    </w:p>
    <w:p w:rsidR="00000000" w:rsidRDefault="00000000">
      <w:pPr>
        <w:pStyle w:val="SingleTxt"/>
      </w:pPr>
      <w:r>
        <w:t>Государства-участники... обеспечивают... право:</w:t>
      </w:r>
    </w:p>
    <w:p w:rsidR="00000000" w:rsidRDefault="00000000">
      <w:pPr>
        <w:pStyle w:val="SingleTxt"/>
        <w:ind w:left="2246" w:hanging="505"/>
        <w:rPr>
          <w:i/>
        </w:rPr>
      </w:pPr>
      <w:r>
        <w:rPr>
          <w:b/>
          <w:i/>
        </w:rPr>
        <w:t>(</w:t>
      </w:r>
      <w:r>
        <w:rPr>
          <w:b/>
          <w:i/>
          <w:lang w:val="en-US"/>
        </w:rPr>
        <w:t>f</w:t>
      </w:r>
      <w:r>
        <w:rPr>
          <w:b/>
          <w:i/>
        </w:rPr>
        <w:t>)</w:t>
      </w:r>
      <w:r>
        <w:rPr>
          <w:b/>
          <w:i/>
        </w:rPr>
        <w:tab/>
      </w:r>
      <w:r>
        <w:rPr>
          <w:i/>
        </w:rPr>
        <w:t xml:space="preserve"> участвовать во всех видах коллективной деятел</w:t>
      </w:r>
      <w:r>
        <w:rPr>
          <w:i/>
        </w:rPr>
        <w:t>ь</w:t>
      </w:r>
      <w:r>
        <w:rPr>
          <w:i/>
        </w:rPr>
        <w:t>ности;</w:t>
      </w:r>
    </w:p>
    <w:p w:rsidR="00000000" w:rsidRDefault="00000000">
      <w:pPr>
        <w:pStyle w:val="SingleTxt"/>
        <w:ind w:left="2246" w:hanging="505"/>
        <w:rPr>
          <w:i/>
        </w:rPr>
      </w:pPr>
      <w:r>
        <w:rPr>
          <w:b/>
          <w:i/>
        </w:rPr>
        <w:t>(</w:t>
      </w:r>
      <w:r>
        <w:rPr>
          <w:b/>
          <w:i/>
          <w:lang w:val="en-US"/>
        </w:rPr>
        <w:t>g</w:t>
      </w:r>
      <w:r>
        <w:rPr>
          <w:b/>
          <w:i/>
        </w:rPr>
        <w:t>)</w:t>
      </w:r>
      <w:r>
        <w:rPr>
          <w:i/>
        </w:rPr>
        <w:t xml:space="preserve"> </w:t>
      </w:r>
      <w:r>
        <w:rPr>
          <w:i/>
        </w:rPr>
        <w:tab/>
        <w:t>на доступ к сельскохозяйственным кредитам и займам, системе сбыта, соответствующей технологии и на равный статус в з</w:t>
      </w:r>
      <w:r>
        <w:rPr>
          <w:i/>
        </w:rPr>
        <w:t>е</w:t>
      </w:r>
      <w:r>
        <w:rPr>
          <w:i/>
        </w:rPr>
        <w:t>мельных и аграрных реформах, а также в планах перезаселения з</w:t>
      </w:r>
      <w:r>
        <w:rPr>
          <w:i/>
        </w:rPr>
        <w:t>е</w:t>
      </w:r>
      <w:r>
        <w:rPr>
          <w:i/>
        </w:rPr>
        <w:t>мель;</w:t>
      </w:r>
    </w:p>
    <w:p w:rsidR="00000000" w:rsidRDefault="00000000">
      <w:pPr>
        <w:pStyle w:val="SingleTxt"/>
      </w:pPr>
      <w:r>
        <w:t>С принятием нового Гражданского кодекса и с проведением других прав</w:t>
      </w:r>
      <w:r>
        <w:t>о</w:t>
      </w:r>
      <w:r>
        <w:t>вых реформ, о которых шла речь в разделе настоящего доклада, посвященном статье 2, были отменены все действующие дискриминационные нормы, к</w:t>
      </w:r>
      <w:r>
        <w:t>а</w:t>
      </w:r>
      <w:r>
        <w:t>сающиеся прав женщин на владение земельными угодьями. Поэтому в отнош</w:t>
      </w:r>
      <w:r>
        <w:t>е</w:t>
      </w:r>
      <w:r>
        <w:t>нии прав женщин на владение земельными угодьями какие бы то ни было пр</w:t>
      </w:r>
      <w:r>
        <w:t>а</w:t>
      </w:r>
      <w:r>
        <w:t>вовые ограничения отсутствуют. Однако в некоторых регионах страны из-за сложившейся практики женщины зачастую отказываются от своих прав на зе</w:t>
      </w:r>
      <w:r>
        <w:t>м</w:t>
      </w:r>
      <w:r>
        <w:t>лю в пользу своих братьев. Такая практика встречается все реже и реже.</w:t>
      </w:r>
    </w:p>
    <w:p w:rsidR="00000000" w:rsidRDefault="00000000">
      <w:pPr>
        <w:pStyle w:val="SingleTxt"/>
      </w:pPr>
      <w:r>
        <w:t>Государства-участники... обеспечивают... право:</w:t>
      </w:r>
    </w:p>
    <w:p w:rsidR="00000000" w:rsidRDefault="00000000">
      <w:pPr>
        <w:pStyle w:val="SingleTxt"/>
        <w:ind w:left="2246" w:hanging="505"/>
        <w:rPr>
          <w:i/>
        </w:rPr>
      </w:pPr>
      <w:r>
        <w:rPr>
          <w:b/>
          <w:i/>
        </w:rPr>
        <w:t>(</w:t>
      </w:r>
      <w:r>
        <w:rPr>
          <w:b/>
          <w:i/>
          <w:lang w:val="en-US"/>
        </w:rPr>
        <w:t>h</w:t>
      </w:r>
      <w:r>
        <w:rPr>
          <w:b/>
          <w:i/>
        </w:rPr>
        <w:t>)</w:t>
      </w:r>
      <w:r>
        <w:rPr>
          <w:i/>
        </w:rPr>
        <w:t xml:space="preserve"> </w:t>
      </w:r>
      <w:r>
        <w:rPr>
          <w:i/>
        </w:rPr>
        <w:tab/>
        <w:t>пользоваться надлежащими условиями жизни, особенно жилищн</w:t>
      </w:r>
      <w:r>
        <w:rPr>
          <w:i/>
        </w:rPr>
        <w:t>ы</w:t>
      </w:r>
      <w:r>
        <w:rPr>
          <w:i/>
        </w:rPr>
        <w:t>ми условиями, санитарными услугами, электро- и водоснабжением, а также транспортом и сре</w:t>
      </w:r>
      <w:r>
        <w:rPr>
          <w:i/>
        </w:rPr>
        <w:t>д</w:t>
      </w:r>
      <w:r>
        <w:rPr>
          <w:i/>
        </w:rPr>
        <w:t>ствами связи.</w:t>
      </w:r>
    </w:p>
    <w:p w:rsidR="00000000" w:rsidRDefault="00000000">
      <w:pPr>
        <w:pStyle w:val="SingleTxt"/>
      </w:pPr>
      <w:r>
        <w:t>Соответствующая информация приводится во втором и третьем объед</w:t>
      </w:r>
      <w:r>
        <w:t>и</w:t>
      </w:r>
      <w:r>
        <w:t>ненных докладах Турции.</w:t>
      </w:r>
    </w:p>
    <w:p w:rsidR="00000000" w:rsidRDefault="00000000">
      <w:pPr>
        <w:pStyle w:val="SingleTxt"/>
      </w:pPr>
    </w:p>
    <w:p w:rsidR="00000000" w:rsidRDefault="00000000">
      <w:pPr>
        <w:pStyle w:val="HCh"/>
      </w:pPr>
      <w:r>
        <w:br w:type="page"/>
        <w:t>Равенство перед законом и в гражданских правоотношениях</w:t>
      </w:r>
    </w:p>
    <w:p w:rsidR="00000000" w:rsidRDefault="00000000">
      <w:pPr>
        <w:pStyle w:val="SingleTxt"/>
        <w:rPr>
          <w:i/>
        </w:rPr>
      </w:pPr>
      <w:r>
        <w:rPr>
          <w:b/>
          <w:i/>
        </w:rPr>
        <w:t>Статья 15.1.</w:t>
      </w:r>
      <w:r>
        <w:rPr>
          <w:i/>
        </w:rPr>
        <w:t xml:space="preserve"> Государства-участники признают за женщинами равенс</w:t>
      </w:r>
      <w:r>
        <w:rPr>
          <w:i/>
        </w:rPr>
        <w:t>т</w:t>
      </w:r>
      <w:r>
        <w:rPr>
          <w:i/>
        </w:rPr>
        <w:t>во с мужчинами перед законом.</w:t>
      </w:r>
    </w:p>
    <w:p w:rsidR="00000000" w:rsidRDefault="00000000">
      <w:pPr>
        <w:pStyle w:val="SingleTxt"/>
      </w:pPr>
      <w:r>
        <w:t>Оговорки, сделанные Турцией в отношении статей 15 и 16 КЛДЖ, были сняты 20 сентября 1999 года. Благодаря внесению поправок в Конституцию, Гражданский кодекс и другие законодательные акты был достигнут значител</w:t>
      </w:r>
      <w:r>
        <w:t>ь</w:t>
      </w:r>
      <w:r>
        <w:t>ный прогресс в том, что касается обеспечения равенства мужчин и женщин п</w:t>
      </w:r>
      <w:r>
        <w:t>е</w:t>
      </w:r>
      <w:r>
        <w:t>ред зак</w:t>
      </w:r>
      <w:r>
        <w:t>о</w:t>
      </w:r>
      <w:r>
        <w:t>ном.</w:t>
      </w:r>
    </w:p>
    <w:p w:rsidR="00000000" w:rsidRDefault="00000000">
      <w:pPr>
        <w:pStyle w:val="SingleTxt"/>
      </w:pPr>
      <w:r>
        <w:t>После подготовки предыдущего доклада, в соответствии с поправками к статьям 41 и 66 Конституции, вступившими в силу 17 октября 2001 года, норма о главенствующем положении супруга была исключена, для чего положение о том, что "семья – это основа общества" была дополнена фразой о том, что она "опирается на равенство мужа и жены" (статья 41). С другой стороны, в резул</w:t>
      </w:r>
      <w:r>
        <w:t>ь</w:t>
      </w:r>
      <w:r>
        <w:t>тате внесения в статью 66 поправки, предусматривающей исключение полож</w:t>
      </w:r>
      <w:r>
        <w:t>е</w:t>
      </w:r>
      <w:r>
        <w:t>ния о том, что "гражданство ребенка, мать которого является гражданкой Ту</w:t>
      </w:r>
      <w:r>
        <w:t>р</w:t>
      </w:r>
      <w:r>
        <w:t>ции, а отец – гражданином зарубежного государства, регулируется законом", ранее существовавшее неравенство между женщинами и мужчинами было ли</w:t>
      </w:r>
      <w:r>
        <w:t>к</w:t>
      </w:r>
      <w:r>
        <w:t>видир</w:t>
      </w:r>
      <w:r>
        <w:t>о</w:t>
      </w:r>
      <w:r>
        <w:t>вано.</w:t>
      </w:r>
    </w:p>
    <w:p w:rsidR="00000000" w:rsidRDefault="00000000">
      <w:pPr>
        <w:pStyle w:val="SingleTxt"/>
      </w:pPr>
      <w:r>
        <w:t>Вопреки тому факту, что равенство женщин и мужчин гарантировано ко</w:t>
      </w:r>
      <w:r>
        <w:t>н</w:t>
      </w:r>
      <w:r>
        <w:t>ституцией, действующие законодательные нормы не всегда способствуют уст</w:t>
      </w:r>
      <w:r>
        <w:t>а</w:t>
      </w:r>
      <w:r>
        <w:t>новлению подлинного равенства. С тем, чтобы заложить конституционную о</w:t>
      </w:r>
      <w:r>
        <w:t>с</w:t>
      </w:r>
      <w:r>
        <w:t>нову будущих законов в области равенства, ГУЖ представило на рассмотрение проект закона, предусматривающего внесение поправок в пункт 1 статьи 10 конституции. Соответственным образом, вносится предложение о включ</w:t>
      </w:r>
      <w:r>
        <w:t>е</w:t>
      </w:r>
      <w:r>
        <w:t>нии нижеследующей нормы: "Женщины и мужчины равноправны. Государство принимает все необходимые меры для обеспечения равенства мужчин и же</w:t>
      </w:r>
      <w:r>
        <w:t>н</w:t>
      </w:r>
      <w:r>
        <w:t>щин, в том числе особые временные меры". Этот законопроект пока еще пр</w:t>
      </w:r>
      <w:r>
        <w:t>и</w:t>
      </w:r>
      <w:r>
        <w:t>нят не был.</w:t>
      </w:r>
    </w:p>
    <w:p w:rsidR="00000000" w:rsidRDefault="00000000">
      <w:pPr>
        <w:pStyle w:val="SingleTxt"/>
        <w:rPr>
          <w:i/>
        </w:rPr>
      </w:pPr>
      <w:r>
        <w:rPr>
          <w:b/>
          <w:i/>
        </w:rPr>
        <w:t>15.2.</w:t>
      </w:r>
      <w:r>
        <w:rPr>
          <w:i/>
        </w:rPr>
        <w:t xml:space="preserve"> 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Style w:val="SingleTxt"/>
      </w:pPr>
      <w:r>
        <w:t>Закон гарантирует женщинам и мужчинам равную правоспособность, а также право на ее реализацию. Кроме того, женщины и мужчины имеют ра</w:t>
      </w:r>
      <w:r>
        <w:t>в</w:t>
      </w:r>
      <w:r>
        <w:t>ные полномочия в области представительства (статья 189), а также одинаковые права на заключение юридических сделок друг с другом или с третьими стор</w:t>
      </w:r>
      <w:r>
        <w:t>о</w:t>
      </w:r>
      <w:r>
        <w:t>нами (статья 193). Поправка, внесенная в Закон о подоходном налоге в 1998 году, разрешает замужним женщинам самостоятельно представлять нал</w:t>
      </w:r>
      <w:r>
        <w:t>о</w:t>
      </w:r>
      <w:r>
        <w:t>говые декл</w:t>
      </w:r>
      <w:r>
        <w:t>а</w:t>
      </w:r>
      <w:r>
        <w:t>рации.</w:t>
      </w:r>
    </w:p>
    <w:p w:rsidR="00000000" w:rsidRDefault="00000000">
      <w:pPr>
        <w:pStyle w:val="SingleTxt"/>
      </w:pPr>
      <w:r>
        <w:t>Супруги равноправны в том, что касается выбора местожительства семьи (статья 194). Ни один из супругов самостоятельно не может ни расторгнуть с</w:t>
      </w:r>
      <w:r>
        <w:t>о</w:t>
      </w:r>
      <w:r>
        <w:t>глашение об аренде жилых помещений, в которых проживает его семья, ни п</w:t>
      </w:r>
      <w:r>
        <w:t>е</w:t>
      </w:r>
      <w:r>
        <w:t>редать право собственности на жилище, ни ограничить связанные с определ</w:t>
      </w:r>
      <w:r>
        <w:t>е</w:t>
      </w:r>
      <w:r>
        <w:t>нием местожительства права в отсутствие согласия другого партнера. Соотве</w:t>
      </w:r>
      <w:r>
        <w:t>т</w:t>
      </w:r>
      <w:r>
        <w:t>ствующее право того супруга, кто юридически не является владельцем семе</w:t>
      </w:r>
      <w:r>
        <w:t>й</w:t>
      </w:r>
      <w:r>
        <w:t>ного жилища, гарантируется законом. Женщины могут приобретать, продавать имущество или вещи, или распоряжаться ими, без каких бы то ни было огран</w:t>
      </w:r>
      <w:r>
        <w:t>и</w:t>
      </w:r>
      <w:r>
        <w:t>чений.</w:t>
      </w:r>
    </w:p>
    <w:p w:rsidR="00000000" w:rsidRDefault="00000000">
      <w:pPr>
        <w:pStyle w:val="SingleTxt"/>
        <w:rPr>
          <w:i/>
        </w:rPr>
      </w:pPr>
      <w:r>
        <w:rPr>
          <w:b/>
          <w:i/>
        </w:rPr>
        <w:t>15.3.</w:t>
      </w:r>
      <w:r>
        <w:rPr>
          <w:i/>
        </w:rPr>
        <w:t xml:space="preserve"> Государства-участники соглашаются, что все договоры и все др</w:t>
      </w:r>
      <w:r>
        <w:rPr>
          <w:i/>
        </w:rPr>
        <w:t>у</w:t>
      </w:r>
      <w:r>
        <w:rPr>
          <w:i/>
        </w:rPr>
        <w:t>гие частные документы любого рода, имеющие своим правовым последствием ограничение правоспособности женщин, считаю</w:t>
      </w:r>
      <w:r>
        <w:rPr>
          <w:i/>
        </w:rPr>
        <w:t>т</w:t>
      </w:r>
      <w:r>
        <w:rPr>
          <w:i/>
        </w:rPr>
        <w:t>ся недействительными;</w:t>
      </w:r>
    </w:p>
    <w:p w:rsidR="00000000" w:rsidRDefault="00000000">
      <w:pPr>
        <w:pStyle w:val="SingleTxt"/>
      </w:pPr>
      <w:r>
        <w:t>См. выше раздел настоящего доклада, посвященный статье 15.2.</w:t>
      </w:r>
    </w:p>
    <w:p w:rsidR="00000000" w:rsidRDefault="00000000">
      <w:pPr>
        <w:pStyle w:val="SingleTxt"/>
        <w:rPr>
          <w:i/>
        </w:rPr>
      </w:pPr>
      <w:r>
        <w:rPr>
          <w:b/>
          <w:i/>
        </w:rPr>
        <w:t>15.4.</w:t>
      </w:r>
      <w:r>
        <w:rPr>
          <w:i/>
        </w:rPr>
        <w:t xml:space="preserve"> 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w:t>
      </w:r>
      <w:r>
        <w:rPr>
          <w:i/>
        </w:rPr>
        <w:t>и</w:t>
      </w:r>
      <w:r>
        <w:rPr>
          <w:i/>
        </w:rPr>
        <w:t>тельства.</w:t>
      </w:r>
    </w:p>
    <w:p w:rsidR="00000000" w:rsidRDefault="00000000">
      <w:pPr>
        <w:pStyle w:val="SingleTxt"/>
      </w:pPr>
      <w:r>
        <w:t>Женщины, будь то незамужние или замужние, имеют одинаковые с му</w:t>
      </w:r>
      <w:r>
        <w:t>ж</w:t>
      </w:r>
      <w:r>
        <w:t>чинами права в отношении передвижения. Женщина, имеющая действительный паспорт, может выехать за границу в любое выбранное ею время. Место своего жительства супруги выбирают совместно (статья 186). Из определения юрид</w:t>
      </w:r>
      <w:r>
        <w:t>и</w:t>
      </w:r>
      <w:r>
        <w:t>ческого местожительства была исключена содержавшаяся в прежнем законод</w:t>
      </w:r>
      <w:r>
        <w:t>а</w:t>
      </w:r>
      <w:r>
        <w:t>тельстве норма о том, что местожительство жены – это местожительство ее мужа. Супруги, в соответствии с законодательством Турции, живут вместе (статья 185 Гражданского кодекса).</w:t>
      </w:r>
    </w:p>
    <w:p w:rsidR="00000000" w:rsidRDefault="00000000">
      <w:pPr>
        <w:pStyle w:val="HCh"/>
      </w:pPr>
      <w:r>
        <w:br w:type="page"/>
        <w:t>Равенство в браке и с точки зрения семейного законодательства</w:t>
      </w:r>
    </w:p>
    <w:p w:rsidR="00000000" w:rsidRDefault="00000000">
      <w:pPr>
        <w:pStyle w:val="SingleTxt"/>
        <w:rPr>
          <w:i/>
        </w:rPr>
      </w:pPr>
      <w:r>
        <w:rPr>
          <w:b/>
          <w:i/>
        </w:rPr>
        <w:t>Статья 16.1.</w:t>
      </w:r>
      <w:r>
        <w:rPr>
          <w:i/>
        </w:rPr>
        <w:t xml:space="preserve"> 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w:t>
      </w:r>
      <w:r>
        <w:t xml:space="preserve"> </w:t>
      </w:r>
      <w:r>
        <w:rPr>
          <w:i/>
        </w:rPr>
        <w:t>в частности, обеспечивают на основе равенства мужчин и женщин:</w:t>
      </w:r>
    </w:p>
    <w:p w:rsidR="00000000" w:rsidRDefault="00000000">
      <w:pPr>
        <w:pStyle w:val="SingleTxt"/>
        <w:tabs>
          <w:tab w:val="clear" w:pos="1267"/>
        </w:tabs>
        <w:ind w:left="2246" w:hanging="505"/>
        <w:rPr>
          <w:i/>
        </w:rPr>
      </w:pPr>
      <w:r>
        <w:rPr>
          <w:b/>
          <w:i/>
        </w:rPr>
        <w:t>(а)</w:t>
      </w:r>
      <w:r>
        <w:rPr>
          <w:i/>
        </w:rPr>
        <w:t xml:space="preserve"> </w:t>
      </w:r>
      <w:r>
        <w:rPr>
          <w:i/>
        </w:rPr>
        <w:tab/>
        <w:t>одинаковые права на вступление в брак;</w:t>
      </w:r>
    </w:p>
    <w:p w:rsidR="00000000" w:rsidRDefault="00000000">
      <w:pPr>
        <w:pStyle w:val="SingleTxt"/>
      </w:pPr>
      <w:r>
        <w:t>По закону женщины и мужчины равноправны в том, что касается закл</w:t>
      </w:r>
      <w:r>
        <w:t>ю</w:t>
      </w:r>
      <w:r>
        <w:t>чения брака. Пары, желающие заключить брак, подают совместное заявление в отдел по вопросам регистрации брака, находящийся в месте проживания одн</w:t>
      </w:r>
      <w:r>
        <w:t>о</w:t>
      </w:r>
      <w:r>
        <w:t>го из партнеров, и совершают открытое волеизъявление в присутствии того должнос</w:t>
      </w:r>
      <w:r>
        <w:t>т</w:t>
      </w:r>
      <w:r>
        <w:t>ного лица, кто оформляет брак, а также двух свидетелей.</w:t>
      </w:r>
    </w:p>
    <w:p w:rsidR="00000000" w:rsidRDefault="00000000">
      <w:pPr>
        <w:pStyle w:val="SingleTxt"/>
      </w:pPr>
      <w:r>
        <w:t>Государства-участники... обеспечивают...:</w:t>
      </w:r>
    </w:p>
    <w:p w:rsidR="00000000" w:rsidRDefault="00000000">
      <w:pPr>
        <w:pStyle w:val="SingleTxt"/>
        <w:ind w:left="2246" w:hanging="505"/>
        <w:rPr>
          <w:i/>
        </w:rPr>
      </w:pPr>
      <w:r>
        <w:rPr>
          <w:b/>
          <w:i/>
        </w:rPr>
        <w:t>(</w:t>
      </w:r>
      <w:r>
        <w:rPr>
          <w:b/>
          <w:i/>
          <w:lang w:val="en-US"/>
        </w:rPr>
        <w:t>b</w:t>
      </w:r>
      <w:r>
        <w:rPr>
          <w:b/>
          <w:i/>
        </w:rPr>
        <w:t>)</w:t>
      </w:r>
      <w:r>
        <w:rPr>
          <w:i/>
        </w:rPr>
        <w:t xml:space="preserve"> </w:t>
      </w:r>
      <w:r>
        <w:rPr>
          <w:i/>
        </w:rPr>
        <w:tab/>
        <w:t>одинаковые права на свободный выбор супруга и на вступление в брак только со своего свободного и полного согласия;</w:t>
      </w:r>
    </w:p>
    <w:p w:rsidR="00000000" w:rsidRDefault="00000000">
      <w:pPr>
        <w:pStyle w:val="SingleTxt"/>
      </w:pPr>
      <w:r>
        <w:t>Заключаемый в соответствии с гражданским законодательством брак – это один из основополагающих принципов, заложенных в основу законодательства, регламентирующего брачные отношения, которое было принято после создания Турецкой Республики. Этот принцип отражен в статьях 142 и 143 нового Гра</w:t>
      </w:r>
      <w:r>
        <w:t>ж</w:t>
      </w:r>
      <w:r>
        <w:t>данского кодекса. Законодательство считает главным условием заключения брака полное и свободное согласие заключающей брак пары, будь то дости</w:t>
      </w:r>
      <w:r>
        <w:t>г</w:t>
      </w:r>
      <w:r>
        <w:t>шей или не достигшей совершеннолетнего возраста. В соответствии с новым законом (статья 124) минимальный возраст вступления в брак был повышен и установлен на одинаковом уровне для обоих полов. Соответственным образом, женщины и мужч</w:t>
      </w:r>
      <w:r>
        <w:t>и</w:t>
      </w:r>
      <w:r>
        <w:t>ны могут вступать в брак только по достижении ими 17-летнего возраста, в котором они по-прежнему не имеют юридической прав</w:t>
      </w:r>
      <w:r>
        <w:t>о</w:t>
      </w:r>
      <w:r>
        <w:t>способности, и, поэтому нуждаются в согласии родителей. При этом несове</w:t>
      </w:r>
      <w:r>
        <w:t>р</w:t>
      </w:r>
      <w:r>
        <w:t>шеннолетние, не достигшие 17-летнего возраста, могут вступать в брак с ра</w:t>
      </w:r>
      <w:r>
        <w:t>з</w:t>
      </w:r>
      <w:r>
        <w:t>решения своего юридического опекуна и на основе решения судьи Мирового суда (статьи 126 и 128).</w:t>
      </w:r>
    </w:p>
    <w:p w:rsidR="00000000" w:rsidRDefault="00000000">
      <w:pPr>
        <w:pStyle w:val="SingleTxt"/>
      </w:pPr>
      <w:r>
        <w:t>Государства-участники... обеспечивают...:</w:t>
      </w:r>
    </w:p>
    <w:p w:rsidR="00000000" w:rsidRDefault="00000000">
      <w:pPr>
        <w:pStyle w:val="SingleTxt"/>
        <w:ind w:left="2246" w:hanging="505"/>
        <w:rPr>
          <w:i/>
        </w:rPr>
      </w:pPr>
      <w:r>
        <w:rPr>
          <w:b/>
          <w:i/>
        </w:rPr>
        <w:t>(с)</w:t>
      </w:r>
      <w:r>
        <w:rPr>
          <w:i/>
        </w:rPr>
        <w:t xml:space="preserve"> </w:t>
      </w:r>
      <w:r>
        <w:rPr>
          <w:i/>
        </w:rPr>
        <w:tab/>
        <w:t>одинаковые права и обязанности в период брака и при его расто</w:t>
      </w:r>
      <w:r>
        <w:rPr>
          <w:i/>
        </w:rPr>
        <w:t>р</w:t>
      </w:r>
      <w:r>
        <w:rPr>
          <w:i/>
        </w:rPr>
        <w:t>жении;</w:t>
      </w:r>
    </w:p>
    <w:p w:rsidR="00000000" w:rsidRDefault="00000000">
      <w:pPr>
        <w:pStyle w:val="SingleTxt"/>
      </w:pPr>
      <w:r>
        <w:t>В соответствии со статьей 186 нового Гражданского кодекса, супруги с</w:t>
      </w:r>
      <w:r>
        <w:t>о</w:t>
      </w:r>
      <w:r>
        <w:t>вместно принимают касающиеся своего брачного союза решения и в пределах своих возможностей участвуют в оплате семейных расходов. Эта норма идет на смену содержавшемуся в ранее действовавшем законодательстве принципу, в соответствии с которым супруг, в качестве главы домашнего хозяйства, несет ответственность за обеспечение домашнего хозяйства средствами к существ</w:t>
      </w:r>
      <w:r>
        <w:t>о</w:t>
      </w:r>
      <w:r>
        <w:t>ванию и за содержание его членов, в частности, жены и детей. Равные права и обязанности, возложенные по закону на заключивших брак женщин и мужчин, также сохраняются в случае развода. В законе речь идет о "необратимом ра</w:t>
      </w:r>
      <w:r>
        <w:t>з</w:t>
      </w:r>
      <w:r>
        <w:t>рыве брачных отношений", охватывающем широкий круг проблем, из-за кот</w:t>
      </w:r>
      <w:r>
        <w:t>о</w:t>
      </w:r>
      <w:r>
        <w:t>рых один из супругов может подать ходатайство о расторжении брака (статья 166). Кроме того, в законе указаны конкретные случаи, такие, например, как супружеская измена, подготовка диссертации, потеря рассудка, жестокое обр</w:t>
      </w:r>
      <w:r>
        <w:t>а</w:t>
      </w:r>
      <w:r>
        <w:t>щение или совершение унижающего человеческое достоинство преступления, которые могут служить основан</w:t>
      </w:r>
      <w:r>
        <w:t>и</w:t>
      </w:r>
      <w:r>
        <w:t>ем для расторжения брака.</w:t>
      </w:r>
    </w:p>
    <w:p w:rsidR="00000000" w:rsidRDefault="00000000">
      <w:pPr>
        <w:pStyle w:val="SingleTxt"/>
      </w:pPr>
      <w:r>
        <w:t>Личный правовой статус, приобретенный женщиной в период брака, н</w:t>
      </w:r>
      <w:r>
        <w:t>а</w:t>
      </w:r>
      <w:r>
        <w:t>пример, гражданство, обеспечен законодательной защитой на случай развода. Кроме того, закон без всякой дискриминации регламентирует вопросы, каса</w:t>
      </w:r>
      <w:r>
        <w:t>ю</w:t>
      </w:r>
      <w:r>
        <w:t>щиеся уплаты алиментов (статьи со 175 по 178) и компенсации потенциальных или реальных убытков, понесенных в резул</w:t>
      </w:r>
      <w:r>
        <w:t>ь</w:t>
      </w:r>
      <w:r>
        <w:t>тате развода (статья 174 и 176).</w:t>
      </w:r>
    </w:p>
    <w:p w:rsidR="00000000" w:rsidRDefault="00000000">
      <w:pPr>
        <w:pStyle w:val="SingleTxt"/>
      </w:pPr>
      <w:r>
        <w:t>Кроме того, см. раздел настоящего доклада, посвяще</w:t>
      </w:r>
      <w:r>
        <w:t>н</w:t>
      </w:r>
      <w:r>
        <w:t>ный статье 16.1(</w:t>
      </w:r>
      <w:r>
        <w:rPr>
          <w:lang w:val="en-US"/>
        </w:rPr>
        <w:t>h</w:t>
      </w:r>
      <w:r>
        <w:t>).</w:t>
      </w:r>
    </w:p>
    <w:p w:rsidR="00000000" w:rsidRDefault="00000000">
      <w:pPr>
        <w:pStyle w:val="SingleTxt"/>
      </w:pPr>
      <w:r>
        <w:t>Государства-участники... обеспечивают...:</w:t>
      </w:r>
    </w:p>
    <w:p w:rsidR="00000000" w:rsidRDefault="00000000">
      <w:pPr>
        <w:pStyle w:val="SingleTxt"/>
        <w:ind w:left="2246" w:hanging="505"/>
        <w:rPr>
          <w:i/>
        </w:rPr>
      </w:pPr>
      <w:r>
        <w:rPr>
          <w:b/>
          <w:i/>
        </w:rPr>
        <w:t>(</w:t>
      </w:r>
      <w:r>
        <w:rPr>
          <w:b/>
          <w:i/>
          <w:lang w:val="en-US"/>
        </w:rPr>
        <w:t>d</w:t>
      </w:r>
      <w:r>
        <w:rPr>
          <w:b/>
          <w:i/>
        </w:rPr>
        <w:t>)</w:t>
      </w:r>
      <w:r>
        <w:rPr>
          <w:i/>
        </w:rPr>
        <w:t xml:space="preserve"> </w:t>
      </w:r>
      <w:r>
        <w:rPr>
          <w:i/>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w:t>
      </w:r>
      <w:r>
        <w:rPr>
          <w:i/>
        </w:rPr>
        <w:t>ю</w:t>
      </w:r>
      <w:r>
        <w:rPr>
          <w:i/>
        </w:rPr>
        <w:t>щими;</w:t>
      </w:r>
    </w:p>
    <w:p w:rsidR="00000000" w:rsidRDefault="00000000">
      <w:pPr>
        <w:pStyle w:val="SingleTxt"/>
      </w:pPr>
      <w:r>
        <w:t>Родители обладают равными правами в отношении своих детей. Из нового законодательства была исключена норма, ранее входившая в состав Гражда</w:t>
      </w:r>
      <w:r>
        <w:t>н</w:t>
      </w:r>
      <w:r>
        <w:t>ского кодекса, в соответствии с которой в случае возникновения разногласий между родителями решающее слово в вопросах, касающихся детей, принадл</w:t>
      </w:r>
      <w:r>
        <w:t>е</w:t>
      </w:r>
      <w:r>
        <w:t>жало отцу. Права в отношении детей, рожденных вне брака, принадлежат мат</w:t>
      </w:r>
      <w:r>
        <w:t>е</w:t>
      </w:r>
      <w:r>
        <w:t>ри (статья 337), а вопрос о законнорожденности подобных детей законодател</w:t>
      </w:r>
      <w:r>
        <w:t>ь</w:t>
      </w:r>
      <w:r>
        <w:t>ством уже не рассматривается. Другими словами, дети, рожденные вне брака, более не считаются "незаконнорожденными". Ребенок, родившийся у незаму</w:t>
      </w:r>
      <w:r>
        <w:t>ж</w:t>
      </w:r>
      <w:r>
        <w:t>ней женщины, носит фамилию матери, за исключением случаев признания о</w:t>
      </w:r>
      <w:r>
        <w:t>т</w:t>
      </w:r>
      <w:r>
        <w:t>цовства или вынес</w:t>
      </w:r>
      <w:r>
        <w:t>е</w:t>
      </w:r>
      <w:r>
        <w:t>ния судебного решения (статья 321).</w:t>
      </w:r>
    </w:p>
    <w:p w:rsidR="00000000" w:rsidRDefault="00000000">
      <w:pPr>
        <w:pStyle w:val="SingleTxt"/>
      </w:pPr>
      <w:r>
        <w:t>Государства-участники... обеспечивают...:</w:t>
      </w:r>
    </w:p>
    <w:p w:rsidR="00000000" w:rsidRDefault="00000000">
      <w:pPr>
        <w:pStyle w:val="SingleTxt"/>
        <w:ind w:left="2246" w:hanging="505"/>
        <w:rPr>
          <w:i/>
        </w:rPr>
      </w:pPr>
      <w:r>
        <w:rPr>
          <w:b/>
          <w:i/>
        </w:rPr>
        <w:t>(е)</w:t>
      </w:r>
      <w:r>
        <w:rPr>
          <w:i/>
        </w:rPr>
        <w:t xml:space="preserve"> </w:t>
      </w:r>
      <w:r>
        <w:rPr>
          <w:i/>
        </w:rPr>
        <w:tab/>
        <w:t>одинаковые права свободно и ответственно решать вопрос о числе детей и промежутках между их рождениями и иметь доступ к и</w:t>
      </w:r>
      <w:r>
        <w:rPr>
          <w:i/>
        </w:rPr>
        <w:t>н</w:t>
      </w:r>
      <w:r>
        <w:rPr>
          <w:i/>
        </w:rPr>
        <w:t>формации, образованию, а также средствам, которые позволяют им осуществлять это право;</w:t>
      </w:r>
    </w:p>
    <w:p w:rsidR="00000000" w:rsidRDefault="00000000">
      <w:pPr>
        <w:pStyle w:val="SingleTxt"/>
      </w:pPr>
      <w:r>
        <w:t>См. разделы настоящего доклада, посвященные статьям 12 и 14.</w:t>
      </w:r>
    </w:p>
    <w:p w:rsidR="00000000" w:rsidRDefault="00000000">
      <w:pPr>
        <w:pStyle w:val="SingleTxt"/>
        <w:ind w:left="2246" w:hanging="505"/>
        <w:rPr>
          <w:i/>
        </w:rPr>
      </w:pPr>
      <w:r>
        <w:rPr>
          <w:b/>
          <w:i/>
        </w:rPr>
        <w:t>(</w:t>
      </w:r>
      <w:r>
        <w:rPr>
          <w:b/>
          <w:i/>
          <w:lang w:val="en-US"/>
        </w:rPr>
        <w:t>f</w:t>
      </w:r>
      <w:r>
        <w:rPr>
          <w:b/>
          <w:i/>
        </w:rPr>
        <w:t>)</w:t>
      </w:r>
      <w:r>
        <w:rPr>
          <w:i/>
        </w:rPr>
        <w:t xml:space="preserve"> </w:t>
      </w:r>
      <w:r>
        <w:rPr>
          <w:i/>
        </w:rPr>
        <w:tab/>
        <w:t>одинаковые права и обязанности быть опекунами, попечителями, доверителями и усыновителями детей или осуществлять аналоги</w:t>
      </w:r>
      <w:r>
        <w:rPr>
          <w:i/>
        </w:rPr>
        <w:t>ч</w:t>
      </w:r>
      <w:r>
        <w:rPr>
          <w:i/>
        </w:rPr>
        <w:t>ные функции, когда они предусмотрены национальным законод</w:t>
      </w:r>
      <w:r>
        <w:rPr>
          <w:i/>
        </w:rPr>
        <w:t>а</w:t>
      </w:r>
      <w:r>
        <w:rPr>
          <w:i/>
        </w:rPr>
        <w:t>тельством; во всех случаях интересы детей являются преоблада</w:t>
      </w:r>
      <w:r>
        <w:rPr>
          <w:i/>
        </w:rPr>
        <w:t>ю</w:t>
      </w:r>
      <w:r>
        <w:rPr>
          <w:i/>
        </w:rPr>
        <w:t>щими;</w:t>
      </w:r>
    </w:p>
    <w:p w:rsidR="00000000" w:rsidRDefault="00000000">
      <w:pPr>
        <w:pStyle w:val="SingleTxt"/>
      </w:pPr>
      <w:r>
        <w:t>Дети, не достигшие совершеннолетия, остаются под опекой своей матери и отца, за исключением тех случаев, когда в соответствии со статьей 335 Гражданского кодекса это право на законных основаниях аннулируется. До тех пор, пока брачный союз существует, опекунские функции поровну распр</w:t>
      </w:r>
      <w:r>
        <w:t>е</w:t>
      </w:r>
      <w:r>
        <w:t>деляются между родителями. Однако в случае развода судья может оставить детей на попечении одного из супругов. В этом отношении мужчины не имеют никаких преимуществ по сравнению с женщинами. Тот из родителей, на кого не были возложены опекунские функции, должен нести свою долю расходов на воспитание детей. С учетом интересов детей суд определяет права на их пос</w:t>
      </w:r>
      <w:r>
        <w:t>е</w:t>
      </w:r>
      <w:r>
        <w:t>щение.</w:t>
      </w:r>
    </w:p>
    <w:p w:rsidR="00000000" w:rsidRDefault="00000000">
      <w:pPr>
        <w:pStyle w:val="SingleTxt"/>
      </w:pPr>
      <w:r>
        <w:t>Женщины и мужчины в возрасте тридцати лет и старше имеют право на усыновление или удочерение ребенка в качестве не состоящего в браке лица или совместно, в качестве супружеской пары, состоящей в браке не менее пяти лет. Не состоящие в браке пары не могут ни удочерить, ни усыновить совмес</w:t>
      </w:r>
      <w:r>
        <w:t>т</w:t>
      </w:r>
      <w:r>
        <w:t>но.</w:t>
      </w:r>
    </w:p>
    <w:p w:rsidR="00000000" w:rsidRDefault="00000000">
      <w:pPr>
        <w:pStyle w:val="SingleTxt"/>
      </w:pPr>
      <w:r>
        <w:t>В соответствии с требованием новой статьи, включенной в Гражданский кодекс, супруги обязаны заботиться о своих малолетних приемных детях и пр</w:t>
      </w:r>
      <w:r>
        <w:t>о</w:t>
      </w:r>
      <w:r>
        <w:t>являть участие по отн</w:t>
      </w:r>
      <w:r>
        <w:t>о</w:t>
      </w:r>
      <w:r>
        <w:t>шению к ним (статья 338).</w:t>
      </w:r>
    </w:p>
    <w:p w:rsidR="00000000" w:rsidRDefault="00000000">
      <w:pPr>
        <w:pStyle w:val="SingleTxt"/>
      </w:pPr>
      <w:r>
        <w:t>Государства-участники... обеспечивают...:</w:t>
      </w:r>
    </w:p>
    <w:p w:rsidR="00000000" w:rsidRDefault="00000000">
      <w:pPr>
        <w:pStyle w:val="SingleTxt"/>
        <w:ind w:left="2246" w:hanging="505"/>
        <w:rPr>
          <w:i/>
        </w:rPr>
      </w:pPr>
      <w:r>
        <w:rPr>
          <w:b/>
          <w:i/>
        </w:rPr>
        <w:t>(</w:t>
      </w:r>
      <w:r>
        <w:rPr>
          <w:b/>
          <w:i/>
          <w:lang w:val="en-US"/>
        </w:rPr>
        <w:t>g</w:t>
      </w:r>
      <w:r>
        <w:rPr>
          <w:b/>
          <w:i/>
        </w:rPr>
        <w:t>)</w:t>
      </w:r>
      <w:r>
        <w:rPr>
          <w:i/>
        </w:rPr>
        <w:t xml:space="preserve"> </w:t>
      </w:r>
      <w:r>
        <w:rPr>
          <w:i/>
        </w:rPr>
        <w:tab/>
        <w:t>одинаковые личные права мужа и жены, в том числе право выбора фамилии, профессии и занятия;</w:t>
      </w:r>
    </w:p>
    <w:p w:rsidR="00000000" w:rsidRDefault="00000000">
      <w:pPr>
        <w:pStyle w:val="SingleTxt"/>
      </w:pPr>
      <w:r>
        <w:t>В новом Гражданском кодексе (статья 187) сохранена поправка 1997 года, в соответствии с которой женщина после вступления в брак имеет право с</w:t>
      </w:r>
      <w:r>
        <w:t>о</w:t>
      </w:r>
      <w:r>
        <w:t>хранить свою фамилию и добавить к ней фамилию своего мужа, либо взять фамилию м</w:t>
      </w:r>
      <w:r>
        <w:t>у</w:t>
      </w:r>
      <w:r>
        <w:t>жа.</w:t>
      </w:r>
    </w:p>
    <w:p w:rsidR="00000000" w:rsidRDefault="00000000">
      <w:pPr>
        <w:pStyle w:val="SingleTxt"/>
      </w:pPr>
      <w:r>
        <w:t>В предыдущем докладе Турции подчеркивалось, что статья, не разреша</w:t>
      </w:r>
      <w:r>
        <w:t>в</w:t>
      </w:r>
      <w:r>
        <w:t>шая женщине работать вне дома без согласия своего мужа, была отменена в 1990 году. С тех пор, в отсутствие нового закона, право женщин на труд регл</w:t>
      </w:r>
      <w:r>
        <w:t>а</w:t>
      </w:r>
      <w:r>
        <w:t>ментировалось лишь Конституцией, которая наделяла каждого человека правом на труд и обязанностью трудиться. Этот принцип права на труд был включен в новый Гражданский кодекс. В соответствии со статьей 192 супруги при выборе работы или профессии не обязаны обращаться за разрешением друг к другу. Однако в ту же самую статью включено положение, в соответствии с которым "... при выборе места работы или профессии, а также в ходе профессиональной деятельности, следует принимать во внимание соображения гармоничности и благополучия брачного союза". С учетом укоренившихся традиционных ценн</w:t>
      </w:r>
      <w:r>
        <w:t>о</w:t>
      </w:r>
      <w:r>
        <w:t>стей, касающихся взаимоотношений между мужчинами и женщинами, это п</w:t>
      </w:r>
      <w:r>
        <w:t>о</w:t>
      </w:r>
      <w:r>
        <w:t>ложение потенциально может поставить под угрозу и ограничить независ</w:t>
      </w:r>
      <w:r>
        <w:t>и</w:t>
      </w:r>
      <w:r>
        <w:t>мость женщин при принятии решений, вызвав, таким образом, дискримин</w:t>
      </w:r>
      <w:r>
        <w:t>а</w:t>
      </w:r>
      <w:r>
        <w:t>цию.</w:t>
      </w:r>
    </w:p>
    <w:p w:rsidR="00000000" w:rsidRDefault="00000000">
      <w:pPr>
        <w:pStyle w:val="SingleTxt"/>
      </w:pPr>
      <w:r>
        <w:t>Государства-участники... обеспечивают...:</w:t>
      </w:r>
    </w:p>
    <w:p w:rsidR="00000000" w:rsidRDefault="00000000">
      <w:pPr>
        <w:pStyle w:val="SingleTxt"/>
        <w:ind w:left="2246" w:hanging="505"/>
        <w:rPr>
          <w:i/>
        </w:rPr>
      </w:pPr>
      <w:r>
        <w:rPr>
          <w:b/>
          <w:i/>
        </w:rPr>
        <w:t>(</w:t>
      </w:r>
      <w:r>
        <w:rPr>
          <w:b/>
          <w:i/>
          <w:lang w:val="en-US"/>
        </w:rPr>
        <w:t>h</w:t>
      </w:r>
      <w:r>
        <w:rPr>
          <w:b/>
          <w:i/>
        </w:rPr>
        <w:t>)</w:t>
      </w:r>
      <w:r>
        <w:rPr>
          <w:i/>
        </w:rPr>
        <w:t xml:space="preserve"> </w:t>
      </w:r>
      <w:r>
        <w:rPr>
          <w:i/>
        </w:rPr>
        <w:tab/>
        <w:t>одинаковые права супругов в отношении владения, приобретения, управления, пользования и распоряжения имуществом как беспла</w:t>
      </w:r>
      <w:r>
        <w:rPr>
          <w:i/>
        </w:rPr>
        <w:t>т</w:t>
      </w:r>
      <w:r>
        <w:rPr>
          <w:i/>
        </w:rPr>
        <w:t>но, так и за плату.</w:t>
      </w:r>
    </w:p>
    <w:p w:rsidR="00000000" w:rsidRDefault="00000000">
      <w:pPr>
        <w:pStyle w:val="SingleTxt"/>
      </w:pPr>
      <w:r>
        <w:t>В разделе настоящего доклада, посвященном статье 1, указывается на то, что имущественно - правовой режим, который предусматривается новым Гра</w:t>
      </w:r>
      <w:r>
        <w:t>ж</w:t>
      </w:r>
      <w:r>
        <w:t>данским кодексом, – это режим, касающийся владения приобретенным имущ</w:t>
      </w:r>
      <w:r>
        <w:t>е</w:t>
      </w:r>
      <w:r>
        <w:t>ством (статьи 218-241). Этот режим вводит в действие норму, в соответствии с которой добавленная стоимость всего имущества, приобретенного в период брака, подлежит разделу в равных долях в случае развода. Вводя в действие основанный на равноправии режим супружеской собственности, новый закон признает не только тот денежный вклад, который вносят партнеры в брачный союз, но и ценность физического и умственного труда, затрачиваемого на обе</w:t>
      </w:r>
      <w:r>
        <w:t>с</w:t>
      </w:r>
      <w:r>
        <w:t>печение повседневной жизни семьи. Таким образом, новым имущественным режимом признается та работа, которую бесплатно выполняют женщины в рамках домашнего хозяйства. Новый имущественный режим теряет силу в тех случаях, когда супружеские пары до или после заключения брака в письменной форме принимают р</w:t>
      </w:r>
      <w:r>
        <w:t>е</w:t>
      </w:r>
      <w:r>
        <w:t>шение о том, чтобы выбрать другой режим.</w:t>
      </w:r>
    </w:p>
    <w:p w:rsidR="00000000" w:rsidRDefault="00000000">
      <w:pPr>
        <w:pStyle w:val="SingleTxt"/>
      </w:pPr>
      <w:r>
        <w:t>Законом предусмотрены четыре имущественных режима: режим, каса</w:t>
      </w:r>
      <w:r>
        <w:t>ю</w:t>
      </w:r>
      <w:r>
        <w:t>щийся владения приобретенным имуществом (имущественно - правовой режим согласно новому закону); раздел имущества (статьи 242-243); раздел общего имущества (статьи 244-255); а также общий имущественный режим (статьи 256-281). Последние два режима также были предусмотрены ранее действ</w:t>
      </w:r>
      <w:r>
        <w:t>о</w:t>
      </w:r>
      <w:r>
        <w:t>вавшим Гражданским кодексом. За исключением последнего режима, другие режимы требуют в случае расторжения супружеского союза провести раздел общего имущества. Имущественно - правовой режим по ранее действовавшему Гражданскому кодексу представлял собой раздел имущества. Этот режим пр</w:t>
      </w:r>
      <w:r>
        <w:t>и</w:t>
      </w:r>
      <w:r>
        <w:t>знавал личные права на владение вещами, зарегистрированными на имя кажд</w:t>
      </w:r>
      <w:r>
        <w:t>о</w:t>
      </w:r>
      <w:r>
        <w:t>го из супругов. После развода, соответственно, каждый партнер сохраняет за собой то имущество, которое ему принадлежало до вступления в брак и было приобретено на свое собственное имя в период брака. Поэтому в Турции сл</w:t>
      </w:r>
      <w:r>
        <w:t>о</w:t>
      </w:r>
      <w:r>
        <w:t>жилась такая практика, что мужчины чаще, чем женщины, становятся юрид</w:t>
      </w:r>
      <w:r>
        <w:t>и</w:t>
      </w:r>
      <w:r>
        <w:t>ческими собственниками семейного имущества, а из-за данного режима же</w:t>
      </w:r>
      <w:r>
        <w:t>н</w:t>
      </w:r>
      <w:r>
        <w:t>щины в случае развода часто сталкиваются с серьезными лишениями. Таким образом, новый имущественный режим позволяет не только повысить степень экономической безопасности женщин, но и увеличить их самооценку, а также расширить их возможности. Однако новый имущественно - правовой режим не им</w:t>
      </w:r>
      <w:r>
        <w:t>е</w:t>
      </w:r>
      <w:r>
        <w:t>ет обратной силы.</w:t>
      </w:r>
    </w:p>
    <w:p w:rsidR="00000000" w:rsidRDefault="00000000">
      <w:pPr>
        <w:pStyle w:val="SingleTxt"/>
      </w:pPr>
      <w:r>
        <w:t>Что касается наследования, то выживший супруг имеет право на свою д</w:t>
      </w:r>
      <w:r>
        <w:t>о</w:t>
      </w:r>
      <w:r>
        <w:t>лю общего имущества в соответствии с нормами, регламентирующими ко</w:t>
      </w:r>
      <w:r>
        <w:t>н</w:t>
      </w:r>
      <w:r>
        <w:t>кретный режим. Оставшаяся часть имущества распределяется между насле</w:t>
      </w:r>
      <w:r>
        <w:t>д</w:t>
      </w:r>
      <w:r>
        <w:t>никами согласно законодательным нормам (статья 499). В соответствии с зак</w:t>
      </w:r>
      <w:r>
        <w:t>о</w:t>
      </w:r>
      <w:r>
        <w:t>нодательством Турции и мальчики, и девочки имеют право на наследование имущества своих родителей в равных долях. Право женщин на наследование в равных со своими братьями долях гарантировано имеющей обязательную силу законодательной нормой, действие которой не может быть прекращено даже завещанием умершего (статья 649). Теми же самыми правами на наследование обладают дети, родившиеся вне брака, чье происхождение установлено (статья 498). Приемные дети пользуются теми же самыми правами на наследование, что и родные дети (статья 500). С внесением поправок в статью 661, отдава</w:t>
      </w:r>
      <w:r>
        <w:t>в</w:t>
      </w:r>
      <w:r>
        <w:t>шую предпочтение детям мужского пола при решении вопроса о наследовании сельскохозяйственных угодий с тем, чтобы не допустить их дробления, из з</w:t>
      </w:r>
      <w:r>
        <w:t>а</w:t>
      </w:r>
      <w:r>
        <w:t>кона о наследовании была исключен та его норма, которая носила ярко выр</w:t>
      </w:r>
      <w:r>
        <w:t>а</w:t>
      </w:r>
      <w:r>
        <w:t>женный дискриминационный характер. В новом законе не упоминаются ни с</w:t>
      </w:r>
      <w:r>
        <w:t>ы</w:t>
      </w:r>
      <w:r>
        <w:t>новья, ни дочери. Иностранные граждане, заключившие брак с гражданами Турции, имеют право на ту же самую долю наследства, что и граждане Турции с аналогичным стат</w:t>
      </w:r>
      <w:r>
        <w:t>у</w:t>
      </w:r>
      <w:r>
        <w:t>сом.</w:t>
      </w:r>
    </w:p>
    <w:p w:rsidR="00000000" w:rsidRDefault="00000000">
      <w:pPr>
        <w:pStyle w:val="SingleTxt"/>
        <w:rPr>
          <w:i/>
        </w:rPr>
      </w:pPr>
      <w:r>
        <w:rPr>
          <w:b/>
          <w:i/>
        </w:rPr>
        <w:t>16.2.</w:t>
      </w:r>
      <w:r>
        <w:rPr>
          <w:i/>
        </w:rPr>
        <w:t xml:space="preserve"> Обручение и брак ребенка не имеют юридической силы, и приним</w:t>
      </w:r>
      <w:r>
        <w:rPr>
          <w:i/>
        </w:rPr>
        <w:t>а</w:t>
      </w:r>
      <w:r>
        <w:rPr>
          <w:i/>
        </w:rPr>
        <w:t>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SingleTxt"/>
      </w:pPr>
      <w:r>
        <w:t>Ранее уже указывалось на то, что в Гражданском кодексе Турции опред</w:t>
      </w:r>
      <w:r>
        <w:t>е</w:t>
      </w:r>
      <w:r>
        <w:t>лен минимальный возраст для вступления в брак и излагаются условия закл</w:t>
      </w:r>
      <w:r>
        <w:t>ю</w:t>
      </w:r>
      <w:r>
        <w:t>чения браков несовершеннолетними. Поэтому в соответствии с положениями раздела Гражданского кодекса, касающегося семейного права, процедура з</w:t>
      </w:r>
      <w:r>
        <w:t>а</w:t>
      </w:r>
      <w:r>
        <w:t>ключения брака требует подачи ходатайства в органы записи актов гражданск</w:t>
      </w:r>
      <w:r>
        <w:t>о</w:t>
      </w:r>
      <w:r>
        <w:t>го состояния той парой, которая желает заключить брак. После удовлетворения ходатайства может быть выполнена юридическая процедура заключения брака. Затем супружеской паре выдается официальное свидетельство о заключении брака. В законе недвусмысленно говорится о том, что до тех пор, пока не с</w:t>
      </w:r>
      <w:r>
        <w:t>о</w:t>
      </w:r>
      <w:r>
        <w:t>стоится гражданская церемония заключения брака, религиозная церемония з</w:t>
      </w:r>
      <w:r>
        <w:t>а</w:t>
      </w:r>
      <w:r>
        <w:t xml:space="preserve">ключения брака состояться не может, причем если она все-таки состоится, то соответствующая пара несет ответственность по Уголовному кодексу (статья </w:t>
      </w:r>
      <w:r>
        <w:rPr>
          <w:noProof/>
          <w:w w:val="100"/>
        </w:rPr>
        <w:pict>
          <v:line id="_x0000_s2173" style="position:absolute;left:0;text-align:left;z-index:1;mso-position-horizontal:absolute;mso-position-horizontal-relative:text;mso-position-vertical:absolute;mso-position-vertical-relative:text" from="207.95pt,134.6pt" to="279.95pt,134.6pt" o:allowincell="f" strokeweight=".25pt"/>
        </w:pict>
      </w:r>
      <w:r>
        <w:t>237 Уголовного кодекса).</w:t>
      </w:r>
    </w:p>
    <w:sectPr w:rsidR="00000000">
      <w:headerReference w:type="even" r:id="rId20"/>
      <w:headerReference w:type="default" r:id="rId21"/>
      <w:footerReference w:type="default" r:id="rId22"/>
      <w:endnotePr>
        <w:numFmt w:val="decimal"/>
      </w:endnotePr>
      <w:type w:val="continuous"/>
      <w:pgSz w:w="12240" w:h="15840" w:code="1"/>
      <w:pgMar w:top="1741" w:right="1196" w:bottom="1899" w:left="1196" w:header="578" w:footer="1038"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0346440</w:t>
      </w:r>
      <w:r>
        <w:t>R&lt;&lt;ODS JOB NO&gt;&gt;</w:t>
      </w:r>
    </w:p>
    <w:p w:rsidR="00000000" w:rsidRDefault="00000000">
      <w:pPr>
        <w:pStyle w:val="CommentText"/>
      </w:pPr>
      <w:r>
        <w:t>&lt;&lt;ODS DOC SYMBOL1&gt;&gt;</w:t>
      </w:r>
      <w:r>
        <w:rPr>
          <w:lang w:val="en-US"/>
        </w:rPr>
        <w:t>CEDAW/C/TUR/4-5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altName w:val="Lucida Console"/>
    <w:panose1 w:val="00000000000000000000"/>
    <w:charset w:val="00"/>
    <w:family w:val="modern"/>
    <w:notTrueType/>
    <w:pitch w:val="fixed"/>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120" w:line="240" w:lineRule="exact"/>
      <w:rPr>
        <w:rFonts w:ascii="Barcode 3 of 9 by request" w:hAnsi="Barcode 3 of 9 by request"/>
        <w:b w:val="0"/>
        <w:spacing w:val="4"/>
        <w:w w:val="103"/>
        <w:sz w:val="24"/>
      </w:rPr>
    </w:pPr>
    <w:r>
      <w:rPr>
        <w:b w:val="0"/>
        <w:sz w:val="20"/>
      </w:rPr>
      <w:t>03-46440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171</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60" w:line="200" w:lineRule="exact"/>
      <w:rPr>
        <w:rFonts w:ascii="Code 3of9 4.6" w:hAnsi="Code 3of9 4.6"/>
        <w:b w:val="0"/>
        <w:sz w:val="20"/>
      </w:rPr>
    </w:pPr>
    <w:r>
      <w:rPr>
        <w:b w:val="0"/>
        <w:sz w:val="20"/>
      </w:rPr>
      <w:t>02-76162 (R)</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pPr>
      <w:r>
        <w:rPr>
          <w:rStyle w:val="FootnoteReference"/>
        </w:rPr>
        <w:sym w:font="Symbol" w:char="F02A"/>
      </w:r>
      <w:r>
        <w:tab/>
        <w:t>Первоначальный доклад, представленный правительством Турции и рассмотренный К</w:t>
      </w:r>
      <w:r>
        <w:t>о</w:t>
      </w:r>
      <w:r>
        <w:t xml:space="preserve">митетом на его девятой сессии, см. документ </w:t>
      </w:r>
      <w:r>
        <w:rPr>
          <w:lang w:val="en-US"/>
        </w:rPr>
        <w:t>CEDAW</w:t>
      </w:r>
      <w:r>
        <w:t>/</w:t>
      </w:r>
      <w:r>
        <w:rPr>
          <w:lang w:val="en-US"/>
        </w:rPr>
        <w:t>C</w:t>
      </w:r>
      <w:r>
        <w:t>/5/</w:t>
      </w:r>
      <w:r>
        <w:rPr>
          <w:lang w:val="en-US"/>
        </w:rPr>
        <w:t>Add</w:t>
      </w:r>
      <w:r>
        <w:t>.46. Объединенные второй и третий периодические доклады, представленные правительством Турции и рассмо</w:t>
      </w:r>
      <w:r>
        <w:t>т</w:t>
      </w:r>
      <w:r>
        <w:t xml:space="preserve">ренные Комитетом на его шестнадцатой сессии, см. документ </w:t>
      </w:r>
      <w:r>
        <w:rPr>
          <w:lang w:val="en-US"/>
        </w:rPr>
        <w:t>CEDAW</w:t>
      </w:r>
      <w:r>
        <w:t>/</w:t>
      </w:r>
      <w:r>
        <w:rPr>
          <w:lang w:val="en-US"/>
        </w:rPr>
        <w:t>C</w:t>
      </w:r>
      <w:r>
        <w:t>/</w:t>
      </w:r>
      <w:r>
        <w:rPr>
          <w:lang w:val="en-US"/>
        </w:rPr>
        <w:t>TUR</w:t>
      </w:r>
      <w:r>
        <w:t>/2-3. Н</w:t>
      </w:r>
      <w:r>
        <w:t>а</w:t>
      </w:r>
      <w:r>
        <w:t>стоящий документ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9" type="#_x0000_t202" style="position:absolute;margin-left:-5.75pt;margin-top:0;width:7in;height:50.4pt;z-index:6;mso-position-horizontal:absolute;mso-position-horizontal-relative:text;mso-position-vertical:absolute;mso-position-vertical-relative:text" o:allowincell="f" stroked="f">
          <v:textbox style="mso-next-textbox:#_x0000_s1109;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8" type="#_x0000_t202" style="position:absolute;margin-left:-5.75pt;margin-top:0;width:7in;height:50.4pt;z-index:5;mso-position-horizontal:absolute;mso-position-horizontal-relative:text;mso-position-vertical:absolute;mso-position-vertical-relative:text" o:allowincell="f" stroked="f">
          <v:textbox style="mso-next-textbox:#_x0000_s1108;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/C/TUR/4-5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всех форм дискриминации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t>8</w:t>
          </w:r>
          <w:r>
            <w:rPr>
              <w:lang w:val="en-US"/>
            </w:rPr>
            <w:t> August 2003</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3;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2;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/C/MLT/1–3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всех форм дискриминации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18 Decembery 2002</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5" type="#_x0000_t202" style="position:absolute;margin-left:-2pt;margin-top:-1.25pt;width:495pt;height:50.4pt;z-index:4;mso-position-horizontal:absolute;mso-position-horizontal-relative:text;mso-position-vertical:absolute;mso-position-vertical-relative:text" o:allowincell="f" stroked="f">
          <v:textbox style="mso-next-textbox:#_x0000_s1095;mso-rotate-with-shape:t" inset="0,0,0,0">
            <w:txbxContent>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5172"/>
                  <w:gridCol w:w="4743"/>
                </w:tblGrid>
                <w:tr w:rsidR="00000000">
                  <w:tblPrEx>
                    <w:tblCellMar>
                      <w:top w:w="0" w:type="dxa"/>
                      <w:left w:w="0" w:type="dxa"/>
                      <w:bottom w:w="0" w:type="dxa"/>
                      <w:right w:w="0" w:type="dxa"/>
                    </w:tblCellMar>
                  </w:tblPrEx>
                  <w:trPr>
                    <w:trHeight w:hRule="exact" w:val="864"/>
                  </w:trPr>
                  <w:tc>
                    <w:tcPr>
                      <w:tcW w:w="5172" w:type="dxa"/>
                      <w:vAlign w:val="bottom"/>
                    </w:tcPr>
                    <w:p w:rsidR="00000000" w:rsidRDefault="00000000">
                      <w:pPr>
                        <w:pStyle w:val="Header"/>
                        <w:spacing w:after="80"/>
                        <w:rPr>
                          <w:b/>
                        </w:rPr>
                      </w:pPr>
                      <w:r>
                        <w:rPr>
                          <w:b/>
                        </w:rPr>
                        <w:t>CEDAW</w:t>
                      </w:r>
                      <w:r>
                        <w:rPr>
                          <w:b/>
                          <w:sz w:val="20"/>
                        </w:rPr>
                        <w:t>/C/TUR/4–5</w:t>
                      </w:r>
                    </w:p>
                  </w:tc>
                  <w:tc>
                    <w:tcPr>
                      <w:tcW w:w="4743" w:type="dxa"/>
                      <w:vAlign w:val="bottom"/>
                    </w:tcPr>
                    <w:p w:rsidR="00000000" w:rsidRDefault="00000000">
                      <w:pPr>
                        <w:pStyle w:val="Header"/>
                      </w:pP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93.5pt;height:50.25pt" fillcolor="window">
            <v:imagedata croptop="-65520f" cropbottom="65520f"/>
            <o:lock v:ext="edit" rotation="t" position="t"/>
          </v:shape>
        </w:pic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6A04A6"/>
    <w:lvl w:ilvl="0">
      <w:start w:val="1"/>
      <w:numFmt w:val="decimal"/>
      <w:lvlText w:val="%1."/>
      <w:lvlJc w:val="left"/>
      <w:pPr>
        <w:tabs>
          <w:tab w:val="num" w:pos="1492"/>
        </w:tabs>
        <w:ind w:left="1492" w:hanging="360"/>
      </w:pPr>
    </w:lvl>
  </w:abstractNum>
  <w:abstractNum w:abstractNumId="1">
    <w:nsid w:val="FFFFFF7D"/>
    <w:multiLevelType w:val="singleLevel"/>
    <w:tmpl w:val="8E70E744"/>
    <w:lvl w:ilvl="0">
      <w:start w:val="1"/>
      <w:numFmt w:val="decimal"/>
      <w:lvlText w:val="%1."/>
      <w:lvlJc w:val="left"/>
      <w:pPr>
        <w:tabs>
          <w:tab w:val="num" w:pos="1209"/>
        </w:tabs>
        <w:ind w:left="1209" w:hanging="360"/>
      </w:pPr>
    </w:lvl>
  </w:abstractNum>
  <w:abstractNum w:abstractNumId="2">
    <w:nsid w:val="FFFFFF7E"/>
    <w:multiLevelType w:val="singleLevel"/>
    <w:tmpl w:val="8154F592"/>
    <w:lvl w:ilvl="0">
      <w:start w:val="1"/>
      <w:numFmt w:val="decimal"/>
      <w:lvlText w:val="%1."/>
      <w:lvlJc w:val="left"/>
      <w:pPr>
        <w:tabs>
          <w:tab w:val="num" w:pos="926"/>
        </w:tabs>
        <w:ind w:left="926" w:hanging="360"/>
      </w:pPr>
    </w:lvl>
  </w:abstractNum>
  <w:abstractNum w:abstractNumId="3">
    <w:nsid w:val="FFFFFF7F"/>
    <w:multiLevelType w:val="singleLevel"/>
    <w:tmpl w:val="9D1474D4"/>
    <w:lvl w:ilvl="0">
      <w:start w:val="1"/>
      <w:numFmt w:val="decimal"/>
      <w:lvlText w:val="%1."/>
      <w:lvlJc w:val="left"/>
      <w:pPr>
        <w:tabs>
          <w:tab w:val="num" w:pos="643"/>
        </w:tabs>
        <w:ind w:left="643" w:hanging="360"/>
      </w:pPr>
    </w:lvl>
  </w:abstractNum>
  <w:abstractNum w:abstractNumId="4">
    <w:nsid w:val="FFFFFF82"/>
    <w:multiLevelType w:val="singleLevel"/>
    <w:tmpl w:val="2DC09848"/>
    <w:lvl w:ilvl="0">
      <w:start w:val="1"/>
      <w:numFmt w:val="bullet"/>
      <w:lvlText w:val=""/>
      <w:lvlJc w:val="left"/>
      <w:pPr>
        <w:tabs>
          <w:tab w:val="num" w:pos="926"/>
        </w:tabs>
        <w:ind w:left="926" w:hanging="360"/>
      </w:pPr>
      <w:rPr>
        <w:rFonts w:ascii="Symbol" w:hAnsi="Symbol" w:hint="default"/>
      </w:rPr>
    </w:lvl>
  </w:abstractNum>
  <w:abstractNum w:abstractNumId="5">
    <w:nsid w:val="FFFFFF88"/>
    <w:multiLevelType w:val="singleLevel"/>
    <w:tmpl w:val="9A9CF8C0"/>
    <w:lvl w:ilvl="0">
      <w:start w:val="1"/>
      <w:numFmt w:val="decimal"/>
      <w:lvlText w:val="%1."/>
      <w:lvlJc w:val="left"/>
      <w:pPr>
        <w:tabs>
          <w:tab w:val="num" w:pos="360"/>
        </w:tabs>
        <w:ind w:left="360" w:hanging="360"/>
      </w:pPr>
    </w:lvl>
  </w:abstractNum>
  <w:abstractNum w:abstractNumId="6">
    <w:nsid w:val="FFFFFF89"/>
    <w:multiLevelType w:val="singleLevel"/>
    <w:tmpl w:val="98C07790"/>
    <w:lvl w:ilvl="0">
      <w:start w:val="1"/>
      <w:numFmt w:val="bullet"/>
      <w:lvlText w:val=""/>
      <w:lvlJc w:val="left"/>
      <w:pPr>
        <w:tabs>
          <w:tab w:val="num" w:pos="360"/>
        </w:tabs>
        <w:ind w:left="360" w:hanging="360"/>
      </w:pPr>
      <w:rPr>
        <w:rFonts w:ascii="Symbol" w:hAnsi="Symbol" w:hint="default"/>
      </w:rPr>
    </w:lvl>
  </w:abstractNum>
  <w:abstractNum w:abstractNumId="7">
    <w:nsid w:val="FFFFFFFE"/>
    <w:multiLevelType w:val="singleLevel"/>
    <w:tmpl w:val="FFFFFFFF"/>
    <w:lvl w:ilvl="0">
      <w:numFmt w:val="decimal"/>
      <w:lvlText w:val="*"/>
      <w:lvlJc w:val="left"/>
    </w:lvl>
  </w:abstractNum>
  <w:abstractNum w:abstractNumId="8">
    <w:nsid w:val="00736C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01B64A01"/>
    <w:multiLevelType w:val="hybridMultilevel"/>
    <w:tmpl w:val="88301A70"/>
    <w:lvl w:ilvl="0">
      <w:start w:val="1"/>
      <w:numFmt w:val="lowerLetter"/>
      <w:lvlText w:val="%1)"/>
      <w:lvlJc w:val="left"/>
      <w:pPr>
        <w:tabs>
          <w:tab w:val="num" w:pos="1065"/>
        </w:tabs>
        <w:ind w:left="1065" w:hanging="705"/>
      </w:pPr>
      <w:rPr>
        <w:rFonts w:hint="default"/>
      </w:rPr>
    </w:lvl>
    <w:lvl w:ilvl="1">
      <w:start w:val="1"/>
      <w:numFmt w:val="decimal"/>
      <w:lvlText w:val="%2."/>
      <w:lvlJc w:val="left"/>
      <w:pPr>
        <w:tabs>
          <w:tab w:val="num" w:pos="1785"/>
        </w:tabs>
        <w:ind w:left="1785" w:hanging="705"/>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3562D33"/>
    <w:multiLevelType w:val="singleLevel"/>
    <w:tmpl w:val="04190011"/>
    <w:lvl w:ilvl="0">
      <w:start w:val="1"/>
      <w:numFmt w:val="decimal"/>
      <w:lvlText w:val="%1)"/>
      <w:lvlJc w:val="left"/>
      <w:pPr>
        <w:tabs>
          <w:tab w:val="num" w:pos="360"/>
        </w:tabs>
        <w:ind w:left="360" w:hanging="360"/>
      </w:pPr>
      <w:rPr>
        <w:rFonts w:hint="default"/>
        <w:b w:val="0"/>
      </w:rPr>
    </w:lvl>
  </w:abstractNum>
  <w:abstractNum w:abstractNumId="11">
    <w:nsid w:val="035A3137"/>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2">
    <w:nsid w:val="0382334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03BA31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nsid w:val="05302EA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061B5D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062621BA"/>
    <w:multiLevelType w:val="hybridMultilevel"/>
    <w:tmpl w:val="112AF3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7A1632A"/>
    <w:multiLevelType w:val="multilevel"/>
    <w:tmpl w:val="068C8A00"/>
    <w:lvl w:ilvl="0">
      <w:start w:val="16"/>
      <w:numFmt w:val="decimal"/>
      <w:lvlText w:val="%1"/>
      <w:lvlJc w:val="left"/>
      <w:pPr>
        <w:tabs>
          <w:tab w:val="num" w:pos="705"/>
        </w:tabs>
        <w:ind w:left="705" w:hanging="705"/>
      </w:pPr>
      <w:rPr>
        <w:rFonts w:hint="default"/>
      </w:rPr>
    </w:lvl>
    <w:lvl w:ilvl="1">
      <w:start w:val="1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08C770D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0B1A047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0B987EBF"/>
    <w:multiLevelType w:val="singleLevel"/>
    <w:tmpl w:val="7124E982"/>
    <w:lvl w:ilvl="0">
      <w:start w:val="1"/>
      <w:numFmt w:val="lowerRoman"/>
      <w:lvlText w:val="%1."/>
      <w:lvlJc w:val="left"/>
      <w:pPr>
        <w:tabs>
          <w:tab w:val="num" w:pos="720"/>
        </w:tabs>
        <w:ind w:left="720" w:hanging="720"/>
      </w:pPr>
      <w:rPr>
        <w:rFonts w:hint="default"/>
      </w:rPr>
    </w:lvl>
  </w:abstractNum>
  <w:abstractNum w:abstractNumId="21">
    <w:nsid w:val="0C12500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
    <w:nsid w:val="0C7D3A3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0D7F023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nsid w:val="0E434171"/>
    <w:multiLevelType w:val="hybridMultilevel"/>
    <w:tmpl w:val="17624D30"/>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0F667565"/>
    <w:multiLevelType w:val="singleLevel"/>
    <w:tmpl w:val="04190011"/>
    <w:lvl w:ilvl="0">
      <w:start w:val="1"/>
      <w:numFmt w:val="decimal"/>
      <w:lvlText w:val="%1)"/>
      <w:lvlJc w:val="left"/>
      <w:pPr>
        <w:tabs>
          <w:tab w:val="num" w:pos="360"/>
        </w:tabs>
        <w:ind w:left="360" w:hanging="360"/>
      </w:pPr>
      <w:rPr>
        <w:rFonts w:hint="default"/>
      </w:rPr>
    </w:lvl>
  </w:abstractNum>
  <w:abstractNum w:abstractNumId="26">
    <w:nsid w:val="104D1A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106D698C"/>
    <w:multiLevelType w:val="singleLevel"/>
    <w:tmpl w:val="A04AB20A"/>
    <w:lvl w:ilvl="0">
      <w:start w:val="1"/>
      <w:numFmt w:val="upperLetter"/>
      <w:pStyle w:val="Heading9"/>
      <w:lvlText w:val="%1."/>
      <w:lvlJc w:val="left"/>
      <w:pPr>
        <w:tabs>
          <w:tab w:val="num" w:pos="648"/>
        </w:tabs>
        <w:ind w:left="648" w:hanging="360"/>
      </w:pPr>
      <w:rPr>
        <w:rFonts w:hint="default"/>
      </w:rPr>
    </w:lvl>
  </w:abstractNum>
  <w:abstractNum w:abstractNumId="28">
    <w:nsid w:val="133D3E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nsid w:val="13B822C7"/>
    <w:multiLevelType w:val="singleLevel"/>
    <w:tmpl w:val="04190011"/>
    <w:lvl w:ilvl="0">
      <w:start w:val="1"/>
      <w:numFmt w:val="decimal"/>
      <w:lvlText w:val="%1)"/>
      <w:lvlJc w:val="left"/>
      <w:pPr>
        <w:tabs>
          <w:tab w:val="num" w:pos="360"/>
        </w:tabs>
        <w:ind w:left="360" w:hanging="360"/>
      </w:pPr>
      <w:rPr>
        <w:rFonts w:hint="default"/>
      </w:rPr>
    </w:lvl>
  </w:abstractNum>
  <w:abstractNum w:abstractNumId="30">
    <w:nsid w:val="15B041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1615656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nsid w:val="1C5653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nsid w:val="1D84001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35">
    <w:nsid w:val="222F29D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263B5250"/>
    <w:multiLevelType w:val="multilevel"/>
    <w:tmpl w:val="327AE6F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nsid w:val="26D44C2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2B592878"/>
    <w:multiLevelType w:val="singleLevel"/>
    <w:tmpl w:val="04190011"/>
    <w:lvl w:ilvl="0">
      <w:start w:val="1"/>
      <w:numFmt w:val="decimal"/>
      <w:lvlText w:val="%1)"/>
      <w:lvlJc w:val="left"/>
      <w:pPr>
        <w:tabs>
          <w:tab w:val="num" w:pos="360"/>
        </w:tabs>
        <w:ind w:left="360" w:hanging="360"/>
      </w:pPr>
      <w:rPr>
        <w:rFonts w:hint="default"/>
        <w:b w:val="0"/>
      </w:rPr>
    </w:lvl>
  </w:abstractNum>
  <w:abstractNum w:abstractNumId="39">
    <w:nsid w:val="2C531756"/>
    <w:multiLevelType w:val="singleLevel"/>
    <w:tmpl w:val="B72ED178"/>
    <w:lvl w:ilvl="0">
      <w:start w:val="16"/>
      <w:numFmt w:val="bullet"/>
      <w:lvlText w:val="-"/>
      <w:lvlJc w:val="left"/>
      <w:pPr>
        <w:tabs>
          <w:tab w:val="num" w:pos="360"/>
        </w:tabs>
        <w:ind w:left="360" w:hanging="360"/>
      </w:pPr>
      <w:rPr>
        <w:rFonts w:hint="default"/>
      </w:rPr>
    </w:lvl>
  </w:abstractNum>
  <w:abstractNum w:abstractNumId="40">
    <w:nsid w:val="2DDE49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31512D58"/>
    <w:multiLevelType w:val="singleLevel"/>
    <w:tmpl w:val="04190011"/>
    <w:lvl w:ilvl="0">
      <w:start w:val="5"/>
      <w:numFmt w:val="decimal"/>
      <w:lvlText w:val="%1)"/>
      <w:lvlJc w:val="left"/>
      <w:pPr>
        <w:tabs>
          <w:tab w:val="num" w:pos="360"/>
        </w:tabs>
        <w:ind w:left="360" w:hanging="360"/>
      </w:pPr>
      <w:rPr>
        <w:rFonts w:hint="default"/>
      </w:rPr>
    </w:lvl>
  </w:abstractNum>
  <w:abstractNum w:abstractNumId="42">
    <w:nsid w:val="31996B01"/>
    <w:multiLevelType w:val="multilevel"/>
    <w:tmpl w:val="A334B312"/>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3">
    <w:nsid w:val="323D0E5E"/>
    <w:multiLevelType w:val="singleLevel"/>
    <w:tmpl w:val="04190011"/>
    <w:lvl w:ilvl="0">
      <w:start w:val="1"/>
      <w:numFmt w:val="decimal"/>
      <w:lvlText w:val="%1)"/>
      <w:lvlJc w:val="left"/>
      <w:pPr>
        <w:tabs>
          <w:tab w:val="num" w:pos="360"/>
        </w:tabs>
        <w:ind w:left="360" w:hanging="360"/>
      </w:pPr>
      <w:rPr>
        <w:rFonts w:hint="default"/>
      </w:rPr>
    </w:lvl>
  </w:abstractNum>
  <w:abstractNum w:abstractNumId="44">
    <w:nsid w:val="326F17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5">
    <w:nsid w:val="34DC129E"/>
    <w:multiLevelType w:val="singleLevel"/>
    <w:tmpl w:val="D37CCD44"/>
    <w:lvl w:ilvl="0">
      <w:start w:val="1"/>
      <w:numFmt w:val="decimal"/>
      <w:lvlText w:val="%1."/>
      <w:lvlJc w:val="right"/>
      <w:pPr>
        <w:tabs>
          <w:tab w:val="num" w:pos="792"/>
        </w:tabs>
        <w:ind w:left="792" w:hanging="317"/>
      </w:pPr>
      <w:rPr>
        <w:rFonts w:hint="default"/>
      </w:rPr>
    </w:lvl>
  </w:abstractNum>
  <w:abstractNum w:abstractNumId="46">
    <w:nsid w:val="35F121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36F05CA5"/>
    <w:multiLevelType w:val="singleLevel"/>
    <w:tmpl w:val="04190011"/>
    <w:lvl w:ilvl="0">
      <w:start w:val="1"/>
      <w:numFmt w:val="decimal"/>
      <w:lvlText w:val="%1)"/>
      <w:lvlJc w:val="left"/>
      <w:pPr>
        <w:tabs>
          <w:tab w:val="num" w:pos="360"/>
        </w:tabs>
        <w:ind w:left="360" w:hanging="360"/>
      </w:pPr>
      <w:rPr>
        <w:rFonts w:hint="default"/>
      </w:rPr>
    </w:lvl>
  </w:abstractNum>
  <w:abstractNum w:abstractNumId="48">
    <w:nsid w:val="3E8D68AE"/>
    <w:multiLevelType w:val="singleLevel"/>
    <w:tmpl w:val="A5C03CAA"/>
    <w:lvl w:ilvl="0">
      <w:start w:val="1"/>
      <w:numFmt w:val="decimal"/>
      <w:lvlText w:val="%1."/>
      <w:lvlJc w:val="left"/>
      <w:pPr>
        <w:tabs>
          <w:tab w:val="num" w:pos="360"/>
        </w:tabs>
        <w:ind w:left="360" w:hanging="360"/>
      </w:pPr>
      <w:rPr>
        <w:rFonts w:hint="default"/>
      </w:rPr>
    </w:lvl>
  </w:abstractNum>
  <w:abstractNum w:abstractNumId="49">
    <w:nsid w:val="3EFC7E9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0">
    <w:nsid w:val="3F850999"/>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51">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2">
    <w:nsid w:val="42B302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3">
    <w:nsid w:val="42F27AB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
    <w:nsid w:val="45836B1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5">
    <w:nsid w:val="46B07FCF"/>
    <w:multiLevelType w:val="singleLevel"/>
    <w:tmpl w:val="EC58732A"/>
    <w:lvl w:ilvl="0">
      <w:start w:val="16"/>
      <w:numFmt w:val="bullet"/>
      <w:lvlText w:val="-"/>
      <w:lvlJc w:val="left"/>
      <w:pPr>
        <w:tabs>
          <w:tab w:val="num" w:pos="360"/>
        </w:tabs>
        <w:ind w:left="360" w:hanging="360"/>
      </w:pPr>
      <w:rPr>
        <w:rFonts w:hint="default"/>
      </w:rPr>
    </w:lvl>
  </w:abstractNum>
  <w:abstractNum w:abstractNumId="56">
    <w:nsid w:val="49295C48"/>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57">
    <w:nsid w:val="4A2A783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8">
    <w:nsid w:val="4A3C340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60">
    <w:nsid w:val="4B523C6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
    <w:nsid w:val="4BC04D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2">
    <w:nsid w:val="4CAA5E87"/>
    <w:multiLevelType w:val="singleLevel"/>
    <w:tmpl w:val="64DA94BE"/>
    <w:lvl w:ilvl="0">
      <w:start w:val="1"/>
      <w:numFmt w:val="lowerRoman"/>
      <w:lvlText w:val="%1."/>
      <w:lvlJc w:val="left"/>
      <w:pPr>
        <w:tabs>
          <w:tab w:val="num" w:pos="720"/>
        </w:tabs>
        <w:ind w:left="720" w:hanging="720"/>
      </w:pPr>
      <w:rPr>
        <w:rFonts w:hint="default"/>
      </w:rPr>
    </w:lvl>
  </w:abstractNum>
  <w:abstractNum w:abstractNumId="63">
    <w:nsid w:val="4D295C7B"/>
    <w:multiLevelType w:val="hybridMultilevel"/>
    <w:tmpl w:val="EAAA0B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MS Roman 12p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MS Roman 12p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MS Roman 12p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4D2D0BA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
    <w:nsid w:val="4EF305A1"/>
    <w:multiLevelType w:val="hybridMultilevel"/>
    <w:tmpl w:val="80A01E8E"/>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4FC75B8F"/>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67">
    <w:nsid w:val="50F9306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8">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9">
    <w:nsid w:val="5787134C"/>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70">
    <w:nsid w:val="5B173F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1">
    <w:nsid w:val="5C532A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2">
    <w:nsid w:val="5EC878B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3">
    <w:nsid w:val="60723F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4">
    <w:nsid w:val="617E640B"/>
    <w:multiLevelType w:val="singleLevel"/>
    <w:tmpl w:val="74DE081C"/>
    <w:lvl w:ilvl="0">
      <w:start w:val="1"/>
      <w:numFmt w:val="decimal"/>
      <w:lvlText w:val="%1."/>
      <w:legacy w:legacy="1" w:legacySpace="0" w:legacyIndent="360"/>
      <w:lvlJc w:val="left"/>
      <w:pPr>
        <w:ind w:left="927" w:hanging="360"/>
      </w:pPr>
    </w:lvl>
  </w:abstractNum>
  <w:abstractNum w:abstractNumId="75">
    <w:nsid w:val="61FF30B0"/>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76">
    <w:nsid w:val="630D36C9"/>
    <w:multiLevelType w:val="singleLevel"/>
    <w:tmpl w:val="04190011"/>
    <w:lvl w:ilvl="0">
      <w:start w:val="1"/>
      <w:numFmt w:val="decimal"/>
      <w:lvlText w:val="%1)"/>
      <w:lvlJc w:val="left"/>
      <w:pPr>
        <w:tabs>
          <w:tab w:val="num" w:pos="360"/>
        </w:tabs>
        <w:ind w:left="360" w:hanging="360"/>
      </w:pPr>
      <w:rPr>
        <w:rFonts w:hint="default"/>
      </w:rPr>
    </w:lvl>
  </w:abstractNum>
  <w:abstractNum w:abstractNumId="77">
    <w:nsid w:val="635D247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63847972"/>
    <w:multiLevelType w:val="singleLevel"/>
    <w:tmpl w:val="04190011"/>
    <w:lvl w:ilvl="0">
      <w:start w:val="1"/>
      <w:numFmt w:val="decimal"/>
      <w:lvlText w:val="%1)"/>
      <w:lvlJc w:val="left"/>
      <w:pPr>
        <w:tabs>
          <w:tab w:val="num" w:pos="360"/>
        </w:tabs>
        <w:ind w:left="360" w:hanging="360"/>
      </w:pPr>
      <w:rPr>
        <w:rFonts w:hint="default"/>
      </w:rPr>
    </w:lvl>
  </w:abstractNum>
  <w:abstractNum w:abstractNumId="79">
    <w:nsid w:val="64CF1D0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nsid w:val="6694166F"/>
    <w:multiLevelType w:val="singleLevel"/>
    <w:tmpl w:val="04190011"/>
    <w:lvl w:ilvl="0">
      <w:start w:val="1"/>
      <w:numFmt w:val="decimal"/>
      <w:lvlText w:val="%1)"/>
      <w:lvlJc w:val="left"/>
      <w:pPr>
        <w:tabs>
          <w:tab w:val="num" w:pos="360"/>
        </w:tabs>
        <w:ind w:left="360" w:hanging="360"/>
      </w:pPr>
      <w:rPr>
        <w:rFonts w:hint="default"/>
      </w:rPr>
    </w:lvl>
  </w:abstractNum>
  <w:abstractNum w:abstractNumId="81">
    <w:nsid w:val="66EF2F88"/>
    <w:multiLevelType w:val="singleLevel"/>
    <w:tmpl w:val="6790753A"/>
    <w:lvl w:ilvl="0">
      <w:start w:val="3"/>
      <w:numFmt w:val="bullet"/>
      <w:lvlText w:val="-"/>
      <w:lvlJc w:val="left"/>
      <w:pPr>
        <w:tabs>
          <w:tab w:val="num" w:pos="360"/>
        </w:tabs>
        <w:ind w:left="360" w:hanging="360"/>
      </w:pPr>
      <w:rPr>
        <w:rFonts w:hint="default"/>
      </w:rPr>
    </w:lvl>
  </w:abstractNum>
  <w:abstractNum w:abstractNumId="82">
    <w:nsid w:val="670B62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3">
    <w:nsid w:val="69727DA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4">
    <w:nsid w:val="69AA65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5">
    <w:nsid w:val="6A61494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6">
    <w:nsid w:val="6B5A1A46"/>
    <w:multiLevelType w:val="singleLevel"/>
    <w:tmpl w:val="475C080C"/>
    <w:lvl w:ilvl="0">
      <w:start w:val="1"/>
      <w:numFmt w:val="lowerRoman"/>
      <w:lvlText w:val="%1."/>
      <w:lvlJc w:val="left"/>
      <w:pPr>
        <w:tabs>
          <w:tab w:val="num" w:pos="720"/>
        </w:tabs>
        <w:ind w:left="720" w:hanging="720"/>
      </w:pPr>
      <w:rPr>
        <w:rFonts w:hint="default"/>
      </w:rPr>
    </w:lvl>
  </w:abstractNum>
  <w:abstractNum w:abstractNumId="87">
    <w:nsid w:val="6C7C25E0"/>
    <w:multiLevelType w:val="singleLevel"/>
    <w:tmpl w:val="04190011"/>
    <w:lvl w:ilvl="0">
      <w:start w:val="1"/>
      <w:numFmt w:val="decimal"/>
      <w:lvlText w:val="%1)"/>
      <w:lvlJc w:val="left"/>
      <w:pPr>
        <w:tabs>
          <w:tab w:val="num" w:pos="360"/>
        </w:tabs>
        <w:ind w:left="360" w:hanging="360"/>
      </w:pPr>
      <w:rPr>
        <w:rFonts w:hint="default"/>
      </w:rPr>
    </w:lvl>
  </w:abstractNum>
  <w:abstractNum w:abstractNumId="88">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9">
    <w:nsid w:val="6F403C72"/>
    <w:multiLevelType w:val="singleLevel"/>
    <w:tmpl w:val="04190011"/>
    <w:lvl w:ilvl="0">
      <w:start w:val="1"/>
      <w:numFmt w:val="decimal"/>
      <w:lvlText w:val="%1)"/>
      <w:lvlJc w:val="left"/>
      <w:pPr>
        <w:tabs>
          <w:tab w:val="num" w:pos="360"/>
        </w:tabs>
        <w:ind w:left="360" w:hanging="360"/>
      </w:pPr>
      <w:rPr>
        <w:rFonts w:hint="default"/>
      </w:rPr>
    </w:lvl>
  </w:abstractNum>
  <w:abstractNum w:abstractNumId="90">
    <w:nsid w:val="702C0DA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1">
    <w:nsid w:val="70F0749D"/>
    <w:multiLevelType w:val="singleLevel"/>
    <w:tmpl w:val="04190011"/>
    <w:lvl w:ilvl="0">
      <w:start w:val="1"/>
      <w:numFmt w:val="decimal"/>
      <w:lvlText w:val="%1)"/>
      <w:lvlJc w:val="left"/>
      <w:pPr>
        <w:tabs>
          <w:tab w:val="num" w:pos="360"/>
        </w:tabs>
        <w:ind w:left="360" w:hanging="360"/>
      </w:pPr>
      <w:rPr>
        <w:rFonts w:hint="default"/>
      </w:rPr>
    </w:lvl>
  </w:abstractNum>
  <w:abstractNum w:abstractNumId="92">
    <w:nsid w:val="71C2795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3">
    <w:nsid w:val="71C563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4">
    <w:nsid w:val="721260C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5">
    <w:nsid w:val="7256197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6">
    <w:nsid w:val="76707DC6"/>
    <w:multiLevelType w:val="singleLevel"/>
    <w:tmpl w:val="C4B603BE"/>
    <w:lvl w:ilvl="0">
      <w:start w:val="1"/>
      <w:numFmt w:val="bullet"/>
      <w:lvlText w:val=""/>
      <w:lvlJc w:val="left"/>
      <w:pPr>
        <w:tabs>
          <w:tab w:val="num" w:pos="360"/>
        </w:tabs>
        <w:ind w:left="360" w:hanging="360"/>
      </w:pPr>
      <w:rPr>
        <w:rFonts w:ascii="Symbol" w:hAnsi="Symbol" w:hint="default"/>
      </w:rPr>
    </w:lvl>
  </w:abstractNum>
  <w:abstractNum w:abstractNumId="97">
    <w:nsid w:val="78BA58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8">
    <w:nsid w:val="7C54663C"/>
    <w:multiLevelType w:val="singleLevel"/>
    <w:tmpl w:val="B72ED178"/>
    <w:lvl w:ilvl="0">
      <w:start w:val="11"/>
      <w:numFmt w:val="bullet"/>
      <w:lvlText w:val="-"/>
      <w:lvlJc w:val="left"/>
      <w:pPr>
        <w:tabs>
          <w:tab w:val="num" w:pos="360"/>
        </w:tabs>
        <w:ind w:left="360" w:hanging="360"/>
      </w:pPr>
      <w:rPr>
        <w:rFonts w:hint="default"/>
      </w:rPr>
    </w:lvl>
  </w:abstractNum>
  <w:abstractNum w:abstractNumId="99">
    <w:nsid w:val="7C8248D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0">
    <w:nsid w:val="7CC57484"/>
    <w:multiLevelType w:val="singleLevel"/>
    <w:tmpl w:val="4E08E8C6"/>
    <w:lvl w:ilvl="0">
      <w:start w:val="1"/>
      <w:numFmt w:val="bullet"/>
      <w:lvlText w:val=""/>
      <w:lvlJc w:val="left"/>
      <w:pPr>
        <w:tabs>
          <w:tab w:val="num" w:pos="360"/>
        </w:tabs>
        <w:ind w:left="360" w:hanging="360"/>
      </w:pPr>
      <w:rPr>
        <w:rFonts w:ascii="Symbol" w:hAnsi="Symbol" w:hint="default"/>
      </w:rPr>
    </w:lvl>
  </w:abstractNum>
  <w:num w:numId="1">
    <w:abstractNumId w:val="34"/>
  </w:num>
  <w:num w:numId="2">
    <w:abstractNumId w:val="51"/>
  </w:num>
  <w:num w:numId="3">
    <w:abstractNumId w:val="59"/>
  </w:num>
  <w:num w:numId="4">
    <w:abstractNumId w:val="24"/>
  </w:num>
  <w:num w:numId="5">
    <w:abstractNumId w:val="48"/>
  </w:num>
  <w:num w:numId="6">
    <w:abstractNumId w:val="27"/>
  </w:num>
  <w:num w:numId="7">
    <w:abstractNumId w:val="6"/>
  </w:num>
  <w:num w:numId="8">
    <w:abstractNumId w:val="4"/>
  </w:num>
  <w:num w:numId="9">
    <w:abstractNumId w:val="5"/>
  </w:num>
  <w:num w:numId="10">
    <w:abstractNumId w:val="3"/>
  </w:num>
  <w:num w:numId="11">
    <w:abstractNumId w:val="2"/>
  </w:num>
  <w:num w:numId="12">
    <w:abstractNumId w:val="1"/>
  </w:num>
  <w:num w:numId="13">
    <w:abstractNumId w:val="0"/>
  </w:num>
  <w:num w:numId="14">
    <w:abstractNumId w:val="45"/>
  </w:num>
  <w:num w:numId="15">
    <w:abstractNumId w:val="75"/>
  </w:num>
  <w:num w:numId="16">
    <w:abstractNumId w:val="100"/>
  </w:num>
  <w:num w:numId="17">
    <w:abstractNumId w:val="66"/>
  </w:num>
  <w:num w:numId="18">
    <w:abstractNumId w:val="69"/>
  </w:num>
  <w:num w:numId="19">
    <w:abstractNumId w:val="56"/>
  </w:num>
  <w:num w:numId="20">
    <w:abstractNumId w:val="9"/>
  </w:num>
  <w:num w:numId="21">
    <w:abstractNumId w:val="16"/>
  </w:num>
  <w:num w:numId="22">
    <w:abstractNumId w:val="63"/>
  </w:num>
  <w:num w:numId="23">
    <w:abstractNumId w:val="28"/>
  </w:num>
  <w:num w:numId="24">
    <w:abstractNumId w:val="73"/>
  </w:num>
  <w:num w:numId="25">
    <w:abstractNumId w:val="15"/>
  </w:num>
  <w:num w:numId="26">
    <w:abstractNumId w:val="49"/>
  </w:num>
  <w:num w:numId="27">
    <w:abstractNumId w:val="31"/>
  </w:num>
  <w:num w:numId="28">
    <w:abstractNumId w:val="32"/>
  </w:num>
  <w:num w:numId="29">
    <w:abstractNumId w:val="77"/>
  </w:num>
  <w:num w:numId="30">
    <w:abstractNumId w:val="64"/>
  </w:num>
  <w:num w:numId="31">
    <w:abstractNumId w:val="82"/>
  </w:num>
  <w:num w:numId="32">
    <w:abstractNumId w:val="18"/>
  </w:num>
  <w:num w:numId="33">
    <w:abstractNumId w:val="58"/>
  </w:num>
  <w:num w:numId="34">
    <w:abstractNumId w:val="92"/>
  </w:num>
  <w:num w:numId="35">
    <w:abstractNumId w:val="97"/>
  </w:num>
  <w:num w:numId="36">
    <w:abstractNumId w:val="30"/>
  </w:num>
  <w:num w:numId="37">
    <w:abstractNumId w:val="57"/>
  </w:num>
  <w:num w:numId="38">
    <w:abstractNumId w:val="85"/>
  </w:num>
  <w:num w:numId="39">
    <w:abstractNumId w:val="90"/>
  </w:num>
  <w:num w:numId="40">
    <w:abstractNumId w:val="8"/>
  </w:num>
  <w:num w:numId="41">
    <w:abstractNumId w:val="72"/>
  </w:num>
  <w:num w:numId="42">
    <w:abstractNumId w:val="71"/>
  </w:num>
  <w:num w:numId="43">
    <w:abstractNumId w:val="70"/>
  </w:num>
  <w:num w:numId="44">
    <w:abstractNumId w:val="37"/>
  </w:num>
  <w:num w:numId="45">
    <w:abstractNumId w:val="14"/>
  </w:num>
  <w:num w:numId="46">
    <w:abstractNumId w:val="13"/>
  </w:num>
  <w:num w:numId="47">
    <w:abstractNumId w:val="86"/>
  </w:num>
  <w:num w:numId="48">
    <w:abstractNumId w:val="20"/>
  </w:num>
  <w:num w:numId="49">
    <w:abstractNumId w:val="93"/>
  </w:num>
  <w:num w:numId="50">
    <w:abstractNumId w:val="81"/>
  </w:num>
  <w:num w:numId="51">
    <w:abstractNumId w:val="84"/>
  </w:num>
  <w:num w:numId="52">
    <w:abstractNumId w:val="22"/>
  </w:num>
  <w:num w:numId="53">
    <w:abstractNumId w:val="36"/>
  </w:num>
  <w:num w:numId="54">
    <w:abstractNumId w:val="44"/>
  </w:num>
  <w:num w:numId="55">
    <w:abstractNumId w:val="52"/>
  </w:num>
  <w:num w:numId="56">
    <w:abstractNumId w:val="99"/>
  </w:num>
  <w:num w:numId="57">
    <w:abstractNumId w:val="33"/>
  </w:num>
  <w:num w:numId="58">
    <w:abstractNumId w:val="40"/>
  </w:num>
  <w:num w:numId="59">
    <w:abstractNumId w:val="61"/>
  </w:num>
  <w:num w:numId="60">
    <w:abstractNumId w:val="98"/>
  </w:num>
  <w:num w:numId="61">
    <w:abstractNumId w:val="54"/>
  </w:num>
  <w:num w:numId="62">
    <w:abstractNumId w:val="55"/>
  </w:num>
  <w:num w:numId="63">
    <w:abstractNumId w:val="17"/>
  </w:num>
  <w:num w:numId="64">
    <w:abstractNumId w:val="65"/>
  </w:num>
  <w:num w:numId="65">
    <w:abstractNumId w:val="62"/>
  </w:num>
  <w:num w:numId="66">
    <w:abstractNumId w:val="39"/>
  </w:num>
  <w:num w:numId="67">
    <w:abstractNumId w:val="91"/>
  </w:num>
  <w:num w:numId="68">
    <w:abstractNumId w:val="94"/>
  </w:num>
  <w:num w:numId="69">
    <w:abstractNumId w:val="46"/>
  </w:num>
  <w:num w:numId="70">
    <w:abstractNumId w:val="41"/>
  </w:num>
  <w:num w:numId="71">
    <w:abstractNumId w:val="43"/>
  </w:num>
  <w:num w:numId="72">
    <w:abstractNumId w:val="80"/>
  </w:num>
  <w:num w:numId="73">
    <w:abstractNumId w:val="79"/>
  </w:num>
  <w:num w:numId="74">
    <w:abstractNumId w:val="25"/>
  </w:num>
  <w:num w:numId="75">
    <w:abstractNumId w:val="89"/>
  </w:num>
  <w:num w:numId="76">
    <w:abstractNumId w:val="38"/>
  </w:num>
  <w:num w:numId="77">
    <w:abstractNumId w:val="47"/>
  </w:num>
  <w:num w:numId="78">
    <w:abstractNumId w:val="78"/>
  </w:num>
  <w:num w:numId="79">
    <w:abstractNumId w:val="87"/>
  </w:num>
  <w:num w:numId="80">
    <w:abstractNumId w:val="29"/>
  </w:num>
  <w:num w:numId="81">
    <w:abstractNumId w:val="76"/>
  </w:num>
  <w:num w:numId="82">
    <w:abstractNumId w:val="10"/>
  </w:num>
  <w:num w:numId="83">
    <w:abstractNumId w:val="23"/>
  </w:num>
  <w:num w:numId="84">
    <w:abstractNumId w:val="60"/>
  </w:num>
  <w:num w:numId="85">
    <w:abstractNumId w:val="53"/>
  </w:num>
  <w:num w:numId="86">
    <w:abstractNumId w:val="83"/>
  </w:num>
  <w:num w:numId="87">
    <w:abstractNumId w:val="12"/>
  </w:num>
  <w:num w:numId="88">
    <w:abstractNumId w:val="35"/>
  </w:num>
  <w:num w:numId="89">
    <w:abstractNumId w:val="26"/>
  </w:num>
  <w:num w:numId="90">
    <w:abstractNumId w:val="19"/>
  </w:num>
  <w:num w:numId="91">
    <w:abstractNumId w:val="95"/>
  </w:num>
  <w:num w:numId="92">
    <w:abstractNumId w:val="67"/>
  </w:num>
  <w:num w:numId="93">
    <w:abstractNumId w:val="21"/>
  </w:num>
  <w:num w:numId="94">
    <w:abstractNumId w:val="7"/>
    <w:lvlOverride w:ilvl="0">
      <w:lvl w:ilvl="0">
        <w:start w:val="1"/>
        <w:numFmt w:val="bullet"/>
        <w:lvlText w:val=""/>
        <w:legacy w:legacy="1" w:legacySpace="120" w:legacyIndent="360"/>
        <w:lvlJc w:val="left"/>
        <w:pPr>
          <w:ind w:left="360" w:hanging="360"/>
        </w:pPr>
        <w:rPr>
          <w:rFonts w:ascii="Symbol" w:hAnsi="Symbol" w:hint="default"/>
        </w:rPr>
      </w:lvl>
    </w:lvlOverride>
  </w:num>
  <w:num w:numId="95">
    <w:abstractNumId w:val="42"/>
  </w:num>
  <w:num w:numId="96">
    <w:abstractNumId w:val="11"/>
  </w:num>
  <w:num w:numId="97">
    <w:abstractNumId w:val="50"/>
  </w:num>
  <w:num w:numId="98">
    <w:abstractNumId w:val="96"/>
  </w:num>
  <w:num w:numId="99">
    <w:abstractNumId w:val="7"/>
    <w:lvlOverride w:ilvl="0">
      <w:lvl w:ilvl="0">
        <w:start w:val="1"/>
        <w:numFmt w:val="bullet"/>
        <w:lvlText w:val=""/>
        <w:legacy w:legacy="1" w:legacySpace="0" w:legacyIndent="360"/>
        <w:lvlJc w:val="left"/>
        <w:pPr>
          <w:ind w:left="927" w:hanging="360"/>
        </w:pPr>
        <w:rPr>
          <w:rFonts w:ascii="Symbol" w:hAnsi="Symbol" w:cs="Symbol" w:hint="default"/>
        </w:rPr>
      </w:lvl>
    </w:lvlOverride>
  </w:num>
  <w:num w:numId="100">
    <w:abstractNumId w:val="74"/>
  </w:num>
  <w:num w:numId="101">
    <w:abstractNumId w:val="7"/>
    <w:lvlOverride w:ilvl="0">
      <w:lvl w:ilvl="0">
        <w:start w:val="1"/>
        <w:numFmt w:val="bullet"/>
        <w:lvlText w:val=""/>
        <w:legacy w:legacy="1" w:legacySpace="0" w:legacyIndent="360"/>
        <w:lvlJc w:val="left"/>
        <w:pPr>
          <w:ind w:left="360" w:hanging="360"/>
        </w:pPr>
        <w:rPr>
          <w:rFonts w:ascii="Symbol" w:hAnsi="Symbol" w:cs="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ru-RU" w:vendorID="1" w:dllVersion="512" w:checkStyle="1"/>
  <w:activeWritingStyle w:appName="MSWord" w:lang="en-US" w:vendorID="8" w:dllVersion="513" w:checkStyle="1"/>
  <w:doNotTrackMoves/>
  <w:defaultTabStop w:val="709"/>
  <w:autoHyphenation/>
  <w:hyphenationZone w:val="221"/>
  <w:doNotHyphenateCaps/>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88"/>
        <w:tab w:val="left" w:pos="576"/>
        <w:tab w:val="left" w:pos="864"/>
        <w:tab w:val="left" w:pos="1152"/>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10" w:lineRule="exact"/>
      <w:ind w:right="40"/>
      <w:outlineLvl w:val="3"/>
    </w:pPr>
    <w:rPr>
      <w:b/>
      <w:bCs/>
      <w:sz w:val="17"/>
    </w:rPr>
  </w:style>
  <w:style w:type="paragraph" w:styleId="Heading5">
    <w:name w:val="heading 5"/>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40" w:after="120"/>
      <w:ind w:left="480" w:hanging="480"/>
      <w:jc w:val="both"/>
      <w:outlineLvl w:val="4"/>
    </w:pPr>
    <w:rPr>
      <w:snapToGrid w:val="0"/>
      <w:lang w:val="en-GB" w:eastAsia="en-US"/>
    </w:rPr>
  </w:style>
  <w:style w:type="paragraph" w:styleId="Heading6">
    <w:name w:val="heading 6"/>
    <w:basedOn w:val="Normal"/>
    <w:next w:val="Normal"/>
    <w:qFormat/>
    <w:pPr>
      <w:keepNext/>
      <w:spacing w:before="40" w:after="40" w:line="240" w:lineRule="auto"/>
      <w:jc w:val="center"/>
      <w:outlineLvl w:val="5"/>
    </w:pPr>
    <w:rPr>
      <w:b/>
      <w:i/>
      <w:iCs/>
      <w:sz w:val="17"/>
    </w:rPr>
  </w:style>
  <w:style w:type="paragraph" w:styleId="Heading7">
    <w:name w:val="heading 7"/>
    <w:basedOn w:val="Normal"/>
    <w:next w:val="Normal"/>
    <w:qFormat/>
    <w:pPr>
      <w:keepNext/>
      <w:spacing w:line="240" w:lineRule="auto"/>
      <w:jc w:val="center"/>
      <w:outlineLvl w:val="6"/>
    </w:pPr>
    <w:rPr>
      <w:i/>
      <w:iCs/>
      <w:sz w:val="18"/>
    </w:rPr>
  </w:style>
  <w:style w:type="paragraph" w:styleId="Heading8">
    <w:name w:val="heading 8"/>
    <w:basedOn w:val="Normal"/>
    <w:next w:val="Normal"/>
    <w:qFormat/>
    <w:pPr>
      <w:keepNext/>
      <w:jc w:val="center"/>
      <w:outlineLvl w:val="7"/>
    </w:pPr>
    <w:rPr>
      <w:i/>
      <w:iCs/>
      <w:sz w:val="17"/>
    </w:rPr>
  </w:style>
  <w:style w:type="paragraph" w:styleId="Heading9">
    <w:name w:val="heading 9"/>
    <w:basedOn w:val="Normal"/>
    <w:next w:val="Normal"/>
    <w:qFormat/>
    <w:pPr>
      <w:keepNext/>
      <w:numPr>
        <w:numId w:val="6"/>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763"/>
      </w:tabs>
      <w:suppressAutoHyphens/>
      <w:spacing w:before="240" w:after="120" w:line="270" w:lineRule="exact"/>
      <w:ind w:left="1264" w:right="1264"/>
      <w:outlineLvl w:val="0"/>
    </w:pPr>
    <w:rPr>
      <w:b/>
      <w:sz w:val="24"/>
    </w:rPr>
  </w:style>
  <w:style w:type="character" w:customStyle="1" w:styleId="H10">
    <w:name w:val="_ H_1 Знак"/>
    <w:rPr>
      <w:b/>
      <w:noProof w:val="0"/>
      <w:spacing w:val="4"/>
      <w:w w:val="103"/>
      <w:kern w:val="14"/>
      <w:sz w:val="24"/>
      <w:lang w:val="ru-RU" w:eastAsia="ru-RU" w:bidi="ar-SA"/>
    </w:rPr>
  </w:style>
  <w:style w:type="paragraph" w:customStyle="1" w:styleId="HCh">
    <w:name w:val="_ H _Ch"/>
    <w:basedOn w:val="H1"/>
    <w:next w:val="Normal"/>
    <w:pPr>
      <w:keepLines/>
      <w:spacing w:line="300" w:lineRule="exact"/>
    </w:pPr>
    <w:rPr>
      <w:spacing w:val="-2"/>
      <w:sz w:val="28"/>
    </w:rPr>
  </w:style>
  <w:style w:type="paragraph" w:customStyle="1" w:styleId="H23">
    <w:name w:val="_ H_2/3"/>
    <w:basedOn w:val="H1"/>
    <w:next w:val="DualTxt"/>
    <w:pPr>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left" w:pos="1741"/>
      </w:tabs>
      <w:suppressAutoHyphens/>
      <w:spacing w:before="240" w:after="120"/>
      <w:ind w:left="1740" w:right="1264" w:hanging="476"/>
      <w:outlineLvl w:val="3"/>
    </w:pPr>
    <w:rPr>
      <w:i/>
      <w:spacing w:val="3"/>
    </w:rPr>
  </w:style>
  <w:style w:type="paragraph" w:customStyle="1" w:styleId="H56">
    <w:name w:val="_ H_5/6"/>
    <w:basedOn w:val="Normal"/>
    <w:next w:val="DualTxt"/>
    <w:pPr>
      <w:keepNext/>
      <w:keepLines/>
      <w:tabs>
        <w:tab w:val="left" w:pos="476"/>
        <w:tab w:val="left" w:pos="953"/>
        <w:tab w:val="left" w:pos="1429"/>
        <w:tab w:val="left" w:pos="1905"/>
      </w:tabs>
      <w:suppressAutoHyphens/>
      <w:spacing w:before="240" w:after="120"/>
      <w:ind w:left="1740" w:right="1264" w:hanging="476"/>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firstLine="476"/>
      <w:jc w:val="both"/>
    </w:pPr>
  </w:style>
  <w:style w:type="character" w:styleId="CommentReference">
    <w:name w:val="annotation reference"/>
    <w:semiHidden/>
    <w:rPr>
      <w:sz w:val="6"/>
    </w:rPr>
  </w:style>
  <w:style w:type="character" w:styleId="FootnoteReference">
    <w:name w:val="footnote reference"/>
    <w:autoRedefine/>
    <w:semiHidden/>
    <w:rPr>
      <w:rFonts w:ascii="Times New Roman" w:hAnsi="Times New Roman"/>
      <w:dstrike w:val="0"/>
      <w:spacing w:val="-5"/>
      <w:w w:val="130"/>
      <w:position w:val="0"/>
      <w:sz w:val="17"/>
      <w:szCs w:val="17"/>
      <w:vertAlign w:val="superscript"/>
    </w:rPr>
  </w:style>
  <w:style w:type="character" w:styleId="EndnoteReference">
    <w:name w:val="endnote reference"/>
    <w:basedOn w:val="FootnoteReference"/>
    <w:semiHidden/>
    <w:rPr>
      <w:rFonts w:ascii="Times New Roman" w:hAnsi="Times New Roman"/>
      <w:dstrike w:val="0"/>
      <w:spacing w:val="-5"/>
      <w:w w:val="130"/>
      <w:position w:val="0"/>
      <w:sz w:val="17"/>
      <w:szCs w:val="17"/>
      <w:vertAlign w:val="superscript"/>
    </w:rPr>
  </w:style>
  <w:style w:type="paragraph" w:styleId="FootnoteText">
    <w:name w:val="footnote text"/>
    <w:basedOn w:val="Normal"/>
    <w:semiHidden/>
    <w:pPr>
      <w:widowControl w:val="0"/>
      <w:tabs>
        <w:tab w:val="right" w:pos="418"/>
      </w:tabs>
      <w:spacing w:line="210" w:lineRule="exact"/>
      <w:ind w:left="1377" w:right="1264" w:hanging="113"/>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tabs>
        <w:tab w:val="num" w:pos="792"/>
      </w:tabs>
      <w:spacing w:after="120"/>
      <w:ind w:left="792" w:hanging="317"/>
    </w:pPr>
  </w:style>
  <w:style w:type="paragraph" w:styleId="ListNumber">
    <w:name w:val="List Number"/>
    <w:basedOn w:val="H1"/>
    <w:next w:val="Normal"/>
    <w:semiHidden/>
    <w:pPr>
      <w:tabs>
        <w:tab w:val="num" w:pos="792"/>
      </w:tabs>
      <w:ind w:left="792" w:hanging="317"/>
    </w:pPr>
  </w:style>
  <w:style w:type="paragraph" w:styleId="ListNumber2">
    <w:name w:val="List Number 2"/>
    <w:basedOn w:val="H23"/>
    <w:next w:val="Normal"/>
    <w:semiHidden/>
    <w:pPr>
      <w:tabs>
        <w:tab w:val="num" w:pos="792"/>
      </w:tabs>
      <w:ind w:left="792" w:hanging="317"/>
    </w:pPr>
  </w:style>
  <w:style w:type="paragraph" w:styleId="ListNumber3">
    <w:name w:val="List Number 3"/>
    <w:basedOn w:val="H23"/>
    <w:next w:val="Normal"/>
    <w:semiHidden/>
    <w:pPr>
      <w:tabs>
        <w:tab w:val="num" w:pos="792"/>
      </w:tabs>
      <w:ind w:left="792" w:hanging="317"/>
    </w:pPr>
  </w:style>
  <w:style w:type="paragraph" w:styleId="ListNumber4">
    <w:name w:val="List Number 4"/>
    <w:basedOn w:val="H4"/>
    <w:next w:val="Normal"/>
    <w:semiHidden/>
    <w:pPr>
      <w:tabs>
        <w:tab w:val="num" w:pos="792"/>
      </w:tabs>
      <w:ind w:left="792" w:hanging="317"/>
    </w:pPr>
  </w:style>
  <w:style w:type="paragraph" w:styleId="ListNumber5">
    <w:name w:val="List Number 5"/>
    <w:basedOn w:val="Normal"/>
    <w:next w:val="Normal"/>
    <w:semiHidden/>
    <w:pPr>
      <w:tabs>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tabs>
        <w:tab w:val="num" w:pos="360"/>
      </w:tabs>
      <w:ind w:left="360" w:hanging="360"/>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DocumentMap">
    <w:name w:val="Document Map"/>
    <w:basedOn w:val="Normal"/>
    <w:semiHidden/>
    <w:pPr>
      <w:shd w:val="clear" w:color="auto" w:fill="000080"/>
    </w:pPr>
    <w:rPr>
      <w:rFonts w:ascii="Tahoma" w:hAnsi="Tahoma" w:cs="Code 3of9 4.6"/>
    </w:rPr>
  </w:style>
  <w:style w:type="paragraph" w:styleId="BodyTextIndent">
    <w:name w:val="Body Text Indent"/>
    <w:basedOn w:val="Normal"/>
    <w:semiHidden/>
    <w:pPr>
      <w:tabs>
        <w:tab w:val="left" w:pos="720"/>
        <w:tab w:val="left" w:pos="1440"/>
        <w:tab w:val="num" w:pos="1800"/>
      </w:tabs>
      <w:spacing w:line="480" w:lineRule="auto"/>
      <w:ind w:left="720" w:hanging="720"/>
      <w:jc w:val="both"/>
    </w:pPr>
    <w:rPr>
      <w:spacing w:val="0"/>
      <w:w w:val="100"/>
      <w:kern w:val="0"/>
      <w:sz w:val="28"/>
    </w:rPr>
  </w:style>
  <w:style w:type="paragraph" w:styleId="List">
    <w:name w:val="List"/>
    <w:basedOn w:val="Normal"/>
    <w:semiHidden/>
    <w:pPr>
      <w:spacing w:line="480" w:lineRule="auto"/>
      <w:ind w:left="283" w:hanging="283"/>
      <w:jc w:val="both"/>
    </w:pPr>
    <w:rPr>
      <w:spacing w:val="0"/>
      <w:w w:val="100"/>
      <w:kern w:val="0"/>
      <w:sz w:val="28"/>
    </w:rPr>
  </w:style>
  <w:style w:type="paragraph" w:styleId="List2">
    <w:name w:val="List 2"/>
    <w:basedOn w:val="Normal"/>
    <w:semiHidden/>
    <w:pPr>
      <w:spacing w:line="480" w:lineRule="auto"/>
      <w:ind w:left="566" w:hanging="283"/>
      <w:jc w:val="both"/>
    </w:pPr>
    <w:rPr>
      <w:spacing w:val="0"/>
      <w:w w:val="100"/>
      <w:kern w:val="0"/>
      <w:sz w:val="28"/>
    </w:rPr>
  </w:style>
  <w:style w:type="paragraph" w:styleId="ListBullet3">
    <w:name w:val="List Bullet 3"/>
    <w:basedOn w:val="Normal"/>
    <w:autoRedefine/>
    <w:semiHidden/>
    <w:pPr>
      <w:tabs>
        <w:tab w:val="num" w:pos="926"/>
      </w:tabs>
      <w:spacing w:line="480" w:lineRule="auto"/>
      <w:ind w:left="926" w:hanging="360"/>
      <w:jc w:val="both"/>
    </w:pPr>
    <w:rPr>
      <w:spacing w:val="0"/>
      <w:w w:val="100"/>
      <w:kern w:val="0"/>
      <w:sz w:val="28"/>
    </w:rPr>
  </w:style>
  <w:style w:type="paragraph" w:customStyle="1" w:styleId="2">
    <w:name w:val="заголовок 2"/>
    <w:basedOn w:val="Normal"/>
    <w:next w:val="Normal"/>
    <w:pPr>
      <w:keepNext/>
      <w:autoSpaceDE w:val="0"/>
      <w:autoSpaceDN w:val="0"/>
      <w:spacing w:line="360" w:lineRule="auto"/>
    </w:pPr>
    <w:rPr>
      <w:b/>
      <w:bCs/>
      <w:spacing w:val="0"/>
      <w:w w:val="100"/>
      <w:kern w:val="0"/>
    </w:rPr>
  </w:style>
  <w:style w:type="character" w:styleId="Hyperlink">
    <w:name w:val="Hyperlink"/>
    <w:semiHidden/>
    <w:rPr>
      <w:color w:val="0000FF"/>
      <w:u w:val="none"/>
    </w:rPr>
  </w:style>
  <w:style w:type="paragraph" w:styleId="BodyText2">
    <w:name w:val="Body Text 2"/>
    <w:basedOn w:val="Normal"/>
    <w:semiHidden/>
    <w:pPr>
      <w:spacing w:line="360" w:lineRule="auto"/>
    </w:pPr>
    <w:rPr>
      <w:i/>
      <w:spacing w:val="0"/>
      <w:w w:val="100"/>
      <w:kern w:val="0"/>
      <w:sz w:val="24"/>
      <w:lang w:eastAsia="ja-JP"/>
    </w:rPr>
  </w:style>
  <w:style w:type="paragraph" w:styleId="BodyText3">
    <w:name w:val="Body Text 3"/>
    <w:basedOn w:val="Normal"/>
    <w:semiHidden/>
    <w:pPr>
      <w:spacing w:line="360" w:lineRule="auto"/>
    </w:pPr>
    <w:rPr>
      <w:b/>
      <w:spacing w:val="0"/>
      <w:w w:val="100"/>
      <w:kern w:val="0"/>
      <w:sz w:val="24"/>
      <w:lang w:eastAsia="ja-JP"/>
    </w:rPr>
  </w:style>
  <w:style w:type="paragraph" w:customStyle="1" w:styleId="1">
    <w:name w:val="çàãîëîâîê 1"/>
    <w:basedOn w:val="Normal"/>
    <w:next w:val="Normal"/>
    <w:pPr>
      <w:keepNext/>
      <w:autoSpaceDE w:val="0"/>
      <w:autoSpaceDN w:val="0"/>
      <w:adjustRightInd w:val="0"/>
      <w:spacing w:line="360" w:lineRule="auto"/>
    </w:pPr>
    <w:rPr>
      <w:b/>
      <w:bCs/>
      <w:spacing w:val="0"/>
      <w:w w:val="100"/>
      <w:kern w:val="0"/>
      <w:sz w:val="24"/>
      <w:szCs w:val="24"/>
    </w:rPr>
  </w:style>
  <w:style w:type="paragraph" w:customStyle="1" w:styleId="20">
    <w:name w:val="Îñíîâíîé òåêñò 2"/>
    <w:basedOn w:val="Normal"/>
    <w:pPr>
      <w:autoSpaceDE w:val="0"/>
      <w:autoSpaceDN w:val="0"/>
      <w:adjustRightInd w:val="0"/>
      <w:spacing w:line="360" w:lineRule="auto"/>
    </w:pPr>
    <w:rPr>
      <w:spacing w:val="0"/>
      <w:w w:val="100"/>
      <w:kern w:val="0"/>
      <w:sz w:val="24"/>
      <w:szCs w:val="24"/>
    </w:rPr>
  </w:style>
  <w:style w:type="character" w:customStyle="1" w:styleId="a">
    <w:name w:val="çíàê ñíîñêè"/>
    <w:rPr>
      <w:vertAlign w:val="superscript"/>
    </w:rPr>
  </w:style>
  <w:style w:type="paragraph" w:customStyle="1" w:styleId="21">
    <w:name w:val="çàãîëîâîê 2"/>
    <w:basedOn w:val="Normal"/>
    <w:next w:val="Normal"/>
    <w:pPr>
      <w:keepNext/>
      <w:autoSpaceDE w:val="0"/>
      <w:autoSpaceDN w:val="0"/>
      <w:adjustRightInd w:val="0"/>
      <w:spacing w:line="360" w:lineRule="auto"/>
    </w:pPr>
    <w:rPr>
      <w:b/>
      <w:bCs/>
      <w:i/>
      <w:iCs/>
      <w:spacing w:val="0"/>
      <w:w w:val="100"/>
      <w:kern w:val="0"/>
      <w:sz w:val="24"/>
      <w:szCs w:val="24"/>
    </w:rPr>
  </w:style>
  <w:style w:type="paragraph" w:customStyle="1" w:styleId="3">
    <w:name w:val="çàãîëîâîê 3"/>
    <w:basedOn w:val="Normal"/>
    <w:next w:val="Normal"/>
    <w:pPr>
      <w:keepNext/>
      <w:autoSpaceDE w:val="0"/>
      <w:autoSpaceDN w:val="0"/>
      <w:adjustRightInd w:val="0"/>
      <w:spacing w:line="360" w:lineRule="auto"/>
    </w:pPr>
    <w:rPr>
      <w:i/>
      <w:iCs/>
      <w:spacing w:val="0"/>
      <w:w w:val="100"/>
      <w:kern w:val="0"/>
      <w:sz w:val="24"/>
      <w:szCs w:val="24"/>
    </w:rPr>
  </w:style>
  <w:style w:type="paragraph" w:customStyle="1" w:styleId="30">
    <w:name w:val="Îñíîâíîé òåêñò 3"/>
    <w:basedOn w:val="Normal"/>
    <w:pPr>
      <w:autoSpaceDE w:val="0"/>
      <w:autoSpaceDN w:val="0"/>
      <w:adjustRightInd w:val="0"/>
      <w:spacing w:line="360" w:lineRule="auto"/>
    </w:pPr>
    <w:rPr>
      <w:i/>
      <w:iCs/>
      <w:spacing w:val="0"/>
      <w:w w:val="100"/>
      <w:kern w:val="0"/>
      <w:sz w:val="24"/>
      <w:szCs w:val="24"/>
    </w:rPr>
  </w:style>
  <w:style w:type="paragraph" w:customStyle="1" w:styleId="10">
    <w:name w:val="заголовок 1"/>
    <w:basedOn w:val="Normal"/>
    <w:next w:val="Normal"/>
    <w:pPr>
      <w:keepNext/>
      <w:autoSpaceDE w:val="0"/>
      <w:autoSpaceDN w:val="0"/>
      <w:spacing w:line="360" w:lineRule="auto"/>
      <w:jc w:val="center"/>
    </w:pPr>
    <w:rPr>
      <w:spacing w:val="0"/>
      <w:w w:val="100"/>
      <w:kern w:val="0"/>
      <w:sz w:val="24"/>
      <w:szCs w:val="24"/>
    </w:rPr>
  </w:style>
  <w:style w:type="paragraph" w:customStyle="1" w:styleId="a0">
    <w:name w:val="òåêñò ñíîñêè"/>
    <w:basedOn w:val="Normal"/>
    <w:pPr>
      <w:autoSpaceDE w:val="0"/>
      <w:autoSpaceDN w:val="0"/>
      <w:adjustRightInd w:val="0"/>
      <w:spacing w:line="240" w:lineRule="auto"/>
    </w:pPr>
    <w:rPr>
      <w:spacing w:val="0"/>
      <w:w w:val="100"/>
      <w:kern w:val="0"/>
    </w:rPr>
  </w:style>
  <w:style w:type="paragraph" w:customStyle="1" w:styleId="5">
    <w:name w:val="5"/>
    <w:basedOn w:val="SingleTxt"/>
    <w:pPr>
      <w:spacing w:after="0" w:line="120" w:lineRule="exact"/>
    </w:pPr>
    <w:rPr>
      <w:sz w:val="10"/>
    </w:rPr>
  </w:style>
  <w:style w:type="paragraph" w:customStyle="1" w:styleId="a1">
    <w:name w:val="çàã. óêàç. ëèòåðàòóðû"/>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jc w:val="both"/>
    </w:pPr>
    <w:rPr>
      <w:lang w:val="en-US"/>
    </w:rPr>
  </w:style>
  <w:style w:type="paragraph" w:customStyle="1" w:styleId="cherta">
    <w:name w:val="cherta"/>
    <w:basedOn w:val="Normal"/>
    <w:pPr>
      <w:tabs>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ind w:left="993" w:hanging="511"/>
      <w:jc w:val="both"/>
    </w:pPr>
  </w:style>
  <w:style w:type="paragraph" w:customStyle="1" w:styleId="hAB">
    <w:name w:val="h_AB"/>
    <w:basedOn w:val="H56"/>
    <w:pPr>
      <w:ind w:left="2217" w:hanging="953"/>
    </w:pPr>
    <w:rPr>
      <w:lang w:val="en-US"/>
    </w:rPr>
  </w:style>
  <w:style w:type="paragraph" w:customStyle="1" w:styleId="a2">
    <w:name w:val="íàçâàíèå"/>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style>
  <w:style w:type="paragraph" w:customStyle="1" w:styleId="iaeaaeaiea3">
    <w:name w:val="iaeaaeaiea 3"/>
    <w:basedOn w:val="Normal"/>
    <w:pPr>
      <w:tabs>
        <w:tab w:val="left" w:leader="dot" w:pos="9000"/>
        <w:tab w:val="right" w:pos="9360"/>
      </w:tabs>
      <w:suppressAutoHyphens/>
      <w:overflowPunct w:val="0"/>
      <w:autoSpaceDE w:val="0"/>
      <w:autoSpaceDN w:val="0"/>
      <w:adjustRightInd w:val="0"/>
      <w:spacing w:line="240" w:lineRule="auto"/>
      <w:ind w:left="2160" w:right="720" w:hanging="720"/>
      <w:textAlignment w:val="baseline"/>
    </w:pPr>
    <w:rPr>
      <w:rFonts w:ascii="TMS Roman 12pt" w:hAnsi="TMS Roman 12pt"/>
      <w:spacing w:val="0"/>
      <w:w w:val="100"/>
      <w:kern w:val="0"/>
      <w:sz w:val="24"/>
      <w:lang w:val="en-US"/>
    </w:rPr>
  </w:style>
  <w:style w:type="paragraph" w:customStyle="1" w:styleId="num">
    <w:name w:val="num"/>
    <w:basedOn w:val="Normal"/>
    <w:pPr>
      <w:tabs>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ind w:left="992" w:hanging="510"/>
      <w:jc w:val="both"/>
    </w:pPr>
  </w:style>
  <w:style w:type="paragraph" w:customStyle="1" w:styleId="rim">
    <w:name w:val="rim"/>
    <w:basedOn w:val="SingleTxt"/>
    <w:pPr>
      <w:ind w:left="2217" w:hanging="953"/>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 w:type="paragraph" w:customStyle="1" w:styleId="table">
    <w:name w:val="table"/>
    <w:basedOn w:val="Normal"/>
    <w:pPr>
      <w:spacing w:before="40" w:after="40"/>
    </w:pPr>
    <w:rPr>
      <w:sz w:val="17"/>
    </w:rPr>
  </w:style>
  <w:style w:type="paragraph" w:customStyle="1" w:styleId="tire">
    <w:name w:val="tire"/>
    <w:basedOn w:val="SingleTxt"/>
    <w:pPr>
      <w:tabs>
        <w:tab w:val="clear" w:pos="1267"/>
      </w:tabs>
      <w:ind w:left="2217" w:hanging="476"/>
    </w:pPr>
  </w:style>
  <w:style w:type="paragraph" w:styleId="TOC5">
    <w:name w:val="toc 5"/>
    <w:basedOn w:val="Normal"/>
    <w:next w:val="Normal"/>
    <w:autoRedefine/>
    <w:semiHidden/>
    <w:pPr>
      <w:tabs>
        <w:tab w:val="left" w:pos="1701"/>
        <w:tab w:val="left" w:pos="2098"/>
        <w:tab w:val="left" w:pos="2495"/>
        <w:tab w:val="right" w:leader="dot" w:pos="8505"/>
      </w:tabs>
      <w:ind w:left="2098" w:right="1701" w:hanging="794"/>
    </w:pPr>
    <w:rPr>
      <w:noProof/>
      <w:lang w:val="en-US"/>
    </w:rPr>
  </w:style>
  <w:style w:type="paragraph" w:customStyle="1" w:styleId="11">
    <w:name w:val="гип1"/>
    <w:basedOn w:val="TOC5"/>
    <w:pPr>
      <w:spacing w:after="120"/>
    </w:p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tabs>
        <w:tab w:val="left" w:pos="1701"/>
        <w:tab w:val="left" w:pos="2098"/>
        <w:tab w:val="left" w:pos="2495"/>
        <w:tab w:val="right" w:leader="dot" w:pos="8505"/>
      </w:tabs>
      <w:ind w:left="1701" w:right="1701" w:hanging="397"/>
    </w:pPr>
    <w:rPr>
      <w:noProof/>
      <w:lang w:val="en-US"/>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odyTextIndent2">
    <w:name w:val="Body Text Indent 2"/>
    <w:basedOn w:val="Normal"/>
    <w:semiHidden/>
    <w:pPr>
      <w:spacing w:line="140" w:lineRule="exact"/>
      <w:ind w:left="1264"/>
    </w:pPr>
    <w:rPr>
      <w:sz w:val="12"/>
    </w:rPr>
  </w:style>
  <w:style w:type="paragraph" w:customStyle="1" w:styleId="dot">
    <w:name w:val="dot"/>
    <w:basedOn w:val="SingleTxt"/>
    <w:pPr>
      <w:tabs>
        <w:tab w:val="right" w:pos="1685"/>
      </w:tabs>
      <w:ind w:left="1740" w:hanging="476"/>
    </w:pPr>
  </w:style>
  <w:style w:type="paragraph" w:styleId="BlockText">
    <w:name w:val="Block Text"/>
    <w:basedOn w:val="Normal"/>
    <w:semiHidden/>
    <w:pPr>
      <w:spacing w:line="240" w:lineRule="auto"/>
      <w:ind w:left="284" w:right="1384" w:hanging="284"/>
      <w:jc w:val="both"/>
    </w:pPr>
    <w:rPr>
      <w:sz w:val="17"/>
    </w:rPr>
  </w:style>
  <w:style w:type="paragraph" w:styleId="BodyTextIndent3">
    <w:name w:val="Body Text Indent 3"/>
    <w:basedOn w:val="Normal"/>
    <w:semiHidden/>
    <w:pPr>
      <w:spacing w:line="180" w:lineRule="exact"/>
      <w:ind w:left="1559" w:hanging="295"/>
    </w:pPr>
    <w:rPr>
      <w:sz w:val="17"/>
    </w:rPr>
  </w:style>
  <w:style w:type="paragraph" w:customStyle="1" w:styleId="new">
    <w:name w:val="new"/>
    <w:basedOn w:val="SingleTxt"/>
    <w:pPr>
      <w:ind w:left="1740" w:hanging="476"/>
    </w:pPr>
    <w:rPr>
      <w:i/>
      <w:iCs/>
    </w:rPr>
  </w:style>
  <w:style w:type="paragraph" w:customStyle="1" w:styleId="tt">
    <w:name w:val="tt"/>
    <w:basedOn w:val="SingleTxt"/>
    <w:pPr>
      <w:ind w:firstLine="0"/>
      <w:jc w:val="left"/>
    </w:pPr>
    <w:rPr>
      <w:b/>
      <w:bCs/>
    </w:rPr>
  </w:style>
  <w:style w:type="paragraph" w:customStyle="1" w:styleId="pg">
    <w:name w:val="pg"/>
    <w:basedOn w:val="SingleTxt"/>
    <w:pPr>
      <w:keepNext/>
      <w:suppressAutoHyphens/>
      <w:spacing w:before="120"/>
      <w:ind w:firstLine="0"/>
    </w:pPr>
    <w:rPr>
      <w:b/>
    </w:rPr>
  </w:style>
  <w:style w:type="paragraph" w:customStyle="1" w:styleId="a3">
    <w:name w:val="Текст выноски"/>
    <w:basedOn w:val="Normal"/>
    <w:semiHidden/>
    <w:rPr>
      <w:rFonts w:ascii="Tahoma" w:hAnsi="Tahoma" w:cs="Code 3of9 4.6"/>
      <w:sz w:val="16"/>
      <w:szCs w:val="16"/>
    </w:rPr>
  </w:style>
  <w:style w:type="paragraph" w:customStyle="1" w:styleId="31">
    <w:name w:val="заголовок 3"/>
    <w:basedOn w:val="Normal"/>
    <w:next w:val="Normal"/>
    <w:pPr>
      <w:keepNext/>
      <w:autoSpaceDE w:val="0"/>
      <w:autoSpaceDN w:val="0"/>
      <w:adjustRightInd w:val="0"/>
      <w:spacing w:line="360" w:lineRule="auto"/>
    </w:pPr>
    <w:rPr>
      <w:b/>
      <w:bCs/>
      <w:i/>
      <w:iCs/>
      <w:spacing w:val="0"/>
      <w:w w:val="100"/>
      <w:kern w:val="0"/>
      <w:sz w:val="24"/>
      <w:szCs w:val="24"/>
      <w:lang w:val="en-US"/>
    </w:rPr>
  </w:style>
  <w:style w:type="paragraph" w:customStyle="1" w:styleId="4">
    <w:name w:val="заголовок 4"/>
    <w:basedOn w:val="Normal"/>
    <w:next w:val="Normal"/>
    <w:pPr>
      <w:keepNext/>
      <w:autoSpaceDE w:val="0"/>
      <w:autoSpaceDN w:val="0"/>
      <w:adjustRightInd w:val="0"/>
      <w:spacing w:line="360" w:lineRule="auto"/>
      <w:jc w:val="center"/>
    </w:pPr>
    <w:rPr>
      <w:b/>
      <w:bCs/>
      <w:spacing w:val="0"/>
      <w:w w:val="100"/>
      <w:kern w:val="0"/>
      <w:sz w:val="16"/>
      <w:szCs w:val="16"/>
    </w:rPr>
  </w:style>
  <w:style w:type="paragraph" w:customStyle="1" w:styleId="6">
    <w:name w:val="заголовок 6"/>
    <w:basedOn w:val="Normal"/>
    <w:next w:val="Normal"/>
    <w:pPr>
      <w:keepNext/>
      <w:autoSpaceDE w:val="0"/>
      <w:autoSpaceDN w:val="0"/>
      <w:adjustRightInd w:val="0"/>
      <w:spacing w:line="360" w:lineRule="auto"/>
    </w:pPr>
    <w:rPr>
      <w:i/>
      <w:iCs/>
      <w:spacing w:val="0"/>
      <w:w w:val="100"/>
      <w:kern w:val="0"/>
      <w:sz w:val="16"/>
      <w:szCs w:val="16"/>
    </w:rPr>
  </w:style>
  <w:style w:type="paragraph" w:customStyle="1" w:styleId="50">
    <w:name w:val="заголовок 5"/>
    <w:basedOn w:val="Normal"/>
    <w:next w:val="Normal"/>
    <w:pPr>
      <w:keepNext/>
      <w:autoSpaceDE w:val="0"/>
      <w:autoSpaceDN w:val="0"/>
      <w:adjustRightInd w:val="0"/>
      <w:spacing w:line="360" w:lineRule="auto"/>
      <w:jc w:val="center"/>
    </w:pPr>
    <w:rPr>
      <w:b/>
      <w:bCs/>
      <w:spacing w:val="0"/>
      <w:w w:val="100"/>
      <w:kern w:val="0"/>
    </w:rPr>
  </w:style>
  <w:style w:type="paragraph" w:customStyle="1" w:styleId="7">
    <w:name w:val="заголовок 7"/>
    <w:basedOn w:val="Normal"/>
    <w:next w:val="Normal"/>
    <w:pPr>
      <w:keepNext/>
      <w:autoSpaceDE w:val="0"/>
      <w:autoSpaceDN w:val="0"/>
      <w:adjustRightInd w:val="0"/>
      <w:spacing w:line="360" w:lineRule="auto"/>
    </w:pPr>
    <w:rPr>
      <w:spacing w:val="0"/>
      <w:w w:val="100"/>
      <w:kern w:val="0"/>
      <w:sz w:val="24"/>
      <w:szCs w:val="24"/>
    </w:rPr>
  </w:style>
  <w:style w:type="paragraph" w:customStyle="1" w:styleId="8">
    <w:name w:val="заголовок 8"/>
    <w:basedOn w:val="Normal"/>
    <w:next w:val="Normal"/>
    <w:pPr>
      <w:keepNext/>
      <w:autoSpaceDE w:val="0"/>
      <w:autoSpaceDN w:val="0"/>
      <w:adjustRightInd w:val="0"/>
      <w:spacing w:line="360" w:lineRule="auto"/>
    </w:pPr>
    <w:rPr>
      <w:b/>
      <w:bCs/>
      <w:spacing w:val="0"/>
      <w:w w:val="100"/>
      <w:kern w:val="0"/>
      <w:sz w:val="16"/>
      <w:szCs w:val="16"/>
    </w:rPr>
  </w:style>
  <w:style w:type="paragraph" w:customStyle="1" w:styleId="9">
    <w:name w:val="заголовок 9"/>
    <w:basedOn w:val="Normal"/>
    <w:next w:val="Normal"/>
    <w:pPr>
      <w:keepNext/>
      <w:autoSpaceDE w:val="0"/>
      <w:autoSpaceDN w:val="0"/>
      <w:adjustRightInd w:val="0"/>
      <w:spacing w:line="360" w:lineRule="auto"/>
      <w:jc w:val="center"/>
    </w:pPr>
    <w:rPr>
      <w:b/>
      <w:bCs/>
      <w:i/>
      <w:iCs/>
      <w:spacing w:val="0"/>
      <w:w w:val="100"/>
      <w:kern w:val="0"/>
      <w:sz w:val="24"/>
      <w:szCs w:val="24"/>
    </w:rPr>
  </w:style>
  <w:style w:type="character" w:styleId="PageNumber">
    <w:name w:val="page number"/>
    <w:basedOn w:val="DefaultParagraphFont"/>
    <w:semiHidden/>
  </w:style>
  <w:style w:type="character" w:customStyle="1" w:styleId="HCh0">
    <w:name w:val="_ H _Ch Знак"/>
    <w:rPr>
      <w:b/>
      <w:noProof w:val="0"/>
      <w:spacing w:val="-2"/>
      <w:w w:val="103"/>
      <w:kern w:val="14"/>
      <w:sz w:val="28"/>
      <w:lang w:val="ru-RU" w:eastAsia="ru-RU" w:bidi="ar-SA"/>
    </w:rPr>
  </w:style>
  <w:style w:type="paragraph" w:styleId="Caption">
    <w:name w:val="caption"/>
    <w:basedOn w:val="Normal"/>
    <w:next w:val="Normal"/>
    <w:qFormat/>
    <w:pPr>
      <w:spacing w:line="480" w:lineRule="auto"/>
    </w:pPr>
    <w:rPr>
      <w:i/>
      <w:spacing w:val="0"/>
      <w:w w:val="100"/>
      <w:kern w:val="0"/>
    </w:rPr>
  </w:style>
  <w:style w:type="character" w:customStyle="1" w:styleId="SingleTxt0">
    <w:name w:val="__Single Txt Знак"/>
    <w:rPr>
      <w:noProof w:val="0"/>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70</Pages>
  <Words>26218</Words>
  <Characters>149446</Characters>
  <Application>Microsoft Office Word</Application>
  <DocSecurity>4</DocSecurity>
  <Lines>1245</Lines>
  <Paragraphs>298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183530</CharactersWithSpaces>
  <SharedDoc>false</SharedDoc>
  <HLinks>
    <vt:vector size="12" baseType="variant">
      <vt:variant>
        <vt:i4>8257630</vt:i4>
      </vt:variant>
      <vt:variant>
        <vt:i4>364582</vt:i4>
      </vt:variant>
      <vt:variant>
        <vt:i4>1025</vt:i4>
      </vt:variant>
      <vt:variant>
        <vt:i4>1</vt:i4>
      </vt:variant>
      <vt:variant>
        <vt:lpwstr>_unlogo</vt:lpwstr>
      </vt:variant>
      <vt:variant>
        <vt:lpwstr/>
      </vt:variant>
      <vt:variant>
        <vt:i4>8257630</vt:i4>
      </vt:variant>
      <vt:variant>
        <vt:i4>365108</vt:i4>
      </vt:variant>
      <vt:variant>
        <vt:i4>1026</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2003-10-09T10:18:00Z</cp:lastPrinted>
  <dcterms:created xsi:type="dcterms:W3CDTF">2003-10-09T15:47:00Z</dcterms:created>
  <dcterms:modified xsi:type="dcterms:W3CDTF">2003-10-14T08:52:00Z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70</vt:lpwstr>
  </property>
  <property fmtid="{D5CDD505-2E9C-101B-9397-08002B2CF9AE}" pid="8" name="Operator">
    <vt:lpwstr>Shibanova</vt:lpwstr>
  </property>
</Properties>
</file>