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816936" w:rsidRPr="005A25A2" w:rsidRDefault="005A25A2" w:rsidP="00E82775">
            <w:pPr>
              <w:spacing w:line="240" w:lineRule="atLeast"/>
              <w:jc w:val="right"/>
              <w:rPr>
                <w:sz w:val="20"/>
                <w:szCs w:val="21"/>
              </w:rPr>
            </w:pPr>
            <w:r w:rsidRPr="005A25A2">
              <w:rPr>
                <w:sz w:val="40"/>
                <w:szCs w:val="21"/>
              </w:rPr>
              <w:t>C</w:t>
            </w:r>
            <w:r w:rsidRPr="005A25A2">
              <w:rPr>
                <w:sz w:val="40"/>
                <w:szCs w:val="40"/>
              </w:rPr>
              <w:t>RPD</w:t>
            </w:r>
            <w:r>
              <w:rPr>
                <w:sz w:val="20"/>
                <w:szCs w:val="21"/>
              </w:rPr>
              <w:t>/C/SRB/CO/1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SimHei"/>
                <w:spacing w:val="10"/>
                <w:sz w:val="36"/>
                <w:szCs w:val="36"/>
              </w:rPr>
            </w:pPr>
            <w:r w:rsidRPr="00FC7FE9">
              <w:rPr>
                <w:rFonts w:eastAsia="SimHei"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E82775">
            <w:pPr>
              <w:spacing w:before="240" w:line="240" w:lineRule="atLeast"/>
              <w:rPr>
                <w:sz w:val="20"/>
              </w:rPr>
            </w:pPr>
            <w:r w:rsidRPr="00F124C6">
              <w:rPr>
                <w:sz w:val="20"/>
              </w:rPr>
              <w:t xml:space="preserve">Distr.: </w:t>
            </w:r>
            <w:r w:rsidRPr="00D50CCD">
              <w:rPr>
                <w:sz w:val="20"/>
              </w:rPr>
              <w:t>General</w:t>
            </w:r>
          </w:p>
          <w:p w:rsidR="00816936" w:rsidRPr="00F124C6" w:rsidRDefault="005A25A2" w:rsidP="00E82775">
            <w:pPr>
              <w:spacing w:line="240" w:lineRule="atLeast"/>
              <w:rPr>
                <w:sz w:val="20"/>
              </w:rPr>
            </w:pPr>
            <w:r w:rsidRPr="005A25A2">
              <w:rPr>
                <w:sz w:val="20"/>
              </w:rPr>
              <w:t xml:space="preserve">23 May </w:t>
            </w:r>
            <w:r w:rsidR="00B44B82">
              <w:rPr>
                <w:sz w:val="20"/>
              </w:rPr>
              <w:t>201</w:t>
            </w:r>
            <w:r w:rsidR="00943528">
              <w:rPr>
                <w:rFonts w:hint="eastAsia"/>
                <w:sz w:val="20"/>
              </w:rPr>
              <w:t>6</w:t>
            </w:r>
          </w:p>
          <w:p w:rsidR="00816936" w:rsidRPr="00F124C6" w:rsidRDefault="00816936" w:rsidP="00E82775">
            <w:pPr>
              <w:spacing w:line="240" w:lineRule="atLeast"/>
              <w:rPr>
                <w:sz w:val="20"/>
              </w:rPr>
            </w:pPr>
            <w:r w:rsidRPr="00F124C6">
              <w:rPr>
                <w:sz w:val="20"/>
              </w:rPr>
              <w:t xml:space="preserve">Chinese </w:t>
            </w:r>
          </w:p>
          <w:p w:rsidR="00816936" w:rsidRPr="00F124C6" w:rsidRDefault="00816936" w:rsidP="00E82775">
            <w:pPr>
              <w:spacing w:line="240" w:lineRule="atLeast"/>
            </w:pPr>
            <w:r w:rsidRPr="00F124C6">
              <w:rPr>
                <w:sz w:val="20"/>
              </w:rPr>
              <w:t>Original: English</w:t>
            </w:r>
          </w:p>
        </w:tc>
      </w:tr>
    </w:tbl>
    <w:p w:rsidR="00816936" w:rsidRDefault="00816936" w:rsidP="00816936">
      <w:pPr>
        <w:spacing w:before="120"/>
        <w:rPr>
          <w:rFonts w:eastAsia="SimHei"/>
          <w:sz w:val="24"/>
          <w:szCs w:val="24"/>
          <w:lang w:val="fr-CH"/>
        </w:rPr>
      </w:pPr>
      <w:r>
        <w:rPr>
          <w:rFonts w:eastAsia="SimHei" w:hint="eastAsia"/>
          <w:sz w:val="24"/>
          <w:szCs w:val="24"/>
          <w:lang w:val="fr-CH"/>
        </w:rPr>
        <w:t>残疾人权利委员会</w:t>
      </w:r>
    </w:p>
    <w:p w:rsidR="00D67EE7" w:rsidRDefault="00D67EE7" w:rsidP="0088065D">
      <w:pPr>
        <w:pStyle w:val="HChGC"/>
      </w:pPr>
      <w:r w:rsidRPr="00D67EE7">
        <w:rPr>
          <w:rFonts w:hint="eastAsia"/>
          <w:lang w:val="fr-CH"/>
        </w:rPr>
        <w:tab/>
      </w:r>
      <w:r w:rsidRPr="00D67EE7">
        <w:rPr>
          <w:rFonts w:hint="eastAsia"/>
          <w:lang w:val="fr-CH"/>
        </w:rPr>
        <w:tab/>
      </w:r>
      <w:r w:rsidRPr="00D67EE7">
        <w:rPr>
          <w:rFonts w:hint="eastAsia"/>
          <w:lang w:val="fr-CH"/>
        </w:rPr>
        <w:t>关于塞尔维亚初次报告的结论性意见</w:t>
      </w:r>
      <w:r w:rsidRPr="00D67EE7">
        <w:footnoteReference w:customMarkFollows="1" w:id="2"/>
        <w:t>*</w:t>
      </w:r>
    </w:p>
    <w:p w:rsidR="0088065D" w:rsidRDefault="0088065D" w:rsidP="0088065D">
      <w:pPr>
        <w:pStyle w:val="HChGC"/>
      </w:pPr>
      <w:r>
        <w:rPr>
          <w:rFonts w:hint="eastAsia"/>
        </w:rPr>
        <w:tab/>
      </w:r>
      <w:r>
        <w:rPr>
          <w:rFonts w:hint="eastAsia"/>
        </w:rPr>
        <w:t>一</w:t>
      </w:r>
      <w:r>
        <w:rPr>
          <w:rFonts w:hint="eastAsia"/>
        </w:rPr>
        <w:t>.</w:t>
      </w:r>
      <w:r>
        <w:rPr>
          <w:rFonts w:hint="eastAsia"/>
        </w:rPr>
        <w:tab/>
      </w:r>
      <w:r>
        <w:rPr>
          <w:rFonts w:hint="eastAsia"/>
        </w:rPr>
        <w:t>导言</w:t>
      </w:r>
    </w:p>
    <w:p w:rsidR="0088065D" w:rsidRDefault="0088065D" w:rsidP="0088065D">
      <w:pPr>
        <w:pStyle w:val="SingleTxtGC"/>
      </w:pPr>
      <w:r>
        <w:rPr>
          <w:rFonts w:hint="eastAsia"/>
        </w:rPr>
        <w:t xml:space="preserve">1.  </w:t>
      </w:r>
      <w:r>
        <w:rPr>
          <w:rFonts w:hint="eastAsia"/>
        </w:rPr>
        <w:t>委员会在</w:t>
      </w:r>
      <w:r>
        <w:rPr>
          <w:rFonts w:hint="eastAsia"/>
        </w:rPr>
        <w:t>2016</w:t>
      </w:r>
      <w:r>
        <w:rPr>
          <w:rFonts w:hint="eastAsia"/>
        </w:rPr>
        <w:t>年</w:t>
      </w:r>
      <w:r>
        <w:rPr>
          <w:rFonts w:hint="eastAsia"/>
        </w:rPr>
        <w:t>4</w:t>
      </w:r>
      <w:r>
        <w:rPr>
          <w:rFonts w:hint="eastAsia"/>
        </w:rPr>
        <w:t>月</w:t>
      </w:r>
      <w:r>
        <w:rPr>
          <w:rFonts w:hint="eastAsia"/>
        </w:rPr>
        <w:t>5</w:t>
      </w:r>
      <w:r>
        <w:rPr>
          <w:rFonts w:hint="eastAsia"/>
        </w:rPr>
        <w:t>日和</w:t>
      </w:r>
      <w:r>
        <w:rPr>
          <w:rFonts w:hint="eastAsia"/>
        </w:rPr>
        <w:t>6</w:t>
      </w:r>
      <w:r>
        <w:rPr>
          <w:rFonts w:hint="eastAsia"/>
        </w:rPr>
        <w:t>日举行的第</w:t>
      </w:r>
      <w:r>
        <w:rPr>
          <w:rFonts w:hint="eastAsia"/>
        </w:rPr>
        <w:t>244</w:t>
      </w:r>
      <w:r>
        <w:rPr>
          <w:rFonts w:hint="eastAsia"/>
        </w:rPr>
        <w:t>和</w:t>
      </w:r>
      <w:r>
        <w:rPr>
          <w:rFonts w:hint="eastAsia"/>
        </w:rPr>
        <w:t>245</w:t>
      </w:r>
      <w:r>
        <w:rPr>
          <w:rFonts w:hint="eastAsia"/>
        </w:rPr>
        <w:t>次会议</w:t>
      </w:r>
      <w:r>
        <w:rPr>
          <w:rFonts w:hint="eastAsia"/>
        </w:rPr>
        <w:t>(</w:t>
      </w:r>
      <w:r>
        <w:rPr>
          <w:rFonts w:hint="eastAsia"/>
        </w:rPr>
        <w:t>见</w:t>
      </w:r>
      <w:r>
        <w:rPr>
          <w:rFonts w:hint="eastAsia"/>
        </w:rPr>
        <w:t>CRPD/C/SR.244</w:t>
      </w:r>
      <w:r>
        <w:rPr>
          <w:rFonts w:hint="eastAsia"/>
        </w:rPr>
        <w:t>和</w:t>
      </w:r>
      <w:r>
        <w:rPr>
          <w:rFonts w:hint="eastAsia"/>
        </w:rPr>
        <w:t>245)</w:t>
      </w:r>
      <w:r>
        <w:rPr>
          <w:rFonts w:hint="eastAsia"/>
        </w:rPr>
        <w:t>上审议了塞尔维亚的初次报告</w:t>
      </w:r>
      <w:r>
        <w:rPr>
          <w:rFonts w:hint="eastAsia"/>
        </w:rPr>
        <w:t>(CRPD/C/SRB/1)</w:t>
      </w:r>
      <w:r>
        <w:rPr>
          <w:rFonts w:hint="eastAsia"/>
        </w:rPr>
        <w:t>。委员会在</w:t>
      </w:r>
      <w:r>
        <w:rPr>
          <w:rFonts w:hint="eastAsia"/>
        </w:rPr>
        <w:t>2016</w:t>
      </w:r>
      <w:r>
        <w:rPr>
          <w:rFonts w:hint="eastAsia"/>
        </w:rPr>
        <w:t>年</w:t>
      </w:r>
      <w:r>
        <w:rPr>
          <w:rFonts w:hint="eastAsia"/>
        </w:rPr>
        <w:t>4</w:t>
      </w:r>
      <w:r>
        <w:rPr>
          <w:rFonts w:hint="eastAsia"/>
        </w:rPr>
        <w:t>月</w:t>
      </w:r>
      <w:r>
        <w:rPr>
          <w:rFonts w:hint="eastAsia"/>
        </w:rPr>
        <w:t>21</w:t>
      </w:r>
      <w:r>
        <w:rPr>
          <w:rFonts w:hint="eastAsia"/>
        </w:rPr>
        <w:t>日举行的第</w:t>
      </w:r>
      <w:r>
        <w:rPr>
          <w:rFonts w:hint="eastAsia"/>
        </w:rPr>
        <w:t>267</w:t>
      </w:r>
      <w:r>
        <w:rPr>
          <w:rFonts w:hint="eastAsia"/>
        </w:rPr>
        <w:t>次会议上通过了本结论性意见。</w:t>
      </w:r>
    </w:p>
    <w:p w:rsidR="0088065D" w:rsidRDefault="0088065D" w:rsidP="0088065D">
      <w:pPr>
        <w:pStyle w:val="SingleTxtGC"/>
      </w:pPr>
      <w:r>
        <w:rPr>
          <w:rFonts w:hint="eastAsia"/>
        </w:rPr>
        <w:t xml:space="preserve">2.  </w:t>
      </w:r>
      <w:r>
        <w:rPr>
          <w:rFonts w:hint="eastAsia"/>
        </w:rPr>
        <w:t>委员会欢迎塞尔维亚依照委员会报告准则编写初次报告，并感谢缔约国对委员会提出的问题单</w:t>
      </w:r>
      <w:r>
        <w:rPr>
          <w:rFonts w:hint="eastAsia"/>
        </w:rPr>
        <w:t>(CRPD/C/SRB/Q/1)</w:t>
      </w:r>
      <w:r>
        <w:rPr>
          <w:rFonts w:hint="eastAsia"/>
        </w:rPr>
        <w:t>做出书面答复</w:t>
      </w:r>
      <w:r>
        <w:rPr>
          <w:rFonts w:hint="eastAsia"/>
        </w:rPr>
        <w:t>(CRPD/C/SRB/Q/1/Add.1)</w:t>
      </w:r>
      <w:r>
        <w:rPr>
          <w:rFonts w:hint="eastAsia"/>
        </w:rPr>
        <w:t>。</w:t>
      </w:r>
    </w:p>
    <w:p w:rsidR="0088065D" w:rsidRDefault="0088065D" w:rsidP="0088065D">
      <w:pPr>
        <w:pStyle w:val="SingleTxtGC"/>
      </w:pPr>
      <w:r>
        <w:rPr>
          <w:rFonts w:hint="eastAsia"/>
        </w:rPr>
        <w:t xml:space="preserve">3.  </w:t>
      </w:r>
      <w:r>
        <w:rPr>
          <w:rFonts w:hint="eastAsia"/>
        </w:rPr>
        <w:t>委员会赞赏与缔约国代表团举行的富有成果的对话，并且对包括了政府相关部委许多代表的缔约国代表团强大阵容表示赞扬。</w:t>
      </w:r>
    </w:p>
    <w:p w:rsidR="0088065D" w:rsidRDefault="0088065D" w:rsidP="0088065D">
      <w:pPr>
        <w:pStyle w:val="HChGC"/>
      </w:pPr>
      <w:r>
        <w:rPr>
          <w:rFonts w:hint="eastAsia"/>
        </w:rPr>
        <w:tab/>
      </w:r>
      <w:r>
        <w:rPr>
          <w:rFonts w:hint="eastAsia"/>
        </w:rPr>
        <w:t>二</w:t>
      </w:r>
      <w:r>
        <w:rPr>
          <w:rFonts w:hint="eastAsia"/>
        </w:rPr>
        <w:t>.</w:t>
      </w:r>
      <w:r>
        <w:rPr>
          <w:rFonts w:hint="eastAsia"/>
        </w:rPr>
        <w:tab/>
      </w:r>
      <w:r>
        <w:rPr>
          <w:rFonts w:hint="eastAsia"/>
        </w:rPr>
        <w:t>积极方面</w:t>
      </w:r>
    </w:p>
    <w:p w:rsidR="0088065D" w:rsidRDefault="0088065D" w:rsidP="0088065D">
      <w:pPr>
        <w:pStyle w:val="SingleTxtGC"/>
      </w:pPr>
      <w:r>
        <w:rPr>
          <w:rFonts w:hint="eastAsia"/>
        </w:rPr>
        <w:t xml:space="preserve">4.  </w:t>
      </w:r>
      <w:r>
        <w:rPr>
          <w:rFonts w:hint="eastAsia"/>
        </w:rPr>
        <w:t>委员会赞扬了缔约国的许多成就，特别是《防止和禁止歧视战略》</w:t>
      </w:r>
      <w:r>
        <w:rPr>
          <w:rFonts w:hint="eastAsia"/>
        </w:rPr>
        <w:t>(2013</w:t>
      </w:r>
      <w:r>
        <w:rPr>
          <w:rFonts w:hint="eastAsia"/>
        </w:rPr>
        <w:t>年</w:t>
      </w:r>
      <w:r>
        <w:rPr>
          <w:rFonts w:hint="eastAsia"/>
        </w:rPr>
        <w:t>)</w:t>
      </w:r>
      <w:r>
        <w:rPr>
          <w:rFonts w:hint="eastAsia"/>
        </w:rPr>
        <w:t>及其行动计划</w:t>
      </w:r>
      <w:r>
        <w:rPr>
          <w:rFonts w:hint="eastAsia"/>
        </w:rPr>
        <w:t>(2014</w:t>
      </w:r>
      <w:r>
        <w:rPr>
          <w:rFonts w:hint="eastAsia"/>
        </w:rPr>
        <w:t>年</w:t>
      </w:r>
      <w:r>
        <w:rPr>
          <w:rFonts w:hint="eastAsia"/>
        </w:rPr>
        <w:t>-2018</w:t>
      </w:r>
      <w:r>
        <w:rPr>
          <w:rFonts w:hint="eastAsia"/>
        </w:rPr>
        <w:t>年</w:t>
      </w:r>
      <w:r>
        <w:rPr>
          <w:rFonts w:hint="eastAsia"/>
        </w:rPr>
        <w:t>)</w:t>
      </w:r>
      <w:r>
        <w:rPr>
          <w:rFonts w:hint="eastAsia"/>
        </w:rPr>
        <w:t>。委员会还赞扬缔约国的《改善妇女地位和促进性别平等国家战略》</w:t>
      </w:r>
      <w:r>
        <w:rPr>
          <w:rFonts w:hint="eastAsia"/>
        </w:rPr>
        <w:t>(2010</w:t>
      </w:r>
      <w:r>
        <w:rPr>
          <w:rFonts w:hint="eastAsia"/>
        </w:rPr>
        <w:t>年</w:t>
      </w:r>
      <w:r>
        <w:rPr>
          <w:rFonts w:hint="eastAsia"/>
        </w:rPr>
        <w:t>-2015</w:t>
      </w:r>
      <w:r>
        <w:rPr>
          <w:rFonts w:hint="eastAsia"/>
        </w:rPr>
        <w:t>年</w:t>
      </w:r>
      <w:r>
        <w:rPr>
          <w:rFonts w:hint="eastAsia"/>
        </w:rPr>
        <w:t>)</w:t>
      </w:r>
      <w:r>
        <w:rPr>
          <w:rFonts w:hint="eastAsia"/>
        </w:rPr>
        <w:t>，与欧洲两性平等研究所的合作，宣布</w:t>
      </w:r>
      <w:r>
        <w:rPr>
          <w:rFonts w:hint="eastAsia"/>
        </w:rPr>
        <w:t>2016</w:t>
      </w:r>
      <w:r>
        <w:rPr>
          <w:rFonts w:hint="eastAsia"/>
        </w:rPr>
        <w:t>年为制止暴力侵犯妇女年以及采用性别平等指数。委员会欢迎缔约国在</w:t>
      </w:r>
      <w:r>
        <w:rPr>
          <w:rFonts w:hint="eastAsia"/>
        </w:rPr>
        <w:t>2015</w:t>
      </w:r>
      <w:r>
        <w:rPr>
          <w:rFonts w:hint="eastAsia"/>
        </w:rPr>
        <w:t>年</w:t>
      </w:r>
      <w:r>
        <w:rPr>
          <w:rFonts w:hint="eastAsia"/>
        </w:rPr>
        <w:t>4</w:t>
      </w:r>
      <w:r>
        <w:rPr>
          <w:rFonts w:hint="eastAsia"/>
        </w:rPr>
        <w:t>月通过《手语使用法》，承认在国家当局的议事过程中使用手语的权利；</w:t>
      </w:r>
      <w:r>
        <w:rPr>
          <w:rFonts w:hint="eastAsia"/>
        </w:rPr>
        <w:t>2016</w:t>
      </w:r>
      <w:r>
        <w:rPr>
          <w:rFonts w:hint="eastAsia"/>
        </w:rPr>
        <w:t>年</w:t>
      </w:r>
      <w:r>
        <w:rPr>
          <w:rFonts w:hint="eastAsia"/>
        </w:rPr>
        <w:t>2</w:t>
      </w:r>
      <w:r>
        <w:rPr>
          <w:rFonts w:hint="eastAsia"/>
        </w:rPr>
        <w:t>月修订《防止歧视残疾人法》，保障残疾人、特别是盲人或视障者有权使用个人印章签署法律文件；以及</w:t>
      </w:r>
      <w:r>
        <w:rPr>
          <w:rFonts w:hint="eastAsia"/>
        </w:rPr>
        <w:t>2015</w:t>
      </w:r>
      <w:r>
        <w:rPr>
          <w:rFonts w:hint="eastAsia"/>
        </w:rPr>
        <w:t>年</w:t>
      </w:r>
      <w:r>
        <w:rPr>
          <w:rFonts w:hint="eastAsia"/>
        </w:rPr>
        <w:t>3</w:t>
      </w:r>
      <w:r>
        <w:rPr>
          <w:rFonts w:hint="eastAsia"/>
        </w:rPr>
        <w:t>月通过《导盲犬协助法》，承认在公共交通和设施使用导盲犬的权利。委员会还欢迎缔约国在人口普查表中</w:t>
      </w:r>
      <w:r>
        <w:rPr>
          <w:rFonts w:hint="eastAsia"/>
        </w:rPr>
        <w:lastRenderedPageBreak/>
        <w:t>列入残疾人问题，为今后的相关数据提供了必要前提。委员会注意到缔约国被剥夺法律行为能力者的人数有所减少及其为方便探监所做的努力。</w:t>
      </w:r>
    </w:p>
    <w:p w:rsidR="0088065D" w:rsidRDefault="0088065D" w:rsidP="0088065D">
      <w:pPr>
        <w:pStyle w:val="HChGC"/>
      </w:pPr>
      <w:r>
        <w:rPr>
          <w:rFonts w:hint="eastAsia"/>
        </w:rPr>
        <w:tab/>
      </w:r>
      <w:r>
        <w:rPr>
          <w:rFonts w:hint="eastAsia"/>
        </w:rPr>
        <w:t>三</w:t>
      </w:r>
      <w:r>
        <w:rPr>
          <w:rFonts w:hint="eastAsia"/>
        </w:rPr>
        <w:t>.</w:t>
      </w:r>
      <w:r>
        <w:rPr>
          <w:rFonts w:hint="eastAsia"/>
        </w:rPr>
        <w:tab/>
      </w:r>
      <w:r>
        <w:rPr>
          <w:rFonts w:hint="eastAsia"/>
        </w:rPr>
        <w:t>主要关注领域和建议</w:t>
      </w:r>
    </w:p>
    <w:p w:rsidR="0088065D" w:rsidRDefault="0088065D" w:rsidP="0088065D">
      <w:pPr>
        <w:pStyle w:val="H1GC"/>
      </w:pPr>
      <w:r>
        <w:rPr>
          <w:rFonts w:hint="eastAsia"/>
        </w:rPr>
        <w:tab/>
        <w:t>A.</w:t>
      </w:r>
      <w:r>
        <w:rPr>
          <w:rFonts w:hint="eastAsia"/>
        </w:rPr>
        <w:tab/>
      </w:r>
      <w:r>
        <w:rPr>
          <w:rFonts w:hint="eastAsia"/>
        </w:rPr>
        <w:t>一般原则和一般义务</w:t>
      </w:r>
      <w:r>
        <w:rPr>
          <w:rFonts w:hint="eastAsia"/>
        </w:rPr>
        <w:t>(</w:t>
      </w:r>
      <w:r>
        <w:rPr>
          <w:rFonts w:hint="eastAsia"/>
        </w:rPr>
        <w:t>第一至四条</w:t>
      </w:r>
      <w:r>
        <w:rPr>
          <w:rFonts w:hint="eastAsia"/>
        </w:rPr>
        <w:t>)</w:t>
      </w:r>
    </w:p>
    <w:p w:rsidR="0088065D" w:rsidRDefault="0088065D" w:rsidP="0088065D">
      <w:pPr>
        <w:pStyle w:val="SingleTxtGC"/>
      </w:pPr>
      <w:r>
        <w:rPr>
          <w:rFonts w:hint="eastAsia"/>
        </w:rPr>
        <w:t xml:space="preserve">5.  </w:t>
      </w:r>
      <w:r>
        <w:rPr>
          <w:rFonts w:hint="eastAsia"/>
        </w:rPr>
        <w:t>委员会关注的是，一些法规和条例具有歧视性，违反《公约》条款。</w:t>
      </w:r>
    </w:p>
    <w:p w:rsidR="0088065D" w:rsidRDefault="0088065D" w:rsidP="0088065D">
      <w:pPr>
        <w:pStyle w:val="SingleTxtGC"/>
      </w:pPr>
      <w:r>
        <w:rPr>
          <w:rFonts w:hint="eastAsia"/>
        </w:rPr>
        <w:t xml:space="preserve">6.  </w:t>
      </w:r>
      <w:r w:rsidRPr="006A7F4A">
        <w:rPr>
          <w:rFonts w:ascii="SimHei" w:eastAsia="SimHei" w:hAnsi="SimHei" w:hint="eastAsia"/>
        </w:rPr>
        <w:t>委员会建议缔约国审查立法，包括评估残疾问题和支助计划，使立法与《公约》、包括残疾人的人权模式保持一致。</w:t>
      </w:r>
    </w:p>
    <w:p w:rsidR="0088065D" w:rsidRDefault="0088065D" w:rsidP="0088065D">
      <w:pPr>
        <w:pStyle w:val="SingleTxtGC"/>
      </w:pPr>
      <w:r>
        <w:rPr>
          <w:rFonts w:hint="eastAsia"/>
        </w:rPr>
        <w:t xml:space="preserve">7.  </w:t>
      </w:r>
      <w:r>
        <w:rPr>
          <w:rFonts w:hint="eastAsia"/>
        </w:rPr>
        <w:t>委员会关注的是，从事残疾人工作的专业人员和工作人员没有得到关于《公约》所承认权利的充分培训。</w:t>
      </w:r>
    </w:p>
    <w:p w:rsidR="0088065D" w:rsidRDefault="0088065D" w:rsidP="0088065D">
      <w:pPr>
        <w:pStyle w:val="SingleTxtGC"/>
      </w:pPr>
      <w:r>
        <w:rPr>
          <w:rFonts w:hint="eastAsia"/>
        </w:rPr>
        <w:t xml:space="preserve">8.  </w:t>
      </w:r>
      <w:r w:rsidRPr="006A7F4A">
        <w:rPr>
          <w:rFonts w:ascii="SimHei" w:eastAsia="SimHei" w:hAnsi="SimHei" w:hint="eastAsia"/>
        </w:rPr>
        <w:t>委员会建议缔约国与残疾人组织协商，对从事残疾工作的专业人员和工作人员加强培训，使他们了解《公约》所确认的权利，以更好地提供这些权利所保障的协助和服务。</w:t>
      </w:r>
    </w:p>
    <w:p w:rsidR="0088065D" w:rsidRDefault="0088065D" w:rsidP="006A7F4A">
      <w:pPr>
        <w:pStyle w:val="H1GC"/>
      </w:pPr>
      <w:r>
        <w:rPr>
          <w:rFonts w:hint="eastAsia"/>
        </w:rPr>
        <w:tab/>
        <w:t>B.</w:t>
      </w:r>
      <w:r w:rsidR="006A7F4A">
        <w:rPr>
          <w:rFonts w:hint="eastAsia"/>
        </w:rPr>
        <w:tab/>
      </w:r>
      <w:r>
        <w:rPr>
          <w:rFonts w:hint="eastAsia"/>
        </w:rPr>
        <w:t>具体权利</w:t>
      </w:r>
      <w:r>
        <w:rPr>
          <w:rFonts w:hint="eastAsia"/>
        </w:rPr>
        <w:t>(</w:t>
      </w:r>
      <w:r>
        <w:rPr>
          <w:rFonts w:hint="eastAsia"/>
        </w:rPr>
        <w:t>第五至三十条</w:t>
      </w:r>
      <w:r>
        <w:rPr>
          <w:rFonts w:hint="eastAsia"/>
        </w:rPr>
        <w:t>)</w:t>
      </w:r>
    </w:p>
    <w:p w:rsidR="0088065D" w:rsidRDefault="0088065D" w:rsidP="006A7F4A">
      <w:pPr>
        <w:pStyle w:val="H23GC"/>
      </w:pPr>
      <w:r>
        <w:rPr>
          <w:rFonts w:hint="eastAsia"/>
        </w:rPr>
        <w:tab/>
      </w:r>
      <w:r>
        <w:rPr>
          <w:rFonts w:hint="eastAsia"/>
        </w:rPr>
        <w:tab/>
      </w:r>
      <w:r>
        <w:rPr>
          <w:rFonts w:hint="eastAsia"/>
        </w:rPr>
        <w:t>平等和不歧视</w:t>
      </w:r>
      <w:r>
        <w:rPr>
          <w:rFonts w:hint="eastAsia"/>
        </w:rPr>
        <w:t>(</w:t>
      </w:r>
      <w:r>
        <w:rPr>
          <w:rFonts w:hint="eastAsia"/>
        </w:rPr>
        <w:t>第五条</w:t>
      </w:r>
      <w:r>
        <w:rPr>
          <w:rFonts w:hint="eastAsia"/>
        </w:rPr>
        <w:t>)</w:t>
      </w:r>
    </w:p>
    <w:p w:rsidR="0088065D" w:rsidRDefault="0088065D" w:rsidP="0088065D">
      <w:pPr>
        <w:pStyle w:val="SingleTxtGC"/>
      </w:pPr>
      <w:r>
        <w:rPr>
          <w:rFonts w:hint="eastAsia"/>
        </w:rPr>
        <w:t xml:space="preserve">9.  </w:t>
      </w:r>
      <w:r>
        <w:rPr>
          <w:rFonts w:hint="eastAsia"/>
        </w:rPr>
        <w:t>委员会关注的是，反歧视立法没有得到系统适用，立法没有对基于残疾的歧视做出明确定义并且没有阐述所有形式的歧视。委员会进一步关注的是，在反歧视法中既未明确载有合理便利的概念，也未明确承认拒绝提供合理便利是一种歧视形式。委员会还表示关切的是，没有资料说明对侵犯残疾人权利的行为有何制裁措施。</w:t>
      </w:r>
    </w:p>
    <w:p w:rsidR="0088065D" w:rsidRDefault="0088065D" w:rsidP="0088065D">
      <w:pPr>
        <w:pStyle w:val="SingleTxtGC"/>
      </w:pPr>
      <w:r>
        <w:rPr>
          <w:rFonts w:hint="eastAsia"/>
        </w:rPr>
        <w:t xml:space="preserve">10.  </w:t>
      </w:r>
      <w:r w:rsidRPr="006A7F4A">
        <w:rPr>
          <w:rFonts w:ascii="SimHei" w:eastAsia="SimHei" w:hAnsi="SimHei" w:hint="eastAsia"/>
        </w:rPr>
        <w:t>委员会建议缔约国审查立法框架，对基于残疾的歧视做出定义，明确阐述所有形式的歧视与合理便利的概念，并确保在有关法律和条令中将拒绝提供合理便利确定为一种以残疾为由的歧视形式。委员会还建议缔约国采取有效和相称的补救措施，包括劝诫性处罚。</w:t>
      </w:r>
    </w:p>
    <w:p w:rsidR="0088065D" w:rsidRDefault="006A7F4A" w:rsidP="006A7F4A">
      <w:pPr>
        <w:pStyle w:val="H23GC"/>
      </w:pPr>
      <w:r>
        <w:rPr>
          <w:rFonts w:hint="eastAsia"/>
        </w:rPr>
        <w:tab/>
      </w:r>
      <w:r>
        <w:rPr>
          <w:rFonts w:hint="eastAsia"/>
        </w:rPr>
        <w:tab/>
      </w:r>
      <w:r w:rsidR="0088065D">
        <w:rPr>
          <w:rFonts w:hint="eastAsia"/>
        </w:rPr>
        <w:t>残疾妇女</w:t>
      </w:r>
      <w:r w:rsidR="0088065D">
        <w:rPr>
          <w:rFonts w:hint="eastAsia"/>
        </w:rPr>
        <w:t>(</w:t>
      </w:r>
      <w:r w:rsidR="0088065D">
        <w:rPr>
          <w:rFonts w:hint="eastAsia"/>
        </w:rPr>
        <w:t>第六条</w:t>
      </w:r>
      <w:r w:rsidR="0088065D">
        <w:rPr>
          <w:rFonts w:hint="eastAsia"/>
        </w:rPr>
        <w:t>)</w:t>
      </w:r>
    </w:p>
    <w:p w:rsidR="0088065D" w:rsidRDefault="0088065D" w:rsidP="0088065D">
      <w:pPr>
        <w:pStyle w:val="SingleTxtGC"/>
      </w:pPr>
      <w:r>
        <w:rPr>
          <w:rFonts w:hint="eastAsia"/>
        </w:rPr>
        <w:t xml:space="preserve">11.  </w:t>
      </w:r>
      <w:r>
        <w:rPr>
          <w:rFonts w:hint="eastAsia"/>
        </w:rPr>
        <w:t>委员会关注的是，缔约国没有采取具体行动防止和打击残疾妇女及女孩人面临的多重交叉歧视，特别是在司法保护、防止暴力及虐待、教育、卫生和就业等方面。委员会还关注的是，没有关于残疾妇女需求的充分或透明的资金与就业相关措施，而且在制订关于一般妇女或残疾妇女的方案和措施中不与残疾妇女进行协商。</w:t>
      </w:r>
    </w:p>
    <w:p w:rsidR="0088065D" w:rsidRDefault="0088065D" w:rsidP="0088065D">
      <w:pPr>
        <w:pStyle w:val="SingleTxtGC"/>
      </w:pPr>
      <w:r>
        <w:rPr>
          <w:rFonts w:hint="eastAsia"/>
        </w:rPr>
        <w:t xml:space="preserve">12.  </w:t>
      </w:r>
      <w:r w:rsidRPr="006A7F4A">
        <w:rPr>
          <w:rFonts w:ascii="SimHei" w:eastAsia="SimHei" w:hAnsi="SimHei" w:hint="eastAsia"/>
        </w:rPr>
        <w:t>委员会建议缔约国：</w:t>
      </w:r>
    </w:p>
    <w:p w:rsidR="0088065D" w:rsidRDefault="006A7F4A" w:rsidP="0088065D">
      <w:pPr>
        <w:pStyle w:val="SingleTxtGC"/>
      </w:pPr>
      <w:r>
        <w:rPr>
          <w:rFonts w:hint="eastAsia"/>
        </w:rPr>
        <w:lastRenderedPageBreak/>
        <w:tab/>
      </w:r>
      <w:r w:rsidR="0088065D">
        <w:rPr>
          <w:rFonts w:hint="eastAsia"/>
        </w:rPr>
        <w:t>(a)</w:t>
      </w:r>
      <w:r w:rsidR="0088065D">
        <w:rPr>
          <w:rFonts w:hint="eastAsia"/>
        </w:rPr>
        <w:tab/>
      </w:r>
      <w:r w:rsidR="0088065D" w:rsidRPr="006A7F4A">
        <w:rPr>
          <w:rFonts w:ascii="SimHei" w:eastAsia="SimHei" w:hAnsi="SimHei" w:hint="eastAsia"/>
        </w:rPr>
        <w:t>在性别平等政策、方案和战略中考虑到残疾妇女及女孩的视角，并且在关于残疾人的战略中纳入性别平等观念，以消除生活各个领域中的多重交叉歧视；</w:t>
      </w:r>
    </w:p>
    <w:p w:rsidR="0088065D" w:rsidRPr="006A7F4A" w:rsidRDefault="006A7F4A" w:rsidP="0088065D">
      <w:pPr>
        <w:pStyle w:val="SingleTxtGC"/>
        <w:rPr>
          <w:rFonts w:ascii="SimHei" w:eastAsia="SimHei" w:hAnsi="SimHei"/>
        </w:rPr>
      </w:pPr>
      <w:r>
        <w:rPr>
          <w:rFonts w:hint="eastAsia"/>
        </w:rPr>
        <w:tab/>
      </w:r>
      <w:r w:rsidR="0088065D">
        <w:rPr>
          <w:rFonts w:hint="eastAsia"/>
        </w:rPr>
        <w:t>(b)</w:t>
      </w:r>
      <w:r w:rsidR="0088065D">
        <w:rPr>
          <w:rFonts w:hint="eastAsia"/>
        </w:rPr>
        <w:tab/>
      </w:r>
      <w:r w:rsidR="0088065D" w:rsidRPr="006A7F4A">
        <w:rPr>
          <w:rFonts w:ascii="SimHei" w:eastAsia="SimHei" w:hAnsi="SimHei" w:hint="eastAsia"/>
        </w:rPr>
        <w:t>采取适当措施，防止和消除残疾妇女及女孩面临的多重交叉歧视，特别是在司法保护、防止暴力和虐待、教育、卫生和就业等方面；</w:t>
      </w:r>
    </w:p>
    <w:p w:rsidR="0088065D" w:rsidRPr="006A7F4A" w:rsidRDefault="006A7F4A" w:rsidP="0088065D">
      <w:pPr>
        <w:pStyle w:val="SingleTxtGC"/>
        <w:rPr>
          <w:rFonts w:ascii="SimHei" w:eastAsia="SimHei" w:hAnsi="SimHei"/>
        </w:rPr>
      </w:pPr>
      <w:r>
        <w:rPr>
          <w:rFonts w:hint="eastAsia"/>
        </w:rPr>
        <w:tab/>
      </w:r>
      <w:r w:rsidR="0088065D">
        <w:rPr>
          <w:rFonts w:hint="eastAsia"/>
        </w:rPr>
        <w:t>(c)</w:t>
      </w:r>
      <w:r w:rsidR="0088065D">
        <w:rPr>
          <w:rFonts w:hint="eastAsia"/>
        </w:rPr>
        <w:tab/>
      </w:r>
      <w:r w:rsidR="0088065D" w:rsidRPr="006A7F4A">
        <w:rPr>
          <w:rFonts w:ascii="SimHei" w:eastAsia="SimHei" w:hAnsi="SimHei" w:hint="eastAsia"/>
        </w:rPr>
        <w:t>确保通过残疾妇女及女孩的代表组织，在直接影响她们的一切事项上制订、实施和评估方案与措施时与她们进行协商；</w:t>
      </w:r>
    </w:p>
    <w:p w:rsidR="0088065D" w:rsidRDefault="006A7F4A" w:rsidP="0088065D">
      <w:pPr>
        <w:pStyle w:val="SingleTxtGC"/>
      </w:pPr>
      <w:r>
        <w:rPr>
          <w:rFonts w:hint="eastAsia"/>
        </w:rPr>
        <w:tab/>
      </w:r>
      <w:r w:rsidR="0088065D">
        <w:rPr>
          <w:rFonts w:hint="eastAsia"/>
        </w:rPr>
        <w:t>(d)</w:t>
      </w:r>
      <w:r w:rsidR="0088065D">
        <w:rPr>
          <w:rFonts w:hint="eastAsia"/>
        </w:rPr>
        <w:tab/>
      </w:r>
      <w:r w:rsidR="0088065D" w:rsidRPr="006A7F4A">
        <w:rPr>
          <w:rFonts w:ascii="SimHei" w:eastAsia="SimHei" w:hAnsi="SimHei" w:hint="eastAsia"/>
        </w:rPr>
        <w:t>为残疾妇女的地位提高和就业以及促进关于性别平等的方案提供充足资源。</w:t>
      </w:r>
    </w:p>
    <w:p w:rsidR="0088065D" w:rsidRDefault="0088065D" w:rsidP="006A7F4A">
      <w:pPr>
        <w:pStyle w:val="H23GC"/>
      </w:pPr>
      <w:r>
        <w:rPr>
          <w:rFonts w:hint="eastAsia"/>
        </w:rPr>
        <w:tab/>
      </w:r>
      <w:r>
        <w:rPr>
          <w:rFonts w:hint="eastAsia"/>
        </w:rPr>
        <w:tab/>
      </w:r>
      <w:r>
        <w:rPr>
          <w:rFonts w:hint="eastAsia"/>
        </w:rPr>
        <w:t>残疾儿童</w:t>
      </w:r>
      <w:r>
        <w:rPr>
          <w:rFonts w:hint="eastAsia"/>
        </w:rPr>
        <w:t>(</w:t>
      </w:r>
      <w:r>
        <w:rPr>
          <w:rFonts w:hint="eastAsia"/>
        </w:rPr>
        <w:t>第七条</w:t>
      </w:r>
      <w:r>
        <w:rPr>
          <w:rFonts w:hint="eastAsia"/>
        </w:rPr>
        <w:t>)</w:t>
      </w:r>
    </w:p>
    <w:p w:rsidR="0088065D" w:rsidRDefault="0088065D" w:rsidP="0088065D">
      <w:pPr>
        <w:pStyle w:val="SingleTxtGC"/>
      </w:pPr>
      <w:r>
        <w:rPr>
          <w:rFonts w:hint="eastAsia"/>
        </w:rPr>
        <w:t xml:space="preserve">13.  </w:t>
      </w:r>
      <w:r>
        <w:rPr>
          <w:rFonts w:hint="eastAsia"/>
        </w:rPr>
        <w:t>委员会深感关切的是，生活在机构中的残疾儿童、尤其智障儿童数量很多，他们占机构中儿童的比例近</w:t>
      </w:r>
      <w:r>
        <w:rPr>
          <w:rFonts w:hint="eastAsia"/>
        </w:rPr>
        <w:t>80</w:t>
      </w:r>
      <w:r w:rsidR="006A4099">
        <w:rPr>
          <w:rFonts w:hint="eastAsia"/>
        </w:rPr>
        <w:t>%</w:t>
      </w:r>
      <w:r>
        <w:rPr>
          <w:rFonts w:hint="eastAsia"/>
        </w:rPr>
        <w:t>，以及有资料显示残疾儿童继续被安置在机构之中。委员会同样关注的是，尽管法律禁止在机构中安置</w:t>
      </w:r>
      <w:r>
        <w:rPr>
          <w:rFonts w:hint="eastAsia"/>
        </w:rPr>
        <w:t>3</w:t>
      </w:r>
      <w:r>
        <w:rPr>
          <w:rFonts w:hint="eastAsia"/>
        </w:rPr>
        <w:t>岁以下婴儿，但是残疾婴儿仍然被从产房直接送往机构之中。委员会还关注的是，尽管缔约国做出努力推广寄养，但是在社区服务的框架内为残疾儿童家庭提供的日托、家庭援助服务、住房保障以及辅导和治疗的程度仍然不足。缔约国似乎也未能在地方一级制定标准相同的高效、可持续和优质社区护理服务。</w:t>
      </w:r>
    </w:p>
    <w:p w:rsidR="0088065D" w:rsidRDefault="0088065D" w:rsidP="0088065D">
      <w:pPr>
        <w:pStyle w:val="SingleTxtGC"/>
      </w:pPr>
      <w:r>
        <w:rPr>
          <w:rFonts w:hint="eastAsia"/>
        </w:rPr>
        <w:t xml:space="preserve">14.  </w:t>
      </w:r>
      <w:r w:rsidRPr="006A7F4A">
        <w:rPr>
          <w:rFonts w:ascii="SimHei" w:eastAsia="SimHei" w:hAnsi="SimHei" w:hint="eastAsia"/>
        </w:rPr>
        <w:t>委员会敦促缔约国加大努力，取消对儿童、尤其是智力和/或心理残疾儿童的机构式安置，防止对</w:t>
      </w:r>
      <w:r>
        <w:rPr>
          <w:rFonts w:hint="eastAsia"/>
        </w:rPr>
        <w:t>3</w:t>
      </w:r>
      <w:r w:rsidRPr="006A7F4A">
        <w:rPr>
          <w:rFonts w:ascii="SimHei" w:eastAsia="SimHei" w:hAnsi="SimHei" w:hint="eastAsia"/>
        </w:rPr>
        <w:t>岁以下婴儿进行任何新的机构式安置，并且确保更有效地将男女儿童从机构中转移到家庭中。委员会建议缔约国在过渡期间为残疾儿童提供充分的幼儿干预措施和成长服务，为机构中的工作人员制订教育方案，并且为离开机构的儿童开发有实效的、以社区为基础的照料服务。</w:t>
      </w:r>
    </w:p>
    <w:p w:rsidR="0088065D" w:rsidRDefault="0088065D" w:rsidP="006A7F4A">
      <w:pPr>
        <w:pStyle w:val="H23GC"/>
      </w:pPr>
      <w:r>
        <w:rPr>
          <w:rFonts w:hint="eastAsia"/>
        </w:rPr>
        <w:tab/>
      </w:r>
      <w:r>
        <w:rPr>
          <w:rFonts w:hint="eastAsia"/>
        </w:rPr>
        <w:tab/>
      </w:r>
      <w:r>
        <w:rPr>
          <w:rFonts w:hint="eastAsia"/>
        </w:rPr>
        <w:t>提高认识</w:t>
      </w:r>
      <w:r>
        <w:rPr>
          <w:rFonts w:hint="eastAsia"/>
        </w:rPr>
        <w:t>(</w:t>
      </w:r>
      <w:r>
        <w:rPr>
          <w:rFonts w:hint="eastAsia"/>
        </w:rPr>
        <w:t>第八条</w:t>
      </w:r>
      <w:r>
        <w:rPr>
          <w:rFonts w:hint="eastAsia"/>
        </w:rPr>
        <w:t>)</w:t>
      </w:r>
    </w:p>
    <w:p w:rsidR="0088065D" w:rsidRDefault="0088065D" w:rsidP="0088065D">
      <w:pPr>
        <w:pStyle w:val="SingleTxtGC"/>
      </w:pPr>
      <w:r>
        <w:rPr>
          <w:rFonts w:hint="eastAsia"/>
        </w:rPr>
        <w:t xml:space="preserve">15.  </w:t>
      </w:r>
      <w:r>
        <w:rPr>
          <w:rFonts w:hint="eastAsia"/>
        </w:rPr>
        <w:t>委员会关注的是，尤其是在主流学校，没有既定做法来提高对残疾人的认识，并且没有机制消除严重的有害定见和普遍的歧视。</w:t>
      </w:r>
    </w:p>
    <w:p w:rsidR="0088065D" w:rsidRDefault="0088065D" w:rsidP="0088065D">
      <w:pPr>
        <w:pStyle w:val="SingleTxtGC"/>
      </w:pPr>
      <w:r>
        <w:rPr>
          <w:rFonts w:hint="eastAsia"/>
        </w:rPr>
        <w:t xml:space="preserve">16.  </w:t>
      </w:r>
      <w:r w:rsidRPr="006A7F4A">
        <w:rPr>
          <w:rFonts w:ascii="SimHei" w:eastAsia="SimHei" w:hAnsi="SimHei" w:hint="eastAsia"/>
        </w:rPr>
        <w:t>委员会鼓励缔约国在残疾人及其代表组织的参与下开展提高认识活动，侧重于残疾人的技能和天份，积极增进残疾人的正面形象。这些活动应当以一般民众、公务员和私营部门为对象并且采用无障碍的模式。</w:t>
      </w:r>
    </w:p>
    <w:p w:rsidR="0088065D" w:rsidRDefault="0088065D" w:rsidP="006A7F4A">
      <w:pPr>
        <w:pStyle w:val="H23GC"/>
      </w:pPr>
      <w:r>
        <w:rPr>
          <w:rFonts w:hint="eastAsia"/>
        </w:rPr>
        <w:tab/>
      </w:r>
      <w:r>
        <w:rPr>
          <w:rFonts w:hint="eastAsia"/>
        </w:rPr>
        <w:tab/>
      </w:r>
      <w:r>
        <w:rPr>
          <w:rFonts w:hint="eastAsia"/>
        </w:rPr>
        <w:t>无障碍</w:t>
      </w:r>
      <w:r>
        <w:rPr>
          <w:rFonts w:hint="eastAsia"/>
        </w:rPr>
        <w:t>(</w:t>
      </w:r>
      <w:r>
        <w:rPr>
          <w:rFonts w:hint="eastAsia"/>
        </w:rPr>
        <w:t>第九条</w:t>
      </w:r>
      <w:r>
        <w:rPr>
          <w:rFonts w:hint="eastAsia"/>
        </w:rPr>
        <w:t>)</w:t>
      </w:r>
    </w:p>
    <w:p w:rsidR="0088065D" w:rsidRDefault="0088065D" w:rsidP="0088065D">
      <w:pPr>
        <w:pStyle w:val="SingleTxtGC"/>
      </w:pPr>
      <w:r>
        <w:rPr>
          <w:rFonts w:hint="eastAsia"/>
        </w:rPr>
        <w:t xml:space="preserve">17.  </w:t>
      </w:r>
      <w:r>
        <w:rPr>
          <w:rFonts w:hint="eastAsia"/>
        </w:rPr>
        <w:t>委员会关注的是，缺乏全国性的无障碍战略或立法以及有效制裁违反行为的措施，而且缔约国的公共建筑、各机构和服务设施以及电子传媒服务的无障碍程度很低。</w:t>
      </w:r>
    </w:p>
    <w:p w:rsidR="0088065D" w:rsidRPr="006A7F4A" w:rsidRDefault="0088065D" w:rsidP="0088065D">
      <w:pPr>
        <w:pStyle w:val="SingleTxtGC"/>
        <w:rPr>
          <w:rFonts w:ascii="SimHei" w:eastAsia="SimHei" w:hAnsi="SimHei"/>
        </w:rPr>
      </w:pPr>
      <w:r>
        <w:rPr>
          <w:rFonts w:hint="eastAsia"/>
        </w:rPr>
        <w:t xml:space="preserve">18.  </w:t>
      </w:r>
      <w:r w:rsidRPr="006A7F4A">
        <w:rPr>
          <w:rFonts w:ascii="SimHei" w:eastAsia="SimHei" w:hAnsi="SimHei" w:hint="eastAsia"/>
        </w:rPr>
        <w:t>委员会建议缔约国，制定一项全面的、确保得到有效监测的无障碍计划以及一个为消除各种障碍设定基准的路线图；按照关于无障碍的第</w:t>
      </w:r>
      <w:r>
        <w:rPr>
          <w:rFonts w:hint="eastAsia"/>
        </w:rPr>
        <w:t>2</w:t>
      </w:r>
      <w:r w:rsidRPr="006A7F4A">
        <w:rPr>
          <w:rFonts w:ascii="SimHei" w:eastAsia="SimHei" w:hAnsi="SimHei" w:hint="eastAsia"/>
        </w:rPr>
        <w:t>号一般性意见</w:t>
      </w:r>
      <w:r>
        <w:rPr>
          <w:rFonts w:hint="eastAsia"/>
        </w:rPr>
        <w:lastRenderedPageBreak/>
        <w:t>(2014</w:t>
      </w:r>
      <w:r w:rsidRPr="006A7F4A">
        <w:rPr>
          <w:rFonts w:ascii="SimHei" w:eastAsia="SimHei" w:hAnsi="SimHei" w:hint="eastAsia"/>
        </w:rPr>
        <w:t>年</w:t>
      </w:r>
      <w:r>
        <w:rPr>
          <w:rFonts w:hint="eastAsia"/>
        </w:rPr>
        <w:t>)(</w:t>
      </w:r>
      <w:r w:rsidRPr="006A7F4A">
        <w:rPr>
          <w:rFonts w:ascii="SimHei" w:eastAsia="SimHei" w:hAnsi="SimHei" w:hint="eastAsia"/>
        </w:rPr>
        <w:t>第九条</w:t>
      </w:r>
      <w:r>
        <w:rPr>
          <w:rFonts w:hint="eastAsia"/>
        </w:rPr>
        <w:t>)</w:t>
      </w:r>
      <w:r>
        <w:rPr>
          <w:rFonts w:hint="eastAsia"/>
        </w:rPr>
        <w:t>，</w:t>
      </w:r>
      <w:r w:rsidRPr="006A7F4A">
        <w:rPr>
          <w:rFonts w:ascii="SimHei" w:eastAsia="SimHei" w:hAnsi="SimHei" w:hint="eastAsia"/>
        </w:rPr>
        <w:t>推广所有建筑物、公共服务设施和公共交通的通用设计以及无障碍的信息和社会传播媒介，尤其重视电子媒体。在这方面，委员会建议缔约国拨出足够的资源来监测无障碍标准的实施情况并且在全境范围内配备更新的国家数据库；针对违反行为制定可强制执行的、有效的劝诫性制裁措施；在媒体中更多地使用字幕和手语翻译；并且请残疾人组织参与这一进程。委员会还建议缔约国注意《公约》第九条与《可持续发展目标》的具体目标</w:t>
      </w:r>
      <w:r>
        <w:rPr>
          <w:rFonts w:hint="eastAsia"/>
        </w:rPr>
        <w:t>11.2</w:t>
      </w:r>
      <w:r w:rsidRPr="006A7F4A">
        <w:rPr>
          <w:rFonts w:ascii="SimHei" w:eastAsia="SimHei" w:hAnsi="SimHei" w:hint="eastAsia"/>
        </w:rPr>
        <w:t>和</w:t>
      </w:r>
      <w:r>
        <w:rPr>
          <w:rFonts w:hint="eastAsia"/>
        </w:rPr>
        <w:t>11.7</w:t>
      </w:r>
      <w:r w:rsidRPr="006A7F4A">
        <w:rPr>
          <w:rFonts w:ascii="SimHei" w:eastAsia="SimHei" w:hAnsi="SimHei" w:hint="eastAsia"/>
        </w:rPr>
        <w:t>之间的联系。</w:t>
      </w:r>
    </w:p>
    <w:p w:rsidR="0088065D" w:rsidRDefault="006A7F4A" w:rsidP="006A7F4A">
      <w:pPr>
        <w:pStyle w:val="H23GC"/>
      </w:pPr>
      <w:r>
        <w:rPr>
          <w:rFonts w:hint="eastAsia"/>
        </w:rPr>
        <w:tab/>
      </w:r>
      <w:r>
        <w:rPr>
          <w:rFonts w:hint="eastAsia"/>
        </w:rPr>
        <w:tab/>
      </w:r>
      <w:r w:rsidR="0088065D">
        <w:rPr>
          <w:rFonts w:hint="eastAsia"/>
        </w:rPr>
        <w:t>危难情况和人道主义紧急情况</w:t>
      </w:r>
      <w:r w:rsidR="0088065D">
        <w:rPr>
          <w:rFonts w:hint="eastAsia"/>
        </w:rPr>
        <w:t>(</w:t>
      </w:r>
      <w:r w:rsidR="0088065D">
        <w:rPr>
          <w:rFonts w:hint="eastAsia"/>
        </w:rPr>
        <w:t>第十一条</w:t>
      </w:r>
      <w:r w:rsidR="0088065D">
        <w:rPr>
          <w:rFonts w:hint="eastAsia"/>
        </w:rPr>
        <w:t>)</w:t>
      </w:r>
    </w:p>
    <w:p w:rsidR="0088065D" w:rsidRDefault="0088065D" w:rsidP="0088065D">
      <w:pPr>
        <w:pStyle w:val="SingleTxtGC"/>
      </w:pPr>
      <w:r>
        <w:rPr>
          <w:rFonts w:hint="eastAsia"/>
        </w:rPr>
        <w:t xml:space="preserve">19.  </w:t>
      </w:r>
      <w:r>
        <w:rPr>
          <w:rFonts w:hint="eastAsia"/>
        </w:rPr>
        <w:t>委员会关注的是，缺少在危急情况和人道主义紧急情况下保护和协助残疾人的总体战略、计划、方案和手段。委员会尤其关注的是，残疾人无法了解疏散计划和后续重建计划以及无法平等地获取信息，特别是从大众媒体方面。没有以无障碍模式提供的应急手册。</w:t>
      </w:r>
    </w:p>
    <w:p w:rsidR="0088065D" w:rsidRPr="006A7F4A" w:rsidRDefault="0088065D" w:rsidP="0088065D">
      <w:pPr>
        <w:pStyle w:val="SingleTxtGC"/>
        <w:rPr>
          <w:rFonts w:ascii="SimHei" w:eastAsia="SimHei" w:hAnsi="SimHei"/>
        </w:rPr>
      </w:pPr>
      <w:r>
        <w:rPr>
          <w:rFonts w:hint="eastAsia"/>
        </w:rPr>
        <w:t xml:space="preserve">20.  </w:t>
      </w:r>
      <w:r w:rsidRPr="006A7F4A">
        <w:rPr>
          <w:rFonts w:ascii="SimHei" w:eastAsia="SimHei" w:hAnsi="SimHei" w:hint="eastAsia"/>
        </w:rPr>
        <w:t>委员会鼓励缔约国采取完全无障碍的全面应急战略、规程和便利的信息服务(比如热线电话、预警短信以及手语和盲文手册)，充分满足残疾人的要求，特别是在他们需要得到疏散的情况下。应当就通过大众媒体提供的信息采取进一步措施，以确保聋人和耳背者获取信息并且落实《仙台减少灾害风险框架</w:t>
      </w:r>
      <w:r>
        <w:rPr>
          <w:rFonts w:hint="eastAsia"/>
        </w:rPr>
        <w:t>2015</w:t>
      </w:r>
      <w:r w:rsidRPr="006A7F4A">
        <w:rPr>
          <w:rFonts w:ascii="SimHei" w:eastAsia="SimHei" w:hAnsi="SimHei" w:hint="eastAsia"/>
        </w:rPr>
        <w:t>年</w:t>
      </w:r>
      <w:r w:rsidR="006A7F4A">
        <w:rPr>
          <w:rFonts w:hint="eastAsia"/>
        </w:rPr>
        <w:t>-</w:t>
      </w:r>
      <w:r>
        <w:rPr>
          <w:rFonts w:hint="eastAsia"/>
        </w:rPr>
        <w:t>2030</w:t>
      </w:r>
      <w:r w:rsidRPr="006A7F4A">
        <w:rPr>
          <w:rFonts w:ascii="SimHei" w:eastAsia="SimHei" w:hAnsi="SimHei" w:hint="eastAsia"/>
        </w:rPr>
        <w:t>年》。也应在规划和实施重建方案时考虑到残疾人的需求，包括无障碍标准和通用设计。</w:t>
      </w:r>
    </w:p>
    <w:p w:rsidR="0088065D" w:rsidRDefault="0088065D" w:rsidP="006A7F4A">
      <w:pPr>
        <w:pStyle w:val="H23GC"/>
      </w:pPr>
      <w:r>
        <w:rPr>
          <w:rFonts w:hint="eastAsia"/>
        </w:rPr>
        <w:tab/>
      </w:r>
      <w:r>
        <w:rPr>
          <w:rFonts w:hint="eastAsia"/>
        </w:rPr>
        <w:tab/>
      </w:r>
      <w:r>
        <w:rPr>
          <w:rFonts w:hint="eastAsia"/>
        </w:rPr>
        <w:t>在法律面前获得平等承认</w:t>
      </w:r>
      <w:r>
        <w:rPr>
          <w:rFonts w:hint="eastAsia"/>
        </w:rPr>
        <w:t>(</w:t>
      </w:r>
      <w:r>
        <w:rPr>
          <w:rFonts w:hint="eastAsia"/>
        </w:rPr>
        <w:t>第十二条</w:t>
      </w:r>
      <w:r>
        <w:rPr>
          <w:rFonts w:hint="eastAsia"/>
        </w:rPr>
        <w:t>)</w:t>
      </w:r>
    </w:p>
    <w:p w:rsidR="0088065D" w:rsidRDefault="0088065D" w:rsidP="0088065D">
      <w:pPr>
        <w:pStyle w:val="SingleTxtGC"/>
      </w:pPr>
      <w:r>
        <w:rPr>
          <w:rFonts w:hint="eastAsia"/>
        </w:rPr>
        <w:t xml:space="preserve">21.  </w:t>
      </w:r>
      <w:r>
        <w:rPr>
          <w:rFonts w:hint="eastAsia"/>
        </w:rPr>
        <w:t>委员会关注的是，缔约国关于无行为能力和监护的制度违反《公约》和委员会关于在法律面前获得平等承认的第</w:t>
      </w:r>
      <w:r>
        <w:rPr>
          <w:rFonts w:hint="eastAsia"/>
        </w:rPr>
        <w:t>1</w:t>
      </w:r>
      <w:r>
        <w:rPr>
          <w:rFonts w:hint="eastAsia"/>
        </w:rPr>
        <w:t>号一般性意见</w:t>
      </w:r>
      <w:r>
        <w:rPr>
          <w:rFonts w:hint="eastAsia"/>
        </w:rPr>
        <w:t>(2014</w:t>
      </w:r>
      <w:r>
        <w:rPr>
          <w:rFonts w:hint="eastAsia"/>
        </w:rPr>
        <w:t>年</w:t>
      </w:r>
      <w:r>
        <w:rPr>
          <w:rFonts w:hint="eastAsia"/>
        </w:rPr>
        <w:t>)</w:t>
      </w:r>
      <w:r>
        <w:rPr>
          <w:rFonts w:hint="eastAsia"/>
        </w:rPr>
        <w:t>。委员会还对缺乏透明的有效保障和补救措施表示关注。委员会尤其对残疾人的结婚和投票权受到剥夺表示关注。</w:t>
      </w:r>
    </w:p>
    <w:p w:rsidR="0088065D" w:rsidRPr="006A7F4A" w:rsidRDefault="0088065D" w:rsidP="0088065D">
      <w:pPr>
        <w:pStyle w:val="SingleTxtGC"/>
        <w:rPr>
          <w:rFonts w:ascii="SimHei" w:eastAsia="SimHei" w:hAnsi="SimHei"/>
        </w:rPr>
      </w:pPr>
      <w:r>
        <w:rPr>
          <w:rFonts w:hint="eastAsia"/>
        </w:rPr>
        <w:t xml:space="preserve">22.  </w:t>
      </w:r>
      <w:r w:rsidRPr="006A7F4A">
        <w:rPr>
          <w:rFonts w:ascii="SimHei" w:eastAsia="SimHei" w:hAnsi="SimHei" w:hint="eastAsia"/>
        </w:rPr>
        <w:t>委员会建议缔约国按照《公约》修正立法，采取尊重个人自主、意愿和偏爱的辅助式决定方法，取消替代式决定方法，并且制订透明度标准。委员会还建议缔约国与残疾人及其代表组织和监察员协商与合作，对国家、区域和地方各级的所有行为者，包括公务员、法官和社会工作者开展关于承认残疾人法律行为能力和辅助式决定良好做法的培训。</w:t>
      </w:r>
    </w:p>
    <w:p w:rsidR="0088065D" w:rsidRDefault="0088065D" w:rsidP="006A7F4A">
      <w:pPr>
        <w:pStyle w:val="H23GC"/>
      </w:pPr>
      <w:r>
        <w:rPr>
          <w:rFonts w:hint="eastAsia"/>
        </w:rPr>
        <w:tab/>
      </w:r>
      <w:r>
        <w:rPr>
          <w:rFonts w:hint="eastAsia"/>
        </w:rPr>
        <w:tab/>
      </w:r>
      <w:r>
        <w:rPr>
          <w:rFonts w:hint="eastAsia"/>
        </w:rPr>
        <w:t>获得司法保护</w:t>
      </w:r>
      <w:r>
        <w:rPr>
          <w:rFonts w:hint="eastAsia"/>
        </w:rPr>
        <w:t>(</w:t>
      </w:r>
      <w:r>
        <w:rPr>
          <w:rFonts w:hint="eastAsia"/>
        </w:rPr>
        <w:t>第十三条</w:t>
      </w:r>
      <w:r>
        <w:rPr>
          <w:rFonts w:hint="eastAsia"/>
        </w:rPr>
        <w:t>)</w:t>
      </w:r>
    </w:p>
    <w:p w:rsidR="0088065D" w:rsidRDefault="0088065D" w:rsidP="0088065D">
      <w:pPr>
        <w:pStyle w:val="SingleTxtGC"/>
      </w:pPr>
      <w:r>
        <w:rPr>
          <w:rFonts w:hint="eastAsia"/>
        </w:rPr>
        <w:t xml:space="preserve">23.  </w:t>
      </w:r>
      <w:r>
        <w:rPr>
          <w:rFonts w:hint="eastAsia"/>
        </w:rPr>
        <w:t>委员会关注的是，没有资料说明有何具体措施和规程在司法诉讼中、特别是在民事案件中提供程序上的、与性别和年龄相适的便利，包括为聋人提供手语翻译以及为聋盲人、智力残疾人和和心理残疾人提供无障碍的沟通模式。委员会还关注的是，残疾妇女无法依据《刑法》第</w:t>
      </w:r>
      <w:r>
        <w:rPr>
          <w:rFonts w:hint="eastAsia"/>
        </w:rPr>
        <w:t>178</w:t>
      </w:r>
      <w:r>
        <w:rPr>
          <w:rFonts w:hint="eastAsia"/>
        </w:rPr>
        <w:t>和</w:t>
      </w:r>
      <w:r>
        <w:rPr>
          <w:rFonts w:hint="eastAsia"/>
        </w:rPr>
        <w:t>179</w:t>
      </w:r>
      <w:r>
        <w:rPr>
          <w:rFonts w:hint="eastAsia"/>
        </w:rPr>
        <w:t>条得到与其他人平等的、免遭性暴力侵犯的保护。</w:t>
      </w:r>
    </w:p>
    <w:p w:rsidR="0088065D" w:rsidRPr="006A7F4A" w:rsidRDefault="0088065D" w:rsidP="0088065D">
      <w:pPr>
        <w:pStyle w:val="SingleTxtGC"/>
        <w:rPr>
          <w:rFonts w:ascii="SimHei" w:eastAsia="SimHei" w:hAnsi="SimHei"/>
        </w:rPr>
      </w:pPr>
      <w:r>
        <w:rPr>
          <w:rFonts w:hint="eastAsia"/>
        </w:rPr>
        <w:lastRenderedPageBreak/>
        <w:t xml:space="preserve">24.  </w:t>
      </w:r>
      <w:r w:rsidRPr="006A7F4A">
        <w:rPr>
          <w:rFonts w:ascii="SimHei" w:eastAsia="SimHei" w:hAnsi="SimHei" w:hint="eastAsia"/>
        </w:rPr>
        <w:t>委员会建议缔约国采取进一步措施，基于残疾人的自由选择和偏好而提供程序上和与年龄相适的便利，以确保他们无障碍和无歧视地享有司法保护，并且制订相关的标准。委员会建议缔约国采取措施，使聋人能够与其他人平等地诉诸民事诉讼。委员会建议缔约国审查《刑法》，以确保关于残疾人受害者的诉讼、制裁和赔偿与《公约》相符。</w:t>
      </w:r>
    </w:p>
    <w:p w:rsidR="0088065D" w:rsidRDefault="0088065D" w:rsidP="006A7F4A">
      <w:pPr>
        <w:pStyle w:val="H23GC"/>
      </w:pPr>
      <w:r>
        <w:rPr>
          <w:rFonts w:hint="eastAsia"/>
        </w:rPr>
        <w:tab/>
      </w:r>
      <w:r>
        <w:rPr>
          <w:rFonts w:hint="eastAsia"/>
        </w:rPr>
        <w:tab/>
      </w:r>
      <w:r>
        <w:rPr>
          <w:rFonts w:hint="eastAsia"/>
        </w:rPr>
        <w:t>自由和人身安全</w:t>
      </w:r>
      <w:r>
        <w:rPr>
          <w:rFonts w:hint="eastAsia"/>
        </w:rPr>
        <w:t>(</w:t>
      </w:r>
      <w:r>
        <w:rPr>
          <w:rFonts w:hint="eastAsia"/>
        </w:rPr>
        <w:t>第十四条</w:t>
      </w:r>
      <w:r>
        <w:rPr>
          <w:rFonts w:hint="eastAsia"/>
        </w:rPr>
        <w:t>)</w:t>
      </w:r>
    </w:p>
    <w:p w:rsidR="0088065D" w:rsidRDefault="0088065D" w:rsidP="0088065D">
      <w:pPr>
        <w:pStyle w:val="SingleTxtGC"/>
      </w:pPr>
      <w:r>
        <w:rPr>
          <w:rFonts w:hint="eastAsia"/>
        </w:rPr>
        <w:t xml:space="preserve">25.  </w:t>
      </w:r>
      <w:r>
        <w:rPr>
          <w:rFonts w:hint="eastAsia"/>
        </w:rPr>
        <w:t>委员会关注的是，《保护精神残疾人法》允许以残障为由剥夺自由，进行非自愿性住院治疗，以及对智力和</w:t>
      </w:r>
      <w:r>
        <w:rPr>
          <w:rFonts w:hint="eastAsia"/>
        </w:rPr>
        <w:t>/</w:t>
      </w:r>
      <w:r>
        <w:rPr>
          <w:rFonts w:hint="eastAsia"/>
        </w:rPr>
        <w:t>或心理残疾的儿童和成年人实施强迫性的机构式安置。</w:t>
      </w:r>
    </w:p>
    <w:p w:rsidR="0088065D" w:rsidRPr="006A7F4A" w:rsidRDefault="0088065D" w:rsidP="0088065D">
      <w:pPr>
        <w:pStyle w:val="SingleTxtGC"/>
        <w:rPr>
          <w:rFonts w:ascii="SimHei" w:eastAsia="SimHei" w:hAnsi="SimHei"/>
        </w:rPr>
      </w:pPr>
      <w:r>
        <w:rPr>
          <w:rFonts w:hint="eastAsia"/>
        </w:rPr>
        <w:t xml:space="preserve">26.  </w:t>
      </w:r>
      <w:r w:rsidRPr="006A7F4A">
        <w:rPr>
          <w:rFonts w:ascii="SimHei" w:eastAsia="SimHei" w:hAnsi="SimHei" w:hint="eastAsia"/>
        </w:rPr>
        <w:t>委员会敦促缔约国废除法律、包括《保护精神病残疾人法》，禁止以残障为由拘留残疾儿童和成年人，包括进行非自愿性住院治疗和强制性机构式安置，并且确保这方面的所有相关立法和政策符合委员会关于第十四条的准则所解释的《公约》规定。缔约国还应与残疾人组织协商，加快取消机构式安置，并且发展社区中的支助服务。</w:t>
      </w:r>
    </w:p>
    <w:p w:rsidR="0088065D" w:rsidRDefault="0088065D" w:rsidP="006A7F4A">
      <w:pPr>
        <w:pStyle w:val="H23GC"/>
      </w:pPr>
      <w:r>
        <w:rPr>
          <w:rFonts w:hint="eastAsia"/>
        </w:rPr>
        <w:tab/>
      </w:r>
      <w:r>
        <w:rPr>
          <w:rFonts w:hint="eastAsia"/>
        </w:rPr>
        <w:tab/>
      </w:r>
      <w:r>
        <w:rPr>
          <w:rFonts w:hint="eastAsia"/>
        </w:rPr>
        <w:t>免于酷刑或残忍、不人道或有辱人格的待遇或处罚</w:t>
      </w:r>
      <w:r>
        <w:rPr>
          <w:rFonts w:hint="eastAsia"/>
        </w:rPr>
        <w:t>(</w:t>
      </w:r>
      <w:r>
        <w:rPr>
          <w:rFonts w:hint="eastAsia"/>
        </w:rPr>
        <w:t>第十五条</w:t>
      </w:r>
      <w:r>
        <w:rPr>
          <w:rFonts w:hint="eastAsia"/>
        </w:rPr>
        <w:t>)</w:t>
      </w:r>
    </w:p>
    <w:p w:rsidR="0088065D" w:rsidRDefault="0088065D" w:rsidP="0088065D">
      <w:pPr>
        <w:pStyle w:val="SingleTxtGC"/>
      </w:pPr>
      <w:r>
        <w:rPr>
          <w:rFonts w:hint="eastAsia"/>
        </w:rPr>
        <w:t xml:space="preserve">27.  </w:t>
      </w:r>
      <w:r>
        <w:rPr>
          <w:rFonts w:hint="eastAsia"/>
        </w:rPr>
        <w:t>委员会关注的是，尽管国家防止酷刑机制提出了报告和建议，但是有报道称，存在着使用强制措施、包括物理和化学手段的约束，过度使用抗精神病药物，对心理和</w:t>
      </w:r>
      <w:r>
        <w:rPr>
          <w:rFonts w:hint="eastAsia"/>
        </w:rPr>
        <w:t>/</w:t>
      </w:r>
      <w:r>
        <w:rPr>
          <w:rFonts w:hint="eastAsia"/>
        </w:rPr>
        <w:t>或智力残疾的成年人和儿童进行长期隔离的行为；这些都被视为残忍、不人道或有辱人格的待遇。</w:t>
      </w:r>
    </w:p>
    <w:p w:rsidR="0088065D" w:rsidRPr="006A7F4A" w:rsidRDefault="0088065D" w:rsidP="0088065D">
      <w:pPr>
        <w:pStyle w:val="SingleTxtGC"/>
        <w:rPr>
          <w:rFonts w:ascii="SimHei" w:eastAsia="SimHei" w:hAnsi="SimHei"/>
        </w:rPr>
      </w:pPr>
      <w:r>
        <w:rPr>
          <w:rFonts w:hint="eastAsia"/>
        </w:rPr>
        <w:t xml:space="preserve">28.  </w:t>
      </w:r>
      <w:r w:rsidRPr="006A7F4A">
        <w:rPr>
          <w:rFonts w:ascii="SimHei" w:eastAsia="SimHei" w:hAnsi="SimHei" w:hint="eastAsia"/>
        </w:rPr>
        <w:t>委员会敦促缔约国根据国家防止酷刑机制的建议，禁止所有形式的，被视为残忍、不人道或有辱人格的待遇的，对残疾成年人和儿童的强制治疗，包括物理和化学手段的约束、过度使用抗精神病药物以及隔离。委员会呼吁缔约国针对所报道的这类待遇的案件发起行政和刑事调查，以确定相关的职责。</w:t>
      </w:r>
    </w:p>
    <w:p w:rsidR="0088065D" w:rsidRDefault="0088065D" w:rsidP="006A7F4A">
      <w:pPr>
        <w:pStyle w:val="H23GC"/>
      </w:pPr>
      <w:r>
        <w:rPr>
          <w:rFonts w:hint="eastAsia"/>
        </w:rPr>
        <w:tab/>
      </w:r>
      <w:r>
        <w:rPr>
          <w:rFonts w:hint="eastAsia"/>
        </w:rPr>
        <w:tab/>
      </w:r>
      <w:r>
        <w:rPr>
          <w:rFonts w:hint="eastAsia"/>
        </w:rPr>
        <w:t>免于剥削、暴力和凌虐</w:t>
      </w:r>
      <w:r>
        <w:rPr>
          <w:rFonts w:hint="eastAsia"/>
        </w:rPr>
        <w:t>(</w:t>
      </w:r>
      <w:r>
        <w:rPr>
          <w:rFonts w:hint="eastAsia"/>
        </w:rPr>
        <w:t>第十六条</w:t>
      </w:r>
      <w:r>
        <w:rPr>
          <w:rFonts w:hint="eastAsia"/>
        </w:rPr>
        <w:t>)</w:t>
      </w:r>
    </w:p>
    <w:p w:rsidR="0088065D" w:rsidRDefault="0088065D" w:rsidP="0088065D">
      <w:pPr>
        <w:pStyle w:val="SingleTxtGC"/>
      </w:pPr>
      <w:r>
        <w:rPr>
          <w:rFonts w:hint="eastAsia"/>
        </w:rPr>
        <w:t xml:space="preserve">29.  </w:t>
      </w:r>
      <w:r>
        <w:rPr>
          <w:rFonts w:hint="eastAsia"/>
        </w:rPr>
        <w:t>委员会关注的是，缺乏有效的措施在所有场合防止残疾人、特别是残疾妇女遭受暴力侵犯以及防止残疾儿童遭受性暴力侵犯，并且没有惩治罪犯的投诉机制和法律补救办法。</w:t>
      </w:r>
    </w:p>
    <w:p w:rsidR="0088065D" w:rsidRPr="006A7F4A" w:rsidRDefault="0088065D" w:rsidP="0088065D">
      <w:pPr>
        <w:pStyle w:val="SingleTxtGC"/>
        <w:rPr>
          <w:rFonts w:ascii="SimHei" w:eastAsia="SimHei" w:hAnsi="SimHei"/>
        </w:rPr>
      </w:pPr>
      <w:r>
        <w:rPr>
          <w:rFonts w:hint="eastAsia"/>
        </w:rPr>
        <w:t xml:space="preserve">30.  </w:t>
      </w:r>
      <w:r w:rsidRPr="006A7F4A">
        <w:rPr>
          <w:rFonts w:ascii="SimHei" w:eastAsia="SimHei" w:hAnsi="SimHei" w:hint="eastAsia"/>
        </w:rPr>
        <w:t>委员会建议缔约国确保设立无障碍的有效独立监督机制和透明的申诉程序，并且制定培训计划以防止残疾人遭受暴力侵犯和虐待。</w:t>
      </w:r>
    </w:p>
    <w:p w:rsidR="0088065D" w:rsidRDefault="0088065D" w:rsidP="0088065D">
      <w:pPr>
        <w:pStyle w:val="SingleTxtGC"/>
      </w:pPr>
      <w:r>
        <w:rPr>
          <w:rFonts w:hint="eastAsia"/>
        </w:rPr>
        <w:t xml:space="preserve">31.  </w:t>
      </w:r>
      <w:r>
        <w:rPr>
          <w:rFonts w:hint="eastAsia"/>
        </w:rPr>
        <w:t>委员会关注的是，有报告称，残疾人机构中的生活条件极差。委员会特别感到不安的是，机构中的残疾人、特别是残疾儿童受到虐待和忽视，并且与其他的儿童和自己家人缺乏接触和社会互动。</w:t>
      </w:r>
    </w:p>
    <w:p w:rsidR="0088065D" w:rsidRPr="006A7F4A" w:rsidRDefault="0088065D" w:rsidP="0088065D">
      <w:pPr>
        <w:pStyle w:val="SingleTxtGC"/>
        <w:rPr>
          <w:rFonts w:ascii="SimHei" w:eastAsia="SimHei" w:hAnsi="SimHei"/>
        </w:rPr>
      </w:pPr>
      <w:r>
        <w:rPr>
          <w:rFonts w:hint="eastAsia"/>
        </w:rPr>
        <w:t xml:space="preserve">32.  </w:t>
      </w:r>
      <w:r w:rsidRPr="006A7F4A">
        <w:rPr>
          <w:rFonts w:ascii="SimHei" w:eastAsia="SimHei" w:hAnsi="SimHei" w:hint="eastAsia"/>
        </w:rPr>
        <w:t>委员会建议缔约国保护残疾成年人和儿童在所有的机构中免受任何形式的暴力、凌虐和虐待。</w:t>
      </w:r>
    </w:p>
    <w:p w:rsidR="0088065D" w:rsidRDefault="0088065D" w:rsidP="006A7F4A">
      <w:pPr>
        <w:pStyle w:val="H23GC"/>
      </w:pPr>
      <w:r>
        <w:rPr>
          <w:rFonts w:hint="eastAsia"/>
        </w:rPr>
        <w:lastRenderedPageBreak/>
        <w:tab/>
      </w:r>
      <w:r>
        <w:rPr>
          <w:rFonts w:hint="eastAsia"/>
        </w:rPr>
        <w:tab/>
      </w:r>
      <w:r>
        <w:rPr>
          <w:rFonts w:hint="eastAsia"/>
        </w:rPr>
        <w:t>保护人身完整性</w:t>
      </w:r>
      <w:r>
        <w:rPr>
          <w:rFonts w:hint="eastAsia"/>
        </w:rPr>
        <w:t>(</w:t>
      </w:r>
      <w:r>
        <w:rPr>
          <w:rFonts w:hint="eastAsia"/>
        </w:rPr>
        <w:t>第十七条</w:t>
      </w:r>
      <w:r>
        <w:rPr>
          <w:rFonts w:hint="eastAsia"/>
        </w:rPr>
        <w:t>)</w:t>
      </w:r>
    </w:p>
    <w:p w:rsidR="0088065D" w:rsidRDefault="0088065D" w:rsidP="0088065D">
      <w:pPr>
        <w:pStyle w:val="SingleTxtGC"/>
      </w:pPr>
      <w:r>
        <w:rPr>
          <w:rFonts w:hint="eastAsia"/>
        </w:rPr>
        <w:t xml:space="preserve">33.  </w:t>
      </w:r>
      <w:r>
        <w:rPr>
          <w:rFonts w:hint="eastAsia"/>
        </w:rPr>
        <w:t>委员会关注的是，法定监护人可以不经残疾人的自由和知情同意而授权采取医疗干预措施，包括绝育。</w:t>
      </w:r>
    </w:p>
    <w:p w:rsidR="0088065D" w:rsidRDefault="0088065D" w:rsidP="0088065D">
      <w:pPr>
        <w:pStyle w:val="SingleTxtGC"/>
      </w:pPr>
      <w:r>
        <w:rPr>
          <w:rFonts w:hint="eastAsia"/>
        </w:rPr>
        <w:t xml:space="preserve">34.  </w:t>
      </w:r>
      <w:r w:rsidRPr="006A7F4A">
        <w:rPr>
          <w:rFonts w:ascii="SimHei" w:eastAsia="SimHei" w:hAnsi="SimHei" w:hint="eastAsia"/>
        </w:rPr>
        <w:t>委员会建议缔约国禁止不经残疾人事先同意而采取医疗干预措施，并且对遭遇这种措施的人提供充分的补救和赔偿。</w:t>
      </w:r>
    </w:p>
    <w:p w:rsidR="0088065D" w:rsidRDefault="0088065D" w:rsidP="0088065D">
      <w:pPr>
        <w:pStyle w:val="SingleTxtGC"/>
      </w:pPr>
      <w:r>
        <w:rPr>
          <w:rFonts w:hint="eastAsia"/>
        </w:rPr>
        <w:t xml:space="preserve">35.  </w:t>
      </w:r>
      <w:r>
        <w:rPr>
          <w:rFonts w:hint="eastAsia"/>
        </w:rPr>
        <w:t>委员会深切关注的是，有报告表明，在缔约国经常使用身体约束、隔离和过度的抗精神病药物治疗，包括对儿童。</w:t>
      </w:r>
    </w:p>
    <w:p w:rsidR="0088065D" w:rsidRPr="006A7F4A" w:rsidRDefault="0088065D" w:rsidP="0088065D">
      <w:pPr>
        <w:pStyle w:val="SingleTxtGC"/>
        <w:rPr>
          <w:rFonts w:ascii="SimHei" w:eastAsia="SimHei" w:hAnsi="SimHei"/>
        </w:rPr>
      </w:pPr>
      <w:r>
        <w:rPr>
          <w:rFonts w:hint="eastAsia"/>
        </w:rPr>
        <w:t xml:space="preserve">36.  </w:t>
      </w:r>
      <w:r w:rsidRPr="006A7F4A">
        <w:rPr>
          <w:rFonts w:ascii="SimHei" w:eastAsia="SimHei" w:hAnsi="SimHei" w:hint="eastAsia"/>
        </w:rPr>
        <w:t>委员会建议缔约国调查所有未经自由和知情同意的强迫干预案件，提供保护和补救机制并且适用现行的制裁措施。</w:t>
      </w:r>
    </w:p>
    <w:p w:rsidR="0088065D" w:rsidRDefault="0088065D" w:rsidP="0088065D">
      <w:pPr>
        <w:pStyle w:val="SingleTxtGC"/>
      </w:pPr>
      <w:r>
        <w:rPr>
          <w:rFonts w:hint="eastAsia"/>
        </w:rPr>
        <w:t xml:space="preserve">37.  </w:t>
      </w:r>
      <w:r>
        <w:rPr>
          <w:rFonts w:hint="eastAsia"/>
        </w:rPr>
        <w:t>委员会关注的是，残疾人、特别是被宣告无法律行为能力的人仍然遭受有违自己意愿的避孕、堕胎、绝育、科研、电休克治疗和精神外科手术。</w:t>
      </w:r>
    </w:p>
    <w:p w:rsidR="0088065D" w:rsidRPr="006A7F4A" w:rsidRDefault="0088065D" w:rsidP="0088065D">
      <w:pPr>
        <w:pStyle w:val="SingleTxtGC"/>
        <w:rPr>
          <w:rFonts w:ascii="SimHei" w:eastAsia="SimHei" w:hAnsi="SimHei"/>
        </w:rPr>
      </w:pPr>
      <w:r>
        <w:rPr>
          <w:rFonts w:hint="eastAsia"/>
        </w:rPr>
        <w:t xml:space="preserve">38.  </w:t>
      </w:r>
      <w:r w:rsidRPr="006A7F4A">
        <w:rPr>
          <w:rFonts w:ascii="SimHei" w:eastAsia="SimHei" w:hAnsi="SimHei" w:hint="eastAsia"/>
        </w:rPr>
        <w:t>委员会建议缔约国采取一切必要措施，保障残疾人对可能影响自己的任何形式治疗都拥有自由、事先和知情的同意权利，不管其法律行为能力如何。委员会还建议缔约国在必要情况下为残疾人的决策制度提供支持。</w:t>
      </w:r>
    </w:p>
    <w:p w:rsidR="0088065D" w:rsidRDefault="0088065D" w:rsidP="006A7F4A">
      <w:pPr>
        <w:pStyle w:val="H23GC"/>
      </w:pPr>
      <w:r>
        <w:rPr>
          <w:rFonts w:hint="eastAsia"/>
        </w:rPr>
        <w:tab/>
      </w:r>
      <w:r>
        <w:rPr>
          <w:rFonts w:hint="eastAsia"/>
        </w:rPr>
        <w:tab/>
      </w:r>
      <w:r>
        <w:rPr>
          <w:rFonts w:hint="eastAsia"/>
        </w:rPr>
        <w:t>独立生活和融入社区</w:t>
      </w:r>
      <w:r>
        <w:rPr>
          <w:rFonts w:hint="eastAsia"/>
        </w:rPr>
        <w:t>(</w:t>
      </w:r>
      <w:r>
        <w:rPr>
          <w:rFonts w:hint="eastAsia"/>
        </w:rPr>
        <w:t>第十九条</w:t>
      </w:r>
      <w:r>
        <w:rPr>
          <w:rFonts w:hint="eastAsia"/>
        </w:rPr>
        <w:t>)</w:t>
      </w:r>
    </w:p>
    <w:p w:rsidR="0088065D" w:rsidRDefault="0088065D" w:rsidP="0088065D">
      <w:pPr>
        <w:pStyle w:val="SingleTxtGC"/>
      </w:pPr>
      <w:r>
        <w:rPr>
          <w:rFonts w:hint="eastAsia"/>
        </w:rPr>
        <w:t xml:space="preserve">39.  </w:t>
      </w:r>
      <w:r>
        <w:rPr>
          <w:rFonts w:hint="eastAsia"/>
        </w:rPr>
        <w:t>委员会关注的是，缔约国缺乏全面的取消机构式安置战略，机构式安置的残疾人数量居高不下，而且没有做出足够努力提供资源以在当地社区为离开机构的人开展支助性服务、尤其是个人协助服务。委员会还关注的是，缔约国仍然为翻新或扩展这些机构进行资源投资，而且残疾人组织的各种举措仍然面临很多障碍、包括过于复杂的许可程序。</w:t>
      </w:r>
    </w:p>
    <w:p w:rsidR="0088065D" w:rsidRPr="006A7F4A" w:rsidRDefault="0088065D" w:rsidP="0088065D">
      <w:pPr>
        <w:pStyle w:val="SingleTxtGC"/>
        <w:rPr>
          <w:rFonts w:ascii="SimHei" w:eastAsia="SimHei" w:hAnsi="SimHei"/>
        </w:rPr>
      </w:pPr>
      <w:r>
        <w:rPr>
          <w:rFonts w:hint="eastAsia"/>
        </w:rPr>
        <w:t xml:space="preserve">40.  </w:t>
      </w:r>
      <w:r w:rsidRPr="006A7F4A">
        <w:rPr>
          <w:rFonts w:ascii="SimHei" w:eastAsia="SimHei" w:hAnsi="SimHei" w:hint="eastAsia"/>
        </w:rPr>
        <w:t>委员会敦促缔约国采取综合性的战略和措施，以有效地取消机构式安置。委员会建议缔约国确保不为新的机构投资，并且分配资源以使所有残疾人都能够独立生活和根据自己的选择及偏好在社区内得到支助。委员会还建议缔约国消除各种障碍，让残疾人组织更好地参与开办以社区为基础的服务，特别是在城市一级。</w:t>
      </w:r>
    </w:p>
    <w:p w:rsidR="0088065D" w:rsidRDefault="0088065D" w:rsidP="006A7F4A">
      <w:pPr>
        <w:pStyle w:val="H23GC"/>
      </w:pPr>
      <w:r>
        <w:rPr>
          <w:rFonts w:hint="eastAsia"/>
        </w:rPr>
        <w:tab/>
      </w:r>
      <w:r>
        <w:rPr>
          <w:rFonts w:hint="eastAsia"/>
        </w:rPr>
        <w:tab/>
      </w:r>
      <w:r>
        <w:rPr>
          <w:rFonts w:hint="eastAsia"/>
        </w:rPr>
        <w:t>个人行动能力</w:t>
      </w:r>
      <w:r>
        <w:rPr>
          <w:rFonts w:hint="eastAsia"/>
        </w:rPr>
        <w:t>(</w:t>
      </w:r>
      <w:r>
        <w:rPr>
          <w:rFonts w:hint="eastAsia"/>
        </w:rPr>
        <w:t>第二十条</w:t>
      </w:r>
      <w:r>
        <w:rPr>
          <w:rFonts w:hint="eastAsia"/>
        </w:rPr>
        <w:t>)</w:t>
      </w:r>
    </w:p>
    <w:p w:rsidR="0088065D" w:rsidRDefault="0088065D" w:rsidP="0088065D">
      <w:pPr>
        <w:pStyle w:val="SingleTxtGC"/>
      </w:pPr>
      <w:r>
        <w:rPr>
          <w:rFonts w:hint="eastAsia"/>
        </w:rPr>
        <w:t xml:space="preserve">41.  </w:t>
      </w:r>
      <w:r>
        <w:rPr>
          <w:rFonts w:hint="eastAsia"/>
        </w:rPr>
        <w:t>委员会关注的是，使用手语的驾驶课程和考试依然数量有限，为聋人或耳背者参加驾驶课程所做的医疗评估规范不透明、适用不清。委员会还关注的是，尽管最近通过了《导盲犬协助法》</w:t>
      </w:r>
      <w:r>
        <w:rPr>
          <w:rFonts w:hint="eastAsia"/>
        </w:rPr>
        <w:t>(2015</w:t>
      </w:r>
      <w:r>
        <w:rPr>
          <w:rFonts w:hint="eastAsia"/>
        </w:rPr>
        <w:t>年</w:t>
      </w:r>
      <w:r>
        <w:rPr>
          <w:rFonts w:hint="eastAsia"/>
        </w:rPr>
        <w:t>)</w:t>
      </w:r>
      <w:r>
        <w:rPr>
          <w:rFonts w:hint="eastAsia"/>
        </w:rPr>
        <w:t>，但是没有为盲人或视觉不良者提供经训练的导盲犬，而且没有足够的导盲犬培训中心。</w:t>
      </w:r>
    </w:p>
    <w:p w:rsidR="0088065D" w:rsidRPr="006A7F4A" w:rsidRDefault="0088065D" w:rsidP="0088065D">
      <w:pPr>
        <w:pStyle w:val="SingleTxtGC"/>
        <w:rPr>
          <w:rFonts w:ascii="SimHei" w:eastAsia="SimHei" w:hAnsi="SimHei"/>
        </w:rPr>
      </w:pPr>
      <w:r>
        <w:rPr>
          <w:rFonts w:hint="eastAsia"/>
        </w:rPr>
        <w:t xml:space="preserve">42.  </w:t>
      </w:r>
      <w:r w:rsidRPr="006A7F4A">
        <w:rPr>
          <w:rFonts w:ascii="SimHei" w:eastAsia="SimHei" w:hAnsi="SimHei" w:hint="eastAsia"/>
        </w:rPr>
        <w:t>委员会敦促缔约国采取普遍适用的措施，为聋人和耳背者统一使用手语开课，并且避免他们因残障而无法获得驾驶执照。委员会建议缔约国加大努力，为盲人或视障者更好地提供经训练的导盲犬。</w:t>
      </w:r>
    </w:p>
    <w:p w:rsidR="0088065D" w:rsidRDefault="0088065D" w:rsidP="006A7F4A">
      <w:pPr>
        <w:pStyle w:val="H23GC"/>
      </w:pPr>
      <w:r>
        <w:rPr>
          <w:rFonts w:hint="eastAsia"/>
        </w:rPr>
        <w:lastRenderedPageBreak/>
        <w:tab/>
      </w:r>
      <w:r>
        <w:rPr>
          <w:rFonts w:hint="eastAsia"/>
        </w:rPr>
        <w:tab/>
      </w:r>
      <w:r>
        <w:rPr>
          <w:rFonts w:hint="eastAsia"/>
        </w:rPr>
        <w:t>表达意见的自由和获得信息的机会</w:t>
      </w:r>
      <w:r>
        <w:rPr>
          <w:rFonts w:hint="eastAsia"/>
        </w:rPr>
        <w:t>(</w:t>
      </w:r>
      <w:r>
        <w:rPr>
          <w:rFonts w:hint="eastAsia"/>
        </w:rPr>
        <w:t>第二十一条</w:t>
      </w:r>
      <w:r>
        <w:rPr>
          <w:rFonts w:hint="eastAsia"/>
        </w:rPr>
        <w:t>)</w:t>
      </w:r>
    </w:p>
    <w:p w:rsidR="0088065D" w:rsidRDefault="0088065D" w:rsidP="0088065D">
      <w:pPr>
        <w:pStyle w:val="SingleTxtGC"/>
      </w:pPr>
      <w:r>
        <w:rPr>
          <w:rFonts w:hint="eastAsia"/>
        </w:rPr>
        <w:t xml:space="preserve">43.  </w:t>
      </w:r>
      <w:r>
        <w:rPr>
          <w:rFonts w:hint="eastAsia"/>
        </w:rPr>
        <w:t>委员会关注的是，塞尔维亚尚未设立国家盲文主管当局以保证提供标准化的统一盲文代码，从而根据需要在教育、就业、信息和通信技术应用领域全面推广盲文的使用。</w:t>
      </w:r>
    </w:p>
    <w:p w:rsidR="0088065D" w:rsidRPr="006A7F4A" w:rsidRDefault="0088065D" w:rsidP="0088065D">
      <w:pPr>
        <w:pStyle w:val="SingleTxtGC"/>
        <w:rPr>
          <w:rFonts w:ascii="SimHei" w:eastAsia="SimHei" w:hAnsi="SimHei"/>
        </w:rPr>
      </w:pPr>
      <w:r>
        <w:rPr>
          <w:rFonts w:hint="eastAsia"/>
        </w:rPr>
        <w:t xml:space="preserve">44.  </w:t>
      </w:r>
      <w:r w:rsidRPr="006A7F4A">
        <w:rPr>
          <w:rFonts w:ascii="SimHei" w:eastAsia="SimHei" w:hAnsi="SimHei" w:hint="eastAsia"/>
        </w:rPr>
        <w:t>委员会建议缔约国采取必要措施，设立塞尔维亚国家盲文主管机构并且保证创建标准化的塞尔维亚盲文代码。</w:t>
      </w:r>
    </w:p>
    <w:p w:rsidR="0088065D" w:rsidRDefault="0088065D" w:rsidP="006A7F4A">
      <w:pPr>
        <w:pStyle w:val="H23GC"/>
      </w:pPr>
      <w:r>
        <w:rPr>
          <w:rFonts w:hint="eastAsia"/>
        </w:rPr>
        <w:tab/>
      </w:r>
      <w:r>
        <w:rPr>
          <w:rFonts w:hint="eastAsia"/>
        </w:rPr>
        <w:tab/>
      </w:r>
      <w:r>
        <w:rPr>
          <w:rFonts w:hint="eastAsia"/>
        </w:rPr>
        <w:t>尊重家居和家庭</w:t>
      </w:r>
      <w:r>
        <w:rPr>
          <w:rFonts w:hint="eastAsia"/>
        </w:rPr>
        <w:t>(</w:t>
      </w:r>
      <w:r>
        <w:rPr>
          <w:rFonts w:hint="eastAsia"/>
        </w:rPr>
        <w:t>第二十三条</w:t>
      </w:r>
      <w:r>
        <w:rPr>
          <w:rFonts w:hint="eastAsia"/>
        </w:rPr>
        <w:t>)</w:t>
      </w:r>
    </w:p>
    <w:p w:rsidR="0088065D" w:rsidRDefault="0088065D" w:rsidP="0088065D">
      <w:pPr>
        <w:pStyle w:val="SingleTxtGC"/>
      </w:pPr>
      <w:r>
        <w:rPr>
          <w:rFonts w:hint="eastAsia"/>
        </w:rPr>
        <w:t xml:space="preserve">45.  </w:t>
      </w:r>
      <w:r>
        <w:rPr>
          <w:rFonts w:hint="eastAsia"/>
        </w:rPr>
        <w:t>委员会深感关切的是，缔约国以残障为由将残疾妇女、特别是心理和智力残疾妇女与她们的子女分离。</w:t>
      </w:r>
    </w:p>
    <w:p w:rsidR="0088065D" w:rsidRPr="006A7F4A" w:rsidRDefault="0088065D" w:rsidP="0088065D">
      <w:pPr>
        <w:pStyle w:val="SingleTxtGC"/>
        <w:rPr>
          <w:rFonts w:ascii="SimHei" w:eastAsia="SimHei" w:hAnsi="SimHei"/>
        </w:rPr>
      </w:pPr>
      <w:r>
        <w:rPr>
          <w:rFonts w:hint="eastAsia"/>
        </w:rPr>
        <w:t xml:space="preserve">46.  </w:t>
      </w:r>
      <w:r w:rsidRPr="006A7F4A">
        <w:rPr>
          <w:rFonts w:ascii="SimHei" w:eastAsia="SimHei" w:hAnsi="SimHei" w:hint="eastAsia"/>
        </w:rPr>
        <w:t>委员会敦促缔约国审查关于以残障为由宣布残疾妇女不宜为母的程序，完全恢复她们拥有和组建家庭的权利，确保她们为实现这些权利获得必要的支持。</w:t>
      </w:r>
    </w:p>
    <w:p w:rsidR="0088065D" w:rsidRDefault="0088065D" w:rsidP="006A7F4A">
      <w:pPr>
        <w:pStyle w:val="H23GC"/>
      </w:pPr>
      <w:r>
        <w:rPr>
          <w:rFonts w:hint="eastAsia"/>
        </w:rPr>
        <w:tab/>
      </w:r>
      <w:r>
        <w:rPr>
          <w:rFonts w:hint="eastAsia"/>
        </w:rPr>
        <w:tab/>
      </w:r>
      <w:r>
        <w:rPr>
          <w:rFonts w:hint="eastAsia"/>
        </w:rPr>
        <w:t>教育</w:t>
      </w:r>
      <w:r>
        <w:rPr>
          <w:rFonts w:hint="eastAsia"/>
        </w:rPr>
        <w:t>(</w:t>
      </w:r>
      <w:r>
        <w:rPr>
          <w:rFonts w:hint="eastAsia"/>
        </w:rPr>
        <w:t>第二十四条</w:t>
      </w:r>
      <w:r>
        <w:rPr>
          <w:rFonts w:hint="eastAsia"/>
        </w:rPr>
        <w:t>)</w:t>
      </w:r>
    </w:p>
    <w:p w:rsidR="0088065D" w:rsidRDefault="0088065D" w:rsidP="0088065D">
      <w:pPr>
        <w:pStyle w:val="SingleTxtGC"/>
      </w:pPr>
      <w:r>
        <w:rPr>
          <w:rFonts w:hint="eastAsia"/>
        </w:rPr>
        <w:t xml:space="preserve">47.  </w:t>
      </w:r>
      <w:r>
        <w:rPr>
          <w:rFonts w:hint="eastAsia"/>
        </w:rPr>
        <w:t>委员会关注的是，超过一半生活在机构中的儿童没有上学并且几乎没有采取措施提供单独教育计划相关的标准和规范的透明措施以及相关的沟通技术和模式，从而确保残疾中小学生无障碍地获得各级教育。</w:t>
      </w:r>
    </w:p>
    <w:p w:rsidR="0088065D" w:rsidRPr="006A7F4A" w:rsidRDefault="0088065D" w:rsidP="0088065D">
      <w:pPr>
        <w:pStyle w:val="SingleTxtGC"/>
        <w:rPr>
          <w:rFonts w:ascii="SimHei" w:eastAsia="SimHei" w:hAnsi="SimHei"/>
        </w:rPr>
      </w:pPr>
      <w:r>
        <w:rPr>
          <w:rFonts w:hint="eastAsia"/>
        </w:rPr>
        <w:t xml:space="preserve">48.  </w:t>
      </w:r>
      <w:r w:rsidRPr="006A7F4A">
        <w:rPr>
          <w:rFonts w:ascii="SimHei" w:eastAsia="SimHei" w:hAnsi="SimHei" w:hint="eastAsia"/>
        </w:rPr>
        <w:t>委员会敦促缔约国在《包容性教育行动计划</w:t>
      </w:r>
      <w:r>
        <w:rPr>
          <w:rFonts w:hint="eastAsia"/>
        </w:rPr>
        <w:t>(2016</w:t>
      </w:r>
      <w:r w:rsidRPr="006A7F4A">
        <w:rPr>
          <w:rFonts w:ascii="SimHei" w:eastAsia="SimHei" w:hAnsi="SimHei" w:hint="eastAsia"/>
        </w:rPr>
        <w:t>年</w:t>
      </w:r>
      <w:r w:rsidR="006A7F4A">
        <w:rPr>
          <w:rFonts w:hint="eastAsia"/>
        </w:rPr>
        <w:t>-</w:t>
      </w:r>
      <w:r>
        <w:rPr>
          <w:rFonts w:hint="eastAsia"/>
        </w:rPr>
        <w:t>2020</w:t>
      </w:r>
      <w:r w:rsidRPr="006A7F4A">
        <w:rPr>
          <w:rFonts w:ascii="SimHei" w:eastAsia="SimHei" w:hAnsi="SimHei" w:hint="eastAsia"/>
        </w:rPr>
        <w:t>年</w:t>
      </w:r>
      <w:r>
        <w:rPr>
          <w:rFonts w:hint="eastAsia"/>
        </w:rPr>
        <w:t>)</w:t>
      </w:r>
      <w:r w:rsidRPr="006A7F4A">
        <w:rPr>
          <w:rFonts w:ascii="SimHei" w:eastAsia="SimHei" w:hAnsi="SimHei" w:hint="eastAsia"/>
        </w:rPr>
        <w:t>中确定具体目标，以达到包容性教育的标准和要求。应特别注意多重残疾儿童与生活在机构中的残疾中小学生，并且尤其注意制订各类残疾的单独教育计划和便利条件。</w:t>
      </w:r>
    </w:p>
    <w:p w:rsidR="0088065D" w:rsidRDefault="0088065D" w:rsidP="0088065D">
      <w:pPr>
        <w:pStyle w:val="SingleTxtGC"/>
      </w:pPr>
      <w:r>
        <w:rPr>
          <w:rFonts w:hint="eastAsia"/>
        </w:rPr>
        <w:t xml:space="preserve">49.  </w:t>
      </w:r>
      <w:r>
        <w:rPr>
          <w:rFonts w:hint="eastAsia"/>
        </w:rPr>
        <w:t>委员会关注的是，缺乏可比数据说明主流和特殊教育中为残疾儿童提供专用资金以及为残疾学生入学和提供便利的平权措施。此外，委员会还关注的是，在高等教育中为残疾学生提供的无障碍程度很低。</w:t>
      </w:r>
    </w:p>
    <w:p w:rsidR="0088065D" w:rsidRDefault="0088065D" w:rsidP="0088065D">
      <w:pPr>
        <w:pStyle w:val="SingleTxtGC"/>
      </w:pPr>
      <w:r>
        <w:rPr>
          <w:rFonts w:hint="eastAsia"/>
        </w:rPr>
        <w:t xml:space="preserve">50.  </w:t>
      </w:r>
      <w:r w:rsidRPr="006A7F4A">
        <w:rPr>
          <w:rFonts w:ascii="SimHei" w:eastAsia="SimHei" w:hAnsi="SimHei" w:hint="eastAsia"/>
        </w:rPr>
        <w:t>委员会建议缔约国立即采取步骤，确保所有残疾人能够获得包容性的优质小学、中学和大学教育，并且按照既定的单独教育计划在主流教育中提供合理便利。委员会建议让教师和其他教育专业人员接受包容性教育的培训并且使所有中学和大学教育设施实现无障碍。委员会强调，拒绝提供合理便利构成歧视。委员会还建议缔约国注意《公约》第二十四条与《可持续发展目标》的具体目标</w:t>
      </w:r>
      <w:r>
        <w:rPr>
          <w:rFonts w:hint="eastAsia"/>
        </w:rPr>
        <w:t>4.5</w:t>
      </w:r>
      <w:r w:rsidRPr="006A7F4A">
        <w:rPr>
          <w:rFonts w:ascii="SimHei" w:eastAsia="SimHei" w:hAnsi="SimHei" w:hint="eastAsia"/>
        </w:rPr>
        <w:t>和</w:t>
      </w:r>
      <w:r>
        <w:rPr>
          <w:rFonts w:hint="eastAsia"/>
        </w:rPr>
        <w:t>4(a)</w:t>
      </w:r>
      <w:r w:rsidRPr="006A7F4A">
        <w:rPr>
          <w:rFonts w:ascii="SimHei" w:eastAsia="SimHei" w:hAnsi="SimHei" w:hint="eastAsia"/>
        </w:rPr>
        <w:t>之间的联系和目标。</w:t>
      </w:r>
    </w:p>
    <w:p w:rsidR="0088065D" w:rsidRDefault="0088065D" w:rsidP="006A7F4A">
      <w:pPr>
        <w:pStyle w:val="H23GC"/>
      </w:pPr>
      <w:r>
        <w:rPr>
          <w:rFonts w:hint="eastAsia"/>
        </w:rPr>
        <w:tab/>
      </w:r>
      <w:r>
        <w:rPr>
          <w:rFonts w:hint="eastAsia"/>
        </w:rPr>
        <w:tab/>
      </w:r>
      <w:r>
        <w:rPr>
          <w:rFonts w:hint="eastAsia"/>
        </w:rPr>
        <w:t>健康</w:t>
      </w:r>
      <w:r>
        <w:rPr>
          <w:rFonts w:hint="eastAsia"/>
        </w:rPr>
        <w:t>(</w:t>
      </w:r>
      <w:r>
        <w:rPr>
          <w:rFonts w:hint="eastAsia"/>
        </w:rPr>
        <w:t>第二十五条</w:t>
      </w:r>
      <w:r>
        <w:rPr>
          <w:rFonts w:hint="eastAsia"/>
        </w:rPr>
        <w:t>)</w:t>
      </w:r>
    </w:p>
    <w:p w:rsidR="0088065D" w:rsidRDefault="0088065D" w:rsidP="0088065D">
      <w:pPr>
        <w:pStyle w:val="SingleTxtGC"/>
      </w:pPr>
      <w:r>
        <w:rPr>
          <w:rFonts w:hint="eastAsia"/>
        </w:rPr>
        <w:t xml:space="preserve">51.  </w:t>
      </w:r>
      <w:r>
        <w:rPr>
          <w:rFonts w:hint="eastAsia"/>
        </w:rPr>
        <w:t>委员会关注的是，缔约国没有对残疾儿童进行早期识别和采取干预措施。委员会还关注的是，缔约国的残疾人很难获得医疗服务，特别是在性健康与生殖健康方面。委员会也关注的是，卫生专业人员没有得到关于照顾残疾人的适当培训，而且医疗服务和卫生设施不具备无障碍条件。</w:t>
      </w:r>
    </w:p>
    <w:p w:rsidR="0088065D" w:rsidRPr="006A7F4A" w:rsidRDefault="0088065D" w:rsidP="0088065D">
      <w:pPr>
        <w:pStyle w:val="SingleTxtGC"/>
        <w:rPr>
          <w:rFonts w:ascii="SimHei" w:eastAsia="SimHei" w:hAnsi="SimHei"/>
        </w:rPr>
      </w:pPr>
      <w:r>
        <w:rPr>
          <w:rFonts w:hint="eastAsia"/>
        </w:rPr>
        <w:t xml:space="preserve">52.  </w:t>
      </w:r>
      <w:r w:rsidRPr="006A7F4A">
        <w:rPr>
          <w:rFonts w:ascii="SimHei" w:eastAsia="SimHei" w:hAnsi="SimHei" w:hint="eastAsia"/>
        </w:rPr>
        <w:t>委员会建议缔约国为卫生保健人员提供适当的培训和必需的能力并且加速落实关于增强幼儿发展的国家方案。委员会还建议缔约国确保所有残疾人在与其</w:t>
      </w:r>
      <w:r w:rsidRPr="006A7F4A">
        <w:rPr>
          <w:rFonts w:ascii="SimHei" w:eastAsia="SimHei" w:hAnsi="SimHei" w:hint="eastAsia"/>
        </w:rPr>
        <w:lastRenderedPageBreak/>
        <w:t>他人平等的基础上获得健康、包括性健康和生殖健康。委员会进一步建议对卫生专业人员进行关于照顾残疾人的培训以及在医疗服务和卫生设施上实现无障碍。</w:t>
      </w:r>
    </w:p>
    <w:p w:rsidR="0088065D" w:rsidRDefault="0088065D" w:rsidP="006A7F4A">
      <w:pPr>
        <w:pStyle w:val="H23GC"/>
      </w:pPr>
      <w:r>
        <w:rPr>
          <w:rFonts w:hint="eastAsia"/>
        </w:rPr>
        <w:tab/>
      </w:r>
      <w:r>
        <w:rPr>
          <w:rFonts w:hint="eastAsia"/>
        </w:rPr>
        <w:tab/>
      </w:r>
      <w:r>
        <w:rPr>
          <w:rFonts w:hint="eastAsia"/>
        </w:rPr>
        <w:t>工作和就业</w:t>
      </w:r>
      <w:r>
        <w:rPr>
          <w:rFonts w:hint="eastAsia"/>
        </w:rPr>
        <w:t>(</w:t>
      </w:r>
      <w:r>
        <w:rPr>
          <w:rFonts w:hint="eastAsia"/>
        </w:rPr>
        <w:t>第二十七条</w:t>
      </w:r>
      <w:r>
        <w:rPr>
          <w:rFonts w:hint="eastAsia"/>
        </w:rPr>
        <w:t>)</w:t>
      </w:r>
    </w:p>
    <w:p w:rsidR="0088065D" w:rsidRDefault="0088065D" w:rsidP="0088065D">
      <w:pPr>
        <w:pStyle w:val="SingleTxtGC"/>
      </w:pPr>
      <w:r>
        <w:rPr>
          <w:rFonts w:hint="eastAsia"/>
        </w:rPr>
        <w:t xml:space="preserve">53.  </w:t>
      </w:r>
      <w:r>
        <w:rPr>
          <w:rFonts w:hint="eastAsia"/>
        </w:rPr>
        <w:t>委员会关注的是，防止残疾员工免受解雇的法律保护不足并且提供的合理便利不足。委员会还关注的是，残疾人由于人数少而事实上无法在开放的劳动力市场中成立代表自己的工会；以及尽管设立了多学科委员会，但是工作能力的评估仍然是依据“无行为能力”的医疗模式。</w:t>
      </w:r>
    </w:p>
    <w:p w:rsidR="0088065D" w:rsidRPr="004C49BD" w:rsidRDefault="0088065D" w:rsidP="0088065D">
      <w:pPr>
        <w:pStyle w:val="SingleTxtGC"/>
        <w:rPr>
          <w:rFonts w:ascii="SimHei" w:eastAsia="SimHei" w:hAnsi="SimHei"/>
        </w:rPr>
      </w:pPr>
      <w:r>
        <w:rPr>
          <w:rFonts w:hint="eastAsia"/>
        </w:rPr>
        <w:t xml:space="preserve">54.  </w:t>
      </w:r>
      <w:r w:rsidRPr="004C49BD">
        <w:rPr>
          <w:rFonts w:ascii="SimHei" w:eastAsia="SimHei" w:hAnsi="SimHei" w:hint="eastAsia"/>
        </w:rPr>
        <w:t>委员会建议缔约国审查法律的适用做法，以确保立法避免在就业和参与劳动力市场方面不利于残疾人，并且保证在工作场所提供合理便利。委员会还建议缔约国审查关于工作能力的评估，以消除医学化的做法并促进残疾人进入开放的劳动力市场。委员会还建议残疾人可以在实践中行使自己建立工会的权利，并且请缔约国注意《公约》第二十七条与《可持续发展目标》的具体目标</w:t>
      </w:r>
      <w:r>
        <w:rPr>
          <w:rFonts w:hint="eastAsia"/>
        </w:rPr>
        <w:t>8.5</w:t>
      </w:r>
      <w:r w:rsidRPr="004C49BD">
        <w:rPr>
          <w:rFonts w:ascii="SimHei" w:eastAsia="SimHei" w:hAnsi="SimHei" w:hint="eastAsia"/>
        </w:rPr>
        <w:t>之间的联系。</w:t>
      </w:r>
    </w:p>
    <w:p w:rsidR="0088065D" w:rsidRDefault="0088065D" w:rsidP="0088065D">
      <w:pPr>
        <w:pStyle w:val="SingleTxtGC"/>
      </w:pPr>
      <w:r>
        <w:rPr>
          <w:rFonts w:hint="eastAsia"/>
        </w:rPr>
        <w:t xml:space="preserve">55.  </w:t>
      </w:r>
      <w:r>
        <w:rPr>
          <w:rFonts w:hint="eastAsia"/>
        </w:rPr>
        <w:t>委员会关注的是，依然存在着残疾人福利工厂，而且关于促进残疾人在开放劳动力市场中就业的措施没有效果。</w:t>
      </w:r>
    </w:p>
    <w:p w:rsidR="0088065D" w:rsidRDefault="0088065D" w:rsidP="0088065D">
      <w:pPr>
        <w:pStyle w:val="SingleTxtGC"/>
      </w:pPr>
      <w:r>
        <w:rPr>
          <w:rFonts w:hint="eastAsia"/>
        </w:rPr>
        <w:t xml:space="preserve">56.  </w:t>
      </w:r>
      <w:r w:rsidRPr="004C49BD">
        <w:rPr>
          <w:rFonts w:ascii="SimHei" w:eastAsia="SimHei" w:hAnsi="SimHei" w:hint="eastAsia"/>
        </w:rPr>
        <w:t>委员会建议缔约国在雇主中宣传残疾人与其他人平等的就业权，并加强措施，以支持目前在福利工厂的所有残疾人过渡到正规、开放的劳动力市场就业，按照《公约》确保尊重所有权利。</w:t>
      </w:r>
    </w:p>
    <w:p w:rsidR="0088065D" w:rsidRDefault="0088065D" w:rsidP="004C49BD">
      <w:pPr>
        <w:pStyle w:val="H23GC"/>
      </w:pPr>
      <w:r>
        <w:rPr>
          <w:rFonts w:hint="eastAsia"/>
        </w:rPr>
        <w:tab/>
      </w:r>
      <w:r>
        <w:rPr>
          <w:rFonts w:hint="eastAsia"/>
        </w:rPr>
        <w:tab/>
      </w:r>
      <w:r>
        <w:rPr>
          <w:rFonts w:hint="eastAsia"/>
        </w:rPr>
        <w:t>适足的生活水平和社会保护</w:t>
      </w:r>
      <w:r>
        <w:rPr>
          <w:rFonts w:hint="eastAsia"/>
        </w:rPr>
        <w:t>(</w:t>
      </w:r>
      <w:r>
        <w:rPr>
          <w:rFonts w:hint="eastAsia"/>
        </w:rPr>
        <w:t>第二十八条</w:t>
      </w:r>
      <w:r>
        <w:rPr>
          <w:rFonts w:hint="eastAsia"/>
        </w:rPr>
        <w:t>)</w:t>
      </w:r>
    </w:p>
    <w:p w:rsidR="0088065D" w:rsidRDefault="0088065D" w:rsidP="0088065D">
      <w:pPr>
        <w:pStyle w:val="SingleTxtGC"/>
      </w:pPr>
      <w:r>
        <w:rPr>
          <w:rFonts w:hint="eastAsia"/>
        </w:rPr>
        <w:t xml:space="preserve">57.  </w:t>
      </w:r>
      <w:r>
        <w:rPr>
          <w:rFonts w:hint="eastAsia"/>
        </w:rPr>
        <w:t>委员会对缺乏无障碍的社会福利住房表示关注。</w:t>
      </w:r>
    </w:p>
    <w:p w:rsidR="0088065D" w:rsidRPr="004C49BD" w:rsidRDefault="0088065D" w:rsidP="0088065D">
      <w:pPr>
        <w:pStyle w:val="SingleTxtGC"/>
        <w:rPr>
          <w:rFonts w:ascii="SimHei" w:eastAsia="SimHei" w:hAnsi="SimHei"/>
        </w:rPr>
      </w:pPr>
      <w:r>
        <w:rPr>
          <w:rFonts w:hint="eastAsia"/>
        </w:rPr>
        <w:t xml:space="preserve">58.  </w:t>
      </w:r>
      <w:r w:rsidRPr="004C49BD">
        <w:rPr>
          <w:rFonts w:ascii="SimHei" w:eastAsia="SimHei" w:hAnsi="SimHei" w:hint="eastAsia"/>
        </w:rPr>
        <w:t>委员会建议全面实施法律，为残疾人保障</w:t>
      </w:r>
      <w:r>
        <w:rPr>
          <w:rFonts w:hint="eastAsia"/>
        </w:rPr>
        <w:t>10</w:t>
      </w:r>
      <w:r w:rsidR="006A4099">
        <w:rPr>
          <w:rFonts w:hint="eastAsia"/>
        </w:rPr>
        <w:t>%</w:t>
      </w:r>
      <w:r w:rsidRPr="004C49BD">
        <w:rPr>
          <w:rFonts w:ascii="SimHei" w:eastAsia="SimHei" w:hAnsi="SimHei" w:hint="eastAsia"/>
        </w:rPr>
        <w:t>配额的无障碍住房。委员会还建议缔约国注意《公约》第二十八条与《可持续发展目标》的具体目标</w:t>
      </w:r>
      <w:r>
        <w:rPr>
          <w:rFonts w:hint="eastAsia"/>
        </w:rPr>
        <w:t>10.2</w:t>
      </w:r>
      <w:r w:rsidRPr="004C49BD">
        <w:rPr>
          <w:rFonts w:ascii="SimHei" w:eastAsia="SimHei" w:hAnsi="SimHei" w:hint="eastAsia"/>
        </w:rPr>
        <w:t>之间的联系。</w:t>
      </w:r>
    </w:p>
    <w:p w:rsidR="0088065D" w:rsidRDefault="0088065D" w:rsidP="00176CE9">
      <w:pPr>
        <w:pStyle w:val="H23GC"/>
      </w:pPr>
      <w:r>
        <w:rPr>
          <w:rFonts w:hint="eastAsia"/>
        </w:rPr>
        <w:tab/>
      </w:r>
      <w:r>
        <w:rPr>
          <w:rFonts w:hint="eastAsia"/>
        </w:rPr>
        <w:tab/>
      </w:r>
      <w:r>
        <w:rPr>
          <w:rFonts w:hint="eastAsia"/>
        </w:rPr>
        <w:t>参与政治和公共生活</w:t>
      </w:r>
      <w:r>
        <w:rPr>
          <w:rFonts w:hint="eastAsia"/>
        </w:rPr>
        <w:t>(</w:t>
      </w:r>
      <w:r>
        <w:rPr>
          <w:rFonts w:hint="eastAsia"/>
        </w:rPr>
        <w:t>第二十九条</w:t>
      </w:r>
      <w:r>
        <w:rPr>
          <w:rFonts w:hint="eastAsia"/>
        </w:rPr>
        <w:t>)</w:t>
      </w:r>
    </w:p>
    <w:p w:rsidR="0088065D" w:rsidRDefault="0088065D" w:rsidP="0088065D">
      <w:pPr>
        <w:pStyle w:val="SingleTxtGC"/>
      </w:pPr>
      <w:r>
        <w:rPr>
          <w:rFonts w:hint="eastAsia"/>
        </w:rPr>
        <w:t xml:space="preserve">59.  </w:t>
      </w:r>
      <w:r>
        <w:rPr>
          <w:rFonts w:hint="eastAsia"/>
        </w:rPr>
        <w:t>委员会关注的是，残疾人、特别是残疾妇女和残疾罗姆人被排除在公共生活之外。</w:t>
      </w:r>
    </w:p>
    <w:p w:rsidR="0088065D" w:rsidRPr="00176CE9" w:rsidRDefault="0088065D" w:rsidP="0088065D">
      <w:pPr>
        <w:pStyle w:val="SingleTxtGC"/>
        <w:rPr>
          <w:rFonts w:ascii="SimHei" w:eastAsia="SimHei" w:hAnsi="SimHei"/>
        </w:rPr>
      </w:pPr>
      <w:r>
        <w:rPr>
          <w:rFonts w:hint="eastAsia"/>
        </w:rPr>
        <w:t xml:space="preserve">60.  </w:t>
      </w:r>
      <w:r w:rsidRPr="00176CE9">
        <w:rPr>
          <w:rFonts w:ascii="SimHei" w:eastAsia="SimHei" w:hAnsi="SimHei" w:hint="eastAsia"/>
        </w:rPr>
        <w:t>委员会建议缔约国加大努力，在民选代表职务和公职中包括残疾人。委员会还建议缔约国确保即将举行的选举对所有残疾人都是包容性和无障碍的，包括在投票设施和竞选材料方面。</w:t>
      </w:r>
    </w:p>
    <w:p w:rsidR="0088065D" w:rsidRDefault="0088065D" w:rsidP="00176CE9">
      <w:pPr>
        <w:pStyle w:val="H23GC"/>
      </w:pPr>
      <w:r>
        <w:rPr>
          <w:rFonts w:hint="eastAsia"/>
        </w:rPr>
        <w:tab/>
      </w:r>
      <w:r>
        <w:rPr>
          <w:rFonts w:hint="eastAsia"/>
        </w:rPr>
        <w:tab/>
      </w:r>
      <w:r>
        <w:rPr>
          <w:rFonts w:hint="eastAsia"/>
        </w:rPr>
        <w:t>参与文化生活、娱乐、休闲和体育活动</w:t>
      </w:r>
      <w:r>
        <w:rPr>
          <w:rFonts w:hint="eastAsia"/>
        </w:rPr>
        <w:t>(</w:t>
      </w:r>
      <w:r>
        <w:rPr>
          <w:rFonts w:hint="eastAsia"/>
        </w:rPr>
        <w:t>第三十条</w:t>
      </w:r>
      <w:r>
        <w:rPr>
          <w:rFonts w:hint="eastAsia"/>
        </w:rPr>
        <w:t>)</w:t>
      </w:r>
    </w:p>
    <w:p w:rsidR="0088065D" w:rsidRDefault="0088065D" w:rsidP="0088065D">
      <w:pPr>
        <w:pStyle w:val="SingleTxtGC"/>
      </w:pPr>
      <w:r>
        <w:rPr>
          <w:rFonts w:hint="eastAsia"/>
        </w:rPr>
        <w:t xml:space="preserve">61.  </w:t>
      </w:r>
      <w:r>
        <w:rPr>
          <w:rFonts w:hint="eastAsia"/>
        </w:rPr>
        <w:t>委员会感到关注的是，缔约国尚未批准关于帮助盲人、视障者或印刷品阅读障碍者获得出版材料的《关于方便盲人、视障者或印刷品阅读障碍者获得出版作品的马拉喀什条约》</w:t>
      </w:r>
    </w:p>
    <w:p w:rsidR="0088065D" w:rsidRPr="00176CE9" w:rsidRDefault="0088065D" w:rsidP="0088065D">
      <w:pPr>
        <w:pStyle w:val="SingleTxtGC"/>
        <w:rPr>
          <w:rFonts w:ascii="SimHei" w:eastAsia="SimHei" w:hAnsi="SimHei"/>
        </w:rPr>
      </w:pPr>
      <w:r>
        <w:rPr>
          <w:rFonts w:hint="eastAsia"/>
        </w:rPr>
        <w:lastRenderedPageBreak/>
        <w:t xml:space="preserve">62.  </w:t>
      </w:r>
      <w:r w:rsidRPr="00176CE9">
        <w:rPr>
          <w:rFonts w:ascii="SimHei" w:eastAsia="SimHei" w:hAnsi="SimHei" w:hint="eastAsia"/>
        </w:rPr>
        <w:t>委员会鼓励缔约国采取一切适当措施，尽快批准和执行《马拉喀什条约》。</w:t>
      </w:r>
    </w:p>
    <w:p w:rsidR="0088065D" w:rsidRDefault="0088065D" w:rsidP="00176CE9">
      <w:pPr>
        <w:pStyle w:val="H1GC"/>
      </w:pPr>
      <w:r>
        <w:rPr>
          <w:rFonts w:hint="eastAsia"/>
        </w:rPr>
        <w:tab/>
        <w:t>C.</w:t>
      </w:r>
      <w:r w:rsidR="00176CE9">
        <w:rPr>
          <w:rFonts w:hint="eastAsia"/>
        </w:rPr>
        <w:tab/>
      </w:r>
      <w:r>
        <w:rPr>
          <w:rFonts w:hint="eastAsia"/>
        </w:rPr>
        <w:t>具体义务</w:t>
      </w:r>
      <w:r>
        <w:rPr>
          <w:rFonts w:hint="eastAsia"/>
        </w:rPr>
        <w:t>(</w:t>
      </w:r>
      <w:r>
        <w:rPr>
          <w:rFonts w:hint="eastAsia"/>
        </w:rPr>
        <w:t>第三十一至三十三条</w:t>
      </w:r>
      <w:r>
        <w:rPr>
          <w:rFonts w:hint="eastAsia"/>
        </w:rPr>
        <w:t>)</w:t>
      </w:r>
    </w:p>
    <w:p w:rsidR="0088065D" w:rsidRDefault="0088065D" w:rsidP="00176CE9">
      <w:pPr>
        <w:pStyle w:val="H23GC"/>
      </w:pPr>
      <w:r>
        <w:rPr>
          <w:rFonts w:hint="eastAsia"/>
        </w:rPr>
        <w:tab/>
      </w:r>
      <w:r>
        <w:rPr>
          <w:rFonts w:hint="eastAsia"/>
        </w:rPr>
        <w:tab/>
      </w:r>
      <w:r>
        <w:rPr>
          <w:rFonts w:hint="eastAsia"/>
        </w:rPr>
        <w:t>统计和数据收集</w:t>
      </w:r>
      <w:r>
        <w:rPr>
          <w:rFonts w:hint="eastAsia"/>
        </w:rPr>
        <w:t>(</w:t>
      </w:r>
      <w:r>
        <w:rPr>
          <w:rFonts w:hint="eastAsia"/>
        </w:rPr>
        <w:t>第三十一条</w:t>
      </w:r>
      <w:r>
        <w:rPr>
          <w:rFonts w:hint="eastAsia"/>
        </w:rPr>
        <w:t>)</w:t>
      </w:r>
    </w:p>
    <w:p w:rsidR="0088065D" w:rsidRDefault="0088065D" w:rsidP="0088065D">
      <w:pPr>
        <w:pStyle w:val="SingleTxtGC"/>
      </w:pPr>
      <w:r>
        <w:rPr>
          <w:rFonts w:hint="eastAsia"/>
        </w:rPr>
        <w:t xml:space="preserve">63.  </w:t>
      </w:r>
      <w:r>
        <w:rPr>
          <w:rFonts w:hint="eastAsia"/>
        </w:rPr>
        <w:t>委员会表示欢迎缔约国将设立一个地方服务综合数据库；然而，委员会关注的是，很少资料说明数据库将如何改善为残疾人提供的服务质量。委员会还关注的是，缔约国没有收集和分析关于残疾人状况的数据，以提供充分信息显示《公约》的执行情况。</w:t>
      </w:r>
    </w:p>
    <w:p w:rsidR="0088065D" w:rsidRDefault="0088065D" w:rsidP="0088065D">
      <w:pPr>
        <w:pStyle w:val="SingleTxtGC"/>
      </w:pPr>
      <w:r>
        <w:rPr>
          <w:rFonts w:hint="eastAsia"/>
        </w:rPr>
        <w:t xml:space="preserve">64.  </w:t>
      </w:r>
      <w:r w:rsidRPr="00176CE9">
        <w:rPr>
          <w:rFonts w:ascii="SimHei" w:eastAsia="SimHei" w:hAnsi="SimHei" w:hint="eastAsia"/>
        </w:rPr>
        <w:t>委员会敦促缔约国确保关于为残疾人所提供服务的数据库将反映为残疾人所提供社会服务的质量和便利情况，保障按照《可持续发展目标》迅速落实统计工作。委员会建议缔约国更新和收集关于残疾人的数据和统计资料，按年龄、性别、残障类型、族裔和地域位置分类，包括家居或机构安置的类型、歧视和/或暴力侵犯他们的投诉案件，并且采用一个基于人权的方针。委员会建议缔约国在开展这些进程时请残疾人组织切实参与。委员会建议缔约国注意《公约》第三十一条与《可持续发展目标》的具体目标</w:t>
      </w:r>
      <w:r>
        <w:rPr>
          <w:rFonts w:hint="eastAsia"/>
        </w:rPr>
        <w:t>17.18</w:t>
      </w:r>
      <w:r w:rsidRPr="00176CE9">
        <w:rPr>
          <w:rFonts w:ascii="SimHei" w:eastAsia="SimHei" w:hAnsi="SimHei" w:hint="eastAsia"/>
        </w:rPr>
        <w:t>之间的联系。</w:t>
      </w:r>
    </w:p>
    <w:p w:rsidR="0088065D" w:rsidRDefault="0088065D" w:rsidP="00176CE9">
      <w:pPr>
        <w:pStyle w:val="H23GC"/>
      </w:pPr>
      <w:r>
        <w:rPr>
          <w:rFonts w:hint="eastAsia"/>
        </w:rPr>
        <w:tab/>
      </w:r>
      <w:r>
        <w:rPr>
          <w:rFonts w:hint="eastAsia"/>
        </w:rPr>
        <w:tab/>
      </w:r>
      <w:r>
        <w:rPr>
          <w:rFonts w:hint="eastAsia"/>
        </w:rPr>
        <w:t>国际合作</w:t>
      </w:r>
      <w:r>
        <w:rPr>
          <w:rFonts w:hint="eastAsia"/>
        </w:rPr>
        <w:t>(</w:t>
      </w:r>
      <w:r>
        <w:rPr>
          <w:rFonts w:hint="eastAsia"/>
        </w:rPr>
        <w:t>第三十二条</w:t>
      </w:r>
      <w:r>
        <w:rPr>
          <w:rFonts w:hint="eastAsia"/>
        </w:rPr>
        <w:t>)</w:t>
      </w:r>
    </w:p>
    <w:p w:rsidR="0088065D" w:rsidRDefault="0088065D" w:rsidP="0088065D">
      <w:pPr>
        <w:pStyle w:val="SingleTxtGC"/>
      </w:pPr>
      <w:r>
        <w:rPr>
          <w:rFonts w:hint="eastAsia"/>
        </w:rPr>
        <w:t xml:space="preserve">65.  </w:t>
      </w:r>
      <w:r>
        <w:rPr>
          <w:rFonts w:hint="eastAsia"/>
        </w:rPr>
        <w:t>委员会关注的是，《公约》所载的残疾人权利没有在《</w:t>
      </w:r>
      <w:r>
        <w:rPr>
          <w:rFonts w:hint="eastAsia"/>
        </w:rPr>
        <w:t>2030</w:t>
      </w:r>
      <w:r>
        <w:rPr>
          <w:rFonts w:hint="eastAsia"/>
        </w:rPr>
        <w:t>年议程》的国家实施和监测中实现主流化。</w:t>
      </w:r>
    </w:p>
    <w:p w:rsidR="0088065D" w:rsidRPr="00176CE9" w:rsidRDefault="0088065D" w:rsidP="0088065D">
      <w:pPr>
        <w:pStyle w:val="SingleTxtGC"/>
        <w:rPr>
          <w:rFonts w:ascii="SimHei" w:eastAsia="SimHei" w:hAnsi="SimHei"/>
        </w:rPr>
      </w:pPr>
      <w:r>
        <w:rPr>
          <w:rFonts w:hint="eastAsia"/>
        </w:rPr>
        <w:t xml:space="preserve">66.  </w:t>
      </w:r>
      <w:r w:rsidRPr="00176CE9">
        <w:rPr>
          <w:rFonts w:ascii="SimHei" w:eastAsia="SimHei" w:hAnsi="SimHei" w:hint="eastAsia"/>
        </w:rPr>
        <w:t>委员会建议，在《</w:t>
      </w:r>
      <w:r>
        <w:rPr>
          <w:rFonts w:hint="eastAsia"/>
        </w:rPr>
        <w:t>2030</w:t>
      </w:r>
      <w:r w:rsidRPr="00176CE9">
        <w:rPr>
          <w:rFonts w:ascii="SimHei" w:eastAsia="SimHei" w:hAnsi="SimHei" w:hint="eastAsia"/>
        </w:rPr>
        <w:t>年议程》和《可持续发展目标》的国家实施和监测中使《公约》所载的残疾人权利主流化，并且在残疾人组织的密切合作和参与下开展这些进程，使决策和预算保持透明。</w:t>
      </w:r>
    </w:p>
    <w:p w:rsidR="0088065D" w:rsidRDefault="0088065D" w:rsidP="00176CE9">
      <w:pPr>
        <w:pStyle w:val="H23GC"/>
      </w:pPr>
      <w:r>
        <w:rPr>
          <w:rFonts w:hint="eastAsia"/>
        </w:rPr>
        <w:tab/>
      </w:r>
      <w:r>
        <w:rPr>
          <w:rFonts w:hint="eastAsia"/>
        </w:rPr>
        <w:tab/>
      </w:r>
      <w:r>
        <w:rPr>
          <w:rFonts w:hint="eastAsia"/>
        </w:rPr>
        <w:t>国家实施和监测</w:t>
      </w:r>
      <w:r>
        <w:rPr>
          <w:rFonts w:hint="eastAsia"/>
        </w:rPr>
        <w:t>(</w:t>
      </w:r>
      <w:r>
        <w:rPr>
          <w:rFonts w:hint="eastAsia"/>
        </w:rPr>
        <w:t>第三十三条</w:t>
      </w:r>
      <w:r>
        <w:rPr>
          <w:rFonts w:hint="eastAsia"/>
        </w:rPr>
        <w:t>)</w:t>
      </w:r>
    </w:p>
    <w:p w:rsidR="0088065D" w:rsidRDefault="0088065D" w:rsidP="0088065D">
      <w:pPr>
        <w:pStyle w:val="SingleTxtGC"/>
      </w:pPr>
      <w:r>
        <w:rPr>
          <w:rFonts w:hint="eastAsia"/>
        </w:rPr>
        <w:t xml:space="preserve">67.  </w:t>
      </w:r>
      <w:r>
        <w:rPr>
          <w:rFonts w:hint="eastAsia"/>
        </w:rPr>
        <w:t>委员会关注的是，缔约国没有第三十三条第一款所列的协调机制。此外，国家人权机构没有作为第三十三条第二款所列的独立机制发挥作用。委员会还关注的是，没有资料说明</w:t>
      </w:r>
      <w:r>
        <w:rPr>
          <w:rFonts w:hint="eastAsia"/>
        </w:rPr>
        <w:t>2014</w:t>
      </w:r>
      <w:r>
        <w:rPr>
          <w:rFonts w:hint="eastAsia"/>
        </w:rPr>
        <w:t>年设立的联合国人权机制建议落实情况监测委员会与政府委员会的组成情况以及民间社会如何和多大程度上参与这些机构。</w:t>
      </w:r>
    </w:p>
    <w:p w:rsidR="0088065D" w:rsidRDefault="0088065D" w:rsidP="0088065D">
      <w:pPr>
        <w:pStyle w:val="SingleTxtGC"/>
      </w:pPr>
      <w:r>
        <w:rPr>
          <w:rFonts w:hint="eastAsia"/>
        </w:rPr>
        <w:t xml:space="preserve">68.  </w:t>
      </w:r>
      <w:r w:rsidRPr="00176CE9">
        <w:rPr>
          <w:rFonts w:ascii="SimHei" w:eastAsia="SimHei" w:hAnsi="SimHei" w:hint="eastAsia"/>
        </w:rPr>
        <w:t>委员会建议缔约国确保残疾人独立组织有系统地参与《公约》的监测进程，并为此在预算方面向他们提供切实的支持。</w:t>
      </w:r>
    </w:p>
    <w:p w:rsidR="0088065D" w:rsidRDefault="0088065D" w:rsidP="00176CE9">
      <w:pPr>
        <w:pStyle w:val="HChGC"/>
      </w:pPr>
      <w:r>
        <w:rPr>
          <w:rFonts w:hint="eastAsia"/>
        </w:rPr>
        <w:lastRenderedPageBreak/>
        <w:tab/>
      </w:r>
      <w:r>
        <w:rPr>
          <w:rFonts w:hint="eastAsia"/>
        </w:rPr>
        <w:t>五</w:t>
      </w:r>
      <w:r>
        <w:rPr>
          <w:rFonts w:hint="eastAsia"/>
        </w:rPr>
        <w:t>.</w:t>
      </w:r>
      <w:r w:rsidR="00176CE9">
        <w:rPr>
          <w:rFonts w:hint="eastAsia"/>
        </w:rPr>
        <w:tab/>
      </w:r>
      <w:r>
        <w:rPr>
          <w:rFonts w:hint="eastAsia"/>
        </w:rPr>
        <w:t>后续行动</w:t>
      </w:r>
    </w:p>
    <w:p w:rsidR="0088065D" w:rsidRDefault="0088065D" w:rsidP="00176CE9">
      <w:pPr>
        <w:pStyle w:val="H23GC"/>
      </w:pPr>
      <w:r>
        <w:rPr>
          <w:rFonts w:hint="eastAsia"/>
        </w:rPr>
        <w:tab/>
      </w:r>
      <w:r>
        <w:rPr>
          <w:rFonts w:hint="eastAsia"/>
        </w:rPr>
        <w:tab/>
      </w:r>
      <w:r>
        <w:rPr>
          <w:rFonts w:hint="eastAsia"/>
        </w:rPr>
        <w:t>合作与技术援助</w:t>
      </w:r>
    </w:p>
    <w:p w:rsidR="0088065D" w:rsidRDefault="0088065D" w:rsidP="0088065D">
      <w:pPr>
        <w:pStyle w:val="SingleTxtGC"/>
      </w:pPr>
      <w:r>
        <w:rPr>
          <w:rFonts w:hint="eastAsia"/>
        </w:rPr>
        <w:t xml:space="preserve">69.  </w:t>
      </w:r>
      <w:r>
        <w:rPr>
          <w:rFonts w:hint="eastAsia"/>
        </w:rPr>
        <w:t>根据《公约》第三十七条，委员会可就缔约国通过秘书处发给各位专家的任何问题提供技术指导意见。缔约国还可向办事处设于该国或该区域的联合国专门机构寻求技术援助。</w:t>
      </w:r>
    </w:p>
    <w:p w:rsidR="0088065D" w:rsidRDefault="00176CE9" w:rsidP="00176CE9">
      <w:pPr>
        <w:pStyle w:val="H23GC"/>
      </w:pPr>
      <w:r>
        <w:rPr>
          <w:rFonts w:hint="eastAsia"/>
        </w:rPr>
        <w:tab/>
      </w:r>
      <w:r>
        <w:rPr>
          <w:rFonts w:hint="eastAsia"/>
        </w:rPr>
        <w:tab/>
      </w:r>
      <w:r w:rsidR="0088065D">
        <w:rPr>
          <w:rFonts w:hint="eastAsia"/>
        </w:rPr>
        <w:t>后续行动和宣传</w:t>
      </w:r>
    </w:p>
    <w:p w:rsidR="0088065D" w:rsidRDefault="0088065D" w:rsidP="0088065D">
      <w:pPr>
        <w:pStyle w:val="SingleTxtGC"/>
      </w:pPr>
      <w:r>
        <w:rPr>
          <w:rFonts w:hint="eastAsia"/>
        </w:rPr>
        <w:t xml:space="preserve">70.  </w:t>
      </w:r>
      <w:r>
        <w:rPr>
          <w:rFonts w:hint="eastAsia"/>
        </w:rPr>
        <w:t>委员会请缔约国在本结论性意见通过后的</w:t>
      </w:r>
      <w:r>
        <w:rPr>
          <w:rFonts w:hint="eastAsia"/>
        </w:rPr>
        <w:t>12</w:t>
      </w:r>
      <w:r>
        <w:rPr>
          <w:rFonts w:hint="eastAsia"/>
        </w:rPr>
        <w:t>个月内，按照《公约》第三十五条第二款提供资料，说明已经采取何种措施落实第</w:t>
      </w:r>
      <w:r>
        <w:rPr>
          <w:rFonts w:hint="eastAsia"/>
        </w:rPr>
        <w:t>34</w:t>
      </w:r>
      <w:r>
        <w:rPr>
          <w:rFonts w:hint="eastAsia"/>
        </w:rPr>
        <w:t>段</w:t>
      </w:r>
      <w:r>
        <w:rPr>
          <w:rFonts w:hint="eastAsia"/>
        </w:rPr>
        <w:t>(</w:t>
      </w:r>
      <w:r>
        <w:rPr>
          <w:rFonts w:hint="eastAsia"/>
        </w:rPr>
        <w:t>禁止未经有关残疾人事先同意而采取医疗干预措施</w:t>
      </w:r>
      <w:r>
        <w:rPr>
          <w:rFonts w:hint="eastAsia"/>
        </w:rPr>
        <w:t>))</w:t>
      </w:r>
      <w:r>
        <w:rPr>
          <w:rFonts w:hint="eastAsia"/>
        </w:rPr>
        <w:t>和第</w:t>
      </w:r>
      <w:r>
        <w:rPr>
          <w:rFonts w:hint="eastAsia"/>
        </w:rPr>
        <w:t>54</w:t>
      </w:r>
      <w:r>
        <w:rPr>
          <w:rFonts w:hint="eastAsia"/>
        </w:rPr>
        <w:t>段</w:t>
      </w:r>
      <w:r>
        <w:rPr>
          <w:rFonts w:hint="eastAsia"/>
        </w:rPr>
        <w:t>(</w:t>
      </w:r>
      <w:r>
        <w:rPr>
          <w:rFonts w:hint="eastAsia"/>
        </w:rPr>
        <w:t>审查法律的适用情况，确保立法避免对残疾人造成不利</w:t>
      </w:r>
      <w:r>
        <w:rPr>
          <w:rFonts w:hint="eastAsia"/>
        </w:rPr>
        <w:t>)</w:t>
      </w:r>
      <w:r>
        <w:rPr>
          <w:rFonts w:hint="eastAsia"/>
        </w:rPr>
        <w:t>所载的委员会建议。</w:t>
      </w:r>
    </w:p>
    <w:p w:rsidR="0088065D" w:rsidRDefault="0088065D" w:rsidP="0088065D">
      <w:pPr>
        <w:pStyle w:val="SingleTxtGC"/>
      </w:pPr>
      <w:r>
        <w:rPr>
          <w:rFonts w:hint="eastAsia"/>
        </w:rPr>
        <w:t xml:space="preserve">71.  </w:t>
      </w:r>
      <w:r>
        <w:rPr>
          <w:rFonts w:hint="eastAsia"/>
        </w:rPr>
        <w:t>委员会请缔约国落实本结论性意见中所载的建议。委员会建议缔约国利用现代社交通信战略，将本结论性意见转达给政府和议会成员、相关部委官员、地方当局、教育、医疗及法律等相关专业群体成员以及媒体，供他们考虑和采取行动。</w:t>
      </w:r>
    </w:p>
    <w:p w:rsidR="0088065D" w:rsidRDefault="0088065D" w:rsidP="0088065D">
      <w:pPr>
        <w:pStyle w:val="SingleTxtGC"/>
      </w:pPr>
      <w:r>
        <w:rPr>
          <w:rFonts w:hint="eastAsia"/>
        </w:rPr>
        <w:t xml:space="preserve">72.  </w:t>
      </w:r>
      <w:r>
        <w:rPr>
          <w:rFonts w:hint="eastAsia"/>
        </w:rPr>
        <w:t>委员会大力鼓励缔约国让民间社会组织、特别是残疾人组织参与定期报告的编写。</w:t>
      </w:r>
    </w:p>
    <w:p w:rsidR="0088065D" w:rsidRDefault="0088065D" w:rsidP="0088065D">
      <w:pPr>
        <w:pStyle w:val="SingleTxtGC"/>
      </w:pPr>
      <w:r>
        <w:rPr>
          <w:rFonts w:hint="eastAsia"/>
        </w:rPr>
        <w:t xml:space="preserve">73.  </w:t>
      </w:r>
      <w:r>
        <w:rPr>
          <w:rFonts w:hint="eastAsia"/>
        </w:rPr>
        <w:t>委员会请缔约国用本国语言和少数民族语言，包括手语，以无障碍模式广泛传播本结论性意见，包括向非政府</w:t>
      </w:r>
      <w:bookmarkStart w:id="0" w:name="_GoBack"/>
      <w:bookmarkEnd w:id="0"/>
      <w:r>
        <w:rPr>
          <w:rFonts w:hint="eastAsia"/>
        </w:rPr>
        <w:t>组织和残疾人组织以及残疾人本人及其家庭成员传播，并在政府人权网站发布这些结论性意见。</w:t>
      </w:r>
    </w:p>
    <w:p w:rsidR="0088065D" w:rsidRDefault="00176CE9" w:rsidP="00176CE9">
      <w:pPr>
        <w:pStyle w:val="H23GC"/>
      </w:pPr>
      <w:r>
        <w:rPr>
          <w:rFonts w:hint="eastAsia"/>
        </w:rPr>
        <w:tab/>
      </w:r>
      <w:r>
        <w:rPr>
          <w:rFonts w:hint="eastAsia"/>
        </w:rPr>
        <w:tab/>
      </w:r>
      <w:r w:rsidR="0088065D">
        <w:rPr>
          <w:rFonts w:hint="eastAsia"/>
        </w:rPr>
        <w:t>下次定期报告</w:t>
      </w:r>
    </w:p>
    <w:p w:rsidR="00D67EE7" w:rsidRDefault="0088065D" w:rsidP="0088065D">
      <w:pPr>
        <w:pStyle w:val="SingleTxtGC"/>
      </w:pPr>
      <w:r>
        <w:rPr>
          <w:rFonts w:hint="eastAsia"/>
        </w:rPr>
        <w:t xml:space="preserve">74.  </w:t>
      </w:r>
      <w:r>
        <w:rPr>
          <w:rFonts w:hint="eastAsia"/>
        </w:rPr>
        <w:t>委员会请缔约国在</w:t>
      </w:r>
      <w:r>
        <w:rPr>
          <w:rFonts w:hint="eastAsia"/>
        </w:rPr>
        <w:t>2023</w:t>
      </w:r>
      <w:r>
        <w:rPr>
          <w:rFonts w:hint="eastAsia"/>
        </w:rPr>
        <w:t>年</w:t>
      </w:r>
      <w:r>
        <w:rPr>
          <w:rFonts w:hint="eastAsia"/>
        </w:rPr>
        <w:t>8</w:t>
      </w:r>
      <w:r>
        <w:rPr>
          <w:rFonts w:hint="eastAsia"/>
        </w:rPr>
        <w:t>月</w:t>
      </w:r>
      <w:r>
        <w:rPr>
          <w:rFonts w:hint="eastAsia"/>
        </w:rPr>
        <w:t>31</w:t>
      </w:r>
      <w:r>
        <w:rPr>
          <w:rFonts w:hint="eastAsia"/>
        </w:rPr>
        <w:t>日之前提交合并的第二次、第三次和第四次定期报告并在其中纳入关于本结论性意见所载建议落实情况的资料。委员会还请缔约国考虑根据委员会的简化报告程序提交上述报告。按照这一程序，委员会至少在缔约国报告应交日期一年之前拟订一份问题单。缔约国对这一问题单的答复即构成其报告。</w:t>
      </w:r>
    </w:p>
    <w:p w:rsidR="00554FB8" w:rsidRDefault="00554FB8" w:rsidP="0088065D">
      <w:pPr>
        <w:pStyle w:val="SingleTxtGC"/>
      </w:pPr>
    </w:p>
    <w:p w:rsidR="00554FB8" w:rsidRPr="002C0642" w:rsidRDefault="00554FB8" w:rsidP="00554FB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54FB8" w:rsidRDefault="00554FB8" w:rsidP="0088065D">
      <w:pPr>
        <w:pStyle w:val="SingleTxtGC"/>
      </w:pPr>
    </w:p>
    <w:sectPr w:rsidR="00554FB8"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1A4" w:rsidRPr="000D319F" w:rsidRDefault="009C31A4" w:rsidP="000D319F">
      <w:pPr>
        <w:pStyle w:val="Footer"/>
        <w:spacing w:after="240"/>
        <w:ind w:left="907"/>
        <w:rPr>
          <w:rFonts w:asciiTheme="majorBidi" w:eastAsia="SimSun" w:hAnsiTheme="majorBidi" w:cstheme="majorBidi"/>
          <w:sz w:val="21"/>
          <w:szCs w:val="21"/>
          <w:lang w:val="en-US"/>
        </w:rPr>
      </w:pPr>
    </w:p>
    <w:p w:rsidR="009C31A4" w:rsidRPr="000D319F" w:rsidRDefault="009C31A4"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C31A4" w:rsidRPr="000D319F" w:rsidRDefault="009C31A4" w:rsidP="000D319F">
      <w:pPr>
        <w:pStyle w:val="Footer"/>
      </w:pPr>
    </w:p>
  </w:endnote>
  <w:endnote w:type="continuationNotice" w:id="1">
    <w:p w:rsidR="009C31A4" w:rsidRDefault="009C31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00000000"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A4099" w:rsidRDefault="005A25A2" w:rsidP="005A25A2">
    <w:pPr>
      <w:pStyle w:val="Footer"/>
      <w:tabs>
        <w:tab w:val="clear" w:pos="431"/>
        <w:tab w:val="right" w:pos="9638"/>
      </w:tabs>
      <w:rPr>
        <w:rStyle w:val="PageNumber"/>
        <w:rFonts w:eastAsiaTheme="minorEastAsia"/>
        <w:lang w:eastAsia="zh-CN"/>
      </w:rPr>
    </w:pPr>
    <w:r>
      <w:rPr>
        <w:rStyle w:val="PageNumber"/>
      </w:rPr>
      <w:fldChar w:fldCharType="begin"/>
    </w:r>
    <w:r>
      <w:rPr>
        <w:rStyle w:val="PageNumber"/>
      </w:rPr>
      <w:instrText xml:space="preserve"> PAGE  \* MERGEFORMAT </w:instrText>
    </w:r>
    <w:r>
      <w:rPr>
        <w:rStyle w:val="PageNumber"/>
      </w:rPr>
      <w:fldChar w:fldCharType="separate"/>
    </w:r>
    <w:r w:rsidR="00554FB8">
      <w:rPr>
        <w:rStyle w:val="PageNumber"/>
        <w:noProof/>
      </w:rPr>
      <w:t>10</w:t>
    </w:r>
    <w:r>
      <w:rPr>
        <w:rStyle w:val="PageNumber"/>
      </w:rPr>
      <w:fldChar w:fldCharType="end"/>
    </w:r>
    <w:r>
      <w:rPr>
        <w:rStyle w:val="PageNumber"/>
      </w:rPr>
      <w:tab/>
    </w:r>
    <w:r w:rsidRPr="005A25A2">
      <w:rPr>
        <w:rStyle w:val="PageNumber"/>
        <w:b w:val="0"/>
        <w:snapToGrid w:val="0"/>
        <w:sz w:val="16"/>
      </w:rPr>
      <w:t>GE.16-08243</w:t>
    </w:r>
    <w:r w:rsidR="006A4099">
      <w:rPr>
        <w:rStyle w:val="PageNumber"/>
        <w:rFonts w:eastAsiaTheme="minorEastAsia" w:hint="eastAsia"/>
        <w:b w:val="0"/>
        <w:snapToGrid w:val="0"/>
        <w:sz w:val="16"/>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A25A2" w:rsidRDefault="005A25A2" w:rsidP="005A25A2">
    <w:pPr>
      <w:pStyle w:val="Footer"/>
      <w:tabs>
        <w:tab w:val="clear" w:pos="431"/>
        <w:tab w:val="right" w:pos="9638"/>
      </w:tabs>
      <w:rPr>
        <w:rStyle w:val="PageNumber"/>
      </w:rPr>
    </w:pPr>
    <w:r>
      <w:t>GE.16-08243</w:t>
    </w:r>
    <w:r w:rsidR="006A4099">
      <w:rPr>
        <w:rFonts w:eastAsiaTheme="minorEastAsia" w:hint="eastAsia"/>
        <w:lang w:eastAsia="zh-CN"/>
      </w:rPr>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554FB8">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5A25A2" w:rsidP="00487939">
    <w:pPr>
      <w:pStyle w:val="Footer"/>
      <w:tabs>
        <w:tab w:val="left" w:pos="1701"/>
        <w:tab w:val="left" w:pos="2552"/>
        <w:tab w:val="left" w:pos="8448"/>
      </w:tabs>
      <w:spacing w:before="360"/>
      <w:rPr>
        <w:rFonts w:eastAsiaTheme="minorEastAsia"/>
        <w:b/>
        <w:sz w:val="21"/>
        <w:lang w:eastAsia="zh-CN"/>
      </w:rPr>
    </w:pPr>
    <w:r>
      <w:rPr>
        <w:sz w:val="20"/>
        <w:lang w:eastAsia="zh-CN"/>
      </w:rPr>
      <w:t>GE.16-08243</w:t>
    </w:r>
    <w:r w:rsidR="006A4099">
      <w:rPr>
        <w:sz w:val="20"/>
        <w:lang w:eastAsia="zh-CN"/>
      </w:rPr>
      <w:t xml:space="preserve"> (</w:t>
    </w:r>
    <w:r w:rsidR="006A4099">
      <w:rPr>
        <w:rFonts w:eastAsiaTheme="minorEastAsia" w:hint="eastAsia"/>
        <w:sz w:val="20"/>
        <w:lang w:eastAsia="zh-CN"/>
      </w:rPr>
      <w:t>EXT</w:t>
    </w:r>
    <w:r w:rsidR="00731A42" w:rsidRPr="00EE277A">
      <w:rPr>
        <w:sz w:val="20"/>
        <w:lang w:eastAsia="zh-CN"/>
      </w:rPr>
      <w:t>)</w:t>
    </w:r>
  </w:p>
  <w:p w:rsidR="00056632" w:rsidRPr="00487939" w:rsidRDefault="005A25A2"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674C50D7" wp14:editId="75C63E7D">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SRB/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B/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1584150" wp14:editId="41CE764D">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1A4" w:rsidRPr="000157B1" w:rsidRDefault="009C31A4"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C31A4" w:rsidRPr="000157B1" w:rsidRDefault="009C31A4"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C31A4" w:rsidRDefault="009C31A4"/>
  </w:footnote>
  <w:footnote w:id="2">
    <w:p w:rsidR="00D67EE7" w:rsidRDefault="00D67EE7" w:rsidP="00D67EE7">
      <w:pPr>
        <w:pStyle w:val="FootnoteText"/>
      </w:pPr>
      <w:r>
        <w:rPr>
          <w:rStyle w:val="FootnoteReference"/>
          <w:rFonts w:eastAsia="SimSun" w:hint="eastAsia"/>
        </w:rPr>
        <w:tab/>
      </w:r>
      <w:r w:rsidRPr="00D67EE7">
        <w:rPr>
          <w:rStyle w:val="FootnoteReference"/>
          <w:rFonts w:eastAsia="SimSun"/>
          <w:vertAlign w:val="baseline"/>
        </w:rPr>
        <w:t>*</w:t>
      </w:r>
      <w:r>
        <w:rPr>
          <w:rStyle w:val="FootnoteReference"/>
          <w:rFonts w:eastAsia="SimSun" w:hint="eastAsia"/>
        </w:rPr>
        <w:tab/>
      </w:r>
      <w:r w:rsidRPr="00D67EE7">
        <w:rPr>
          <w:rFonts w:hint="eastAsia"/>
        </w:rPr>
        <w:t>委员会第十五届会议</w:t>
      </w:r>
      <w:r w:rsidRPr="00D67EE7">
        <w:rPr>
          <w:rFonts w:hint="eastAsia"/>
        </w:rPr>
        <w:t>(2016</w:t>
      </w:r>
      <w:r w:rsidRPr="00D67EE7">
        <w:rPr>
          <w:rFonts w:hint="eastAsia"/>
        </w:rPr>
        <w:t>年</w:t>
      </w:r>
      <w:r w:rsidRPr="00D67EE7">
        <w:rPr>
          <w:rFonts w:hint="eastAsia"/>
        </w:rPr>
        <w:t>3</w:t>
      </w:r>
      <w:r w:rsidRPr="00D67EE7">
        <w:rPr>
          <w:rFonts w:hint="eastAsia"/>
        </w:rPr>
        <w:t>月</w:t>
      </w:r>
      <w:r w:rsidRPr="00D67EE7">
        <w:rPr>
          <w:rFonts w:hint="eastAsia"/>
        </w:rPr>
        <w:t>29</w:t>
      </w:r>
      <w:r w:rsidRPr="00D67EE7">
        <w:rPr>
          <w:rFonts w:hint="eastAsia"/>
        </w:rPr>
        <w:t>日至</w:t>
      </w:r>
      <w:r w:rsidRPr="00D67EE7">
        <w:rPr>
          <w:rFonts w:hint="eastAsia"/>
        </w:rPr>
        <w:t>4</w:t>
      </w:r>
      <w:r w:rsidRPr="00D67EE7">
        <w:rPr>
          <w:rFonts w:hint="eastAsia"/>
        </w:rPr>
        <w:t>月</w:t>
      </w:r>
      <w:r w:rsidRPr="00D67EE7">
        <w:rPr>
          <w:rFonts w:hint="eastAsia"/>
        </w:rPr>
        <w:t>21</w:t>
      </w:r>
      <w:r w:rsidRPr="00D67EE7">
        <w:rPr>
          <w:rFonts w:hint="eastAsia"/>
        </w:rPr>
        <w:t>日</w:t>
      </w:r>
      <w:r w:rsidRPr="00D67EE7">
        <w:rPr>
          <w:rFonts w:hint="eastAsia"/>
        </w:rPr>
        <w:t>)</w:t>
      </w:r>
      <w:r w:rsidRPr="00D67EE7">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5A25A2" w:rsidP="005A25A2">
    <w:pPr>
      <w:pStyle w:val="Header"/>
    </w:pPr>
    <w:r>
      <w:t>CRPD/C/SRB/CO/1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5A25A2" w:rsidP="005A25A2">
    <w:pPr>
      <w:pStyle w:val="Header"/>
      <w:jc w:val="right"/>
    </w:pPr>
    <w:r>
      <w:t>CRPD/C/SRB/CO/1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bordersDoNotSurroundHeader/>
  <w:bordersDoNotSurroundFooter/>
  <w:proofState w:spelling="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6D8"/>
    <w:rsid w:val="00011483"/>
    <w:rsid w:val="000D319F"/>
    <w:rsid w:val="000E4D0E"/>
    <w:rsid w:val="00125AC6"/>
    <w:rsid w:val="00144B69"/>
    <w:rsid w:val="00153E86"/>
    <w:rsid w:val="00176CE9"/>
    <w:rsid w:val="001B1BD1"/>
    <w:rsid w:val="001C3EF2"/>
    <w:rsid w:val="001D17F6"/>
    <w:rsid w:val="001D2C3F"/>
    <w:rsid w:val="00204B42"/>
    <w:rsid w:val="002231C3"/>
    <w:rsid w:val="0024417F"/>
    <w:rsid w:val="00250F8D"/>
    <w:rsid w:val="002E1C97"/>
    <w:rsid w:val="002F5834"/>
    <w:rsid w:val="00326EBF"/>
    <w:rsid w:val="00327FE4"/>
    <w:rsid w:val="00392F6C"/>
    <w:rsid w:val="003D7D4D"/>
    <w:rsid w:val="003F27E8"/>
    <w:rsid w:val="00413D23"/>
    <w:rsid w:val="00427F63"/>
    <w:rsid w:val="004A17D1"/>
    <w:rsid w:val="004C49BD"/>
    <w:rsid w:val="004C4A0A"/>
    <w:rsid w:val="00543EBA"/>
    <w:rsid w:val="00551C33"/>
    <w:rsid w:val="00554FB8"/>
    <w:rsid w:val="00581E42"/>
    <w:rsid w:val="005A25A2"/>
    <w:rsid w:val="005D0F8B"/>
    <w:rsid w:val="005E403A"/>
    <w:rsid w:val="005F00C7"/>
    <w:rsid w:val="00645F38"/>
    <w:rsid w:val="00680656"/>
    <w:rsid w:val="006A4099"/>
    <w:rsid w:val="006A7F4A"/>
    <w:rsid w:val="006B1119"/>
    <w:rsid w:val="006E3E46"/>
    <w:rsid w:val="006E71B1"/>
    <w:rsid w:val="00705D89"/>
    <w:rsid w:val="00731A42"/>
    <w:rsid w:val="00767E69"/>
    <w:rsid w:val="0077079A"/>
    <w:rsid w:val="007A5599"/>
    <w:rsid w:val="00816936"/>
    <w:rsid w:val="00856233"/>
    <w:rsid w:val="00860F27"/>
    <w:rsid w:val="00863E51"/>
    <w:rsid w:val="0088065D"/>
    <w:rsid w:val="008B0560"/>
    <w:rsid w:val="008B2BFA"/>
    <w:rsid w:val="00936F03"/>
    <w:rsid w:val="00943528"/>
    <w:rsid w:val="00943B69"/>
    <w:rsid w:val="00944CB3"/>
    <w:rsid w:val="009B09D7"/>
    <w:rsid w:val="009C31A4"/>
    <w:rsid w:val="009D35ED"/>
    <w:rsid w:val="00A03CB6"/>
    <w:rsid w:val="00A1364C"/>
    <w:rsid w:val="00A21076"/>
    <w:rsid w:val="00A3739A"/>
    <w:rsid w:val="00A52DAF"/>
    <w:rsid w:val="00A84072"/>
    <w:rsid w:val="00B16570"/>
    <w:rsid w:val="00B44B82"/>
    <w:rsid w:val="00B53320"/>
    <w:rsid w:val="00BA2456"/>
    <w:rsid w:val="00BC6522"/>
    <w:rsid w:val="00C121D5"/>
    <w:rsid w:val="00C134D9"/>
    <w:rsid w:val="00C17349"/>
    <w:rsid w:val="00C351AA"/>
    <w:rsid w:val="00C7253F"/>
    <w:rsid w:val="00D26A05"/>
    <w:rsid w:val="00D67EE7"/>
    <w:rsid w:val="00D94F15"/>
    <w:rsid w:val="00D97B98"/>
    <w:rsid w:val="00DC671F"/>
    <w:rsid w:val="00DE4DA7"/>
    <w:rsid w:val="00E33B38"/>
    <w:rsid w:val="00E47FE5"/>
    <w:rsid w:val="00E574AF"/>
    <w:rsid w:val="00F714DA"/>
    <w:rsid w:val="00F806D8"/>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FootnoteTextChar">
    <w:name w:val="Footnote Text Char"/>
    <w:basedOn w:val="DefaultParagraphFont"/>
    <w:link w:val="FootnoteText"/>
    <w:rsid w:val="003F27E8"/>
    <w:rPr>
      <w:sz w:val="18"/>
      <w:szCs w:val="18"/>
    </w:rPr>
  </w:style>
  <w:style w:type="character" w:styleId="FootnoteReference">
    <w:name w:val="footnote reference"/>
    <w:basedOn w:val="DefaultParagraphFont"/>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3F27E8"/>
    <w:pPr>
      <w:tabs>
        <w:tab w:val="left" w:pos="1134"/>
        <w:tab w:val="left" w:pos="1565"/>
        <w:tab w:val="left" w:pos="1996"/>
        <w:tab w:val="left" w:pos="2427"/>
      </w:tabs>
      <w:spacing w:after="120"/>
      <w:ind w:left="1565" w:right="1134"/>
    </w:pPr>
    <w:rPr>
      <w:szCs w:val="21"/>
    </w:rPr>
  </w:style>
  <w:style w:type="paragraph" w:styleId="EndnoteText">
    <w:name w:val="endnote text"/>
    <w:basedOn w:val="Normal"/>
    <w:link w:val="EndnoteTextChar"/>
    <w:qFormat/>
    <w:rsid w:val="003F27E8"/>
    <w:pPr>
      <w:tabs>
        <w:tab w:val="clear" w:pos="431"/>
        <w:tab w:val="right" w:pos="1021"/>
      </w:tabs>
    </w:pPr>
    <w:rPr>
      <w:sz w:val="18"/>
    </w:rPr>
  </w:style>
  <w:style w:type="character" w:customStyle="1" w:styleId="EndnoteTextChar">
    <w:name w:val="Endnote Text Char"/>
    <w:basedOn w:val="DefaultParagraphFont"/>
    <w:link w:val="EndnoteText"/>
    <w:rsid w:val="003F27E8"/>
    <w:rPr>
      <w:snapToGrid w:val="0"/>
      <w:sz w:val="18"/>
    </w:rPr>
  </w:style>
  <w:style w:type="character" w:styleId="EndnoteReference">
    <w:name w:val="endnote reference"/>
    <w:basedOn w:val="DefaultParagraphFont"/>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5F00C7"/>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5F00C7"/>
    <w:rPr>
      <w:rFonts w:eastAsia="Times New Roman"/>
      <w:snapToGrid w:val="0"/>
      <w:sz w:val="16"/>
      <w:szCs w:val="16"/>
      <w:lang w:val="en-GB" w:eastAsia="en-US"/>
    </w:rPr>
  </w:style>
  <w:style w:type="character" w:styleId="PageNumber">
    <w:name w:val="page number"/>
    <w:basedOn w:val="DefaultParagraphFont"/>
    <w:qFormat/>
    <w:rsid w:val="005F00C7"/>
    <w:rPr>
      <w:rFonts w:ascii="Times New Roman" w:hAnsi="Times New Roman"/>
      <w:b/>
      <w:i w:val="0"/>
      <w:snapToGrid w:val="0"/>
      <w:spacing w:val="0"/>
      <w:kern w:val="0"/>
      <w:sz w:val="18"/>
      <w14:cntxtAlts w14:val="0"/>
    </w:rPr>
  </w:style>
  <w:style w:type="paragraph" w:styleId="Header">
    <w:name w:val="header"/>
    <w:basedOn w:val="Normal"/>
    <w:link w:val="HeaderChar"/>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5F00C7"/>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character" w:styleId="Hyperlink">
    <w:name w:val="Hyperlink"/>
    <w:semiHidden/>
    <w:rsid w:val="00645F38"/>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FootnoteTextChar">
    <w:name w:val="Footnote Text Char"/>
    <w:basedOn w:val="DefaultParagraphFont"/>
    <w:link w:val="FootnoteText"/>
    <w:rsid w:val="003F27E8"/>
    <w:rPr>
      <w:sz w:val="18"/>
      <w:szCs w:val="18"/>
    </w:rPr>
  </w:style>
  <w:style w:type="character" w:styleId="FootnoteReference">
    <w:name w:val="footnote reference"/>
    <w:basedOn w:val="DefaultParagraphFont"/>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3F27E8"/>
    <w:pPr>
      <w:tabs>
        <w:tab w:val="left" w:pos="1134"/>
        <w:tab w:val="left" w:pos="1565"/>
        <w:tab w:val="left" w:pos="1996"/>
        <w:tab w:val="left" w:pos="2427"/>
      </w:tabs>
      <w:spacing w:after="120"/>
      <w:ind w:left="1565" w:right="1134"/>
    </w:pPr>
    <w:rPr>
      <w:szCs w:val="21"/>
    </w:rPr>
  </w:style>
  <w:style w:type="paragraph" w:styleId="EndnoteText">
    <w:name w:val="endnote text"/>
    <w:basedOn w:val="Normal"/>
    <w:link w:val="EndnoteTextChar"/>
    <w:qFormat/>
    <w:rsid w:val="003F27E8"/>
    <w:pPr>
      <w:tabs>
        <w:tab w:val="clear" w:pos="431"/>
        <w:tab w:val="right" w:pos="1021"/>
      </w:tabs>
    </w:pPr>
    <w:rPr>
      <w:sz w:val="18"/>
    </w:rPr>
  </w:style>
  <w:style w:type="character" w:customStyle="1" w:styleId="EndnoteTextChar">
    <w:name w:val="Endnote Text Char"/>
    <w:basedOn w:val="DefaultParagraphFont"/>
    <w:link w:val="EndnoteText"/>
    <w:rsid w:val="003F27E8"/>
    <w:rPr>
      <w:snapToGrid w:val="0"/>
      <w:sz w:val="18"/>
    </w:rPr>
  </w:style>
  <w:style w:type="character" w:styleId="EndnoteReference">
    <w:name w:val="endnote reference"/>
    <w:basedOn w:val="DefaultParagraphFont"/>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5F00C7"/>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5F00C7"/>
    <w:rPr>
      <w:rFonts w:eastAsia="Times New Roman"/>
      <w:snapToGrid w:val="0"/>
      <w:sz w:val="16"/>
      <w:szCs w:val="16"/>
      <w:lang w:val="en-GB" w:eastAsia="en-US"/>
    </w:rPr>
  </w:style>
  <w:style w:type="character" w:styleId="PageNumber">
    <w:name w:val="page number"/>
    <w:basedOn w:val="DefaultParagraphFont"/>
    <w:qFormat/>
    <w:rsid w:val="005F00C7"/>
    <w:rPr>
      <w:rFonts w:ascii="Times New Roman" w:hAnsi="Times New Roman"/>
      <w:b/>
      <w:i w:val="0"/>
      <w:snapToGrid w:val="0"/>
      <w:spacing w:val="0"/>
      <w:kern w:val="0"/>
      <w:sz w:val="18"/>
      <w14:cntxtAlts w14:val="0"/>
    </w:rPr>
  </w:style>
  <w:style w:type="paragraph" w:styleId="Header">
    <w:name w:val="header"/>
    <w:basedOn w:val="Normal"/>
    <w:link w:val="HeaderChar"/>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5F00C7"/>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character" w:styleId="Hyperlink">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Cover%20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C723D-3B05-428A-97DD-34D516D10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1325</Words>
  <Characters>7554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1608243</vt:lpstr>
    </vt:vector>
  </TitlesOfParts>
  <Company>DCM</Company>
  <LinksUpToDate>false</LinksUpToDate>
  <CharactersWithSpaces>8862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1608243</dc:title>
  <dc:subject>CRPD/C/SRB/CO/1</dc:subject>
  <dc:creator>Xin</dc:creator>
  <cp:lastModifiedBy>yangw</cp:lastModifiedBy>
  <cp:revision>2</cp:revision>
  <cp:lastPrinted>2014-05-09T11:28:00Z</cp:lastPrinted>
  <dcterms:created xsi:type="dcterms:W3CDTF">2016-10-10T13:21:00Z</dcterms:created>
  <dcterms:modified xsi:type="dcterms:W3CDTF">2016-10-10T13:21:00Z</dcterms:modified>
</cp:coreProperties>
</file>