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061CE163" w14:textId="77777777" w:rsidTr="00BC3629">
        <w:trPr>
          <w:trHeight w:hRule="exact" w:val="851"/>
        </w:trPr>
        <w:tc>
          <w:tcPr>
            <w:tcW w:w="142" w:type="dxa"/>
            <w:tcBorders>
              <w:bottom w:val="single" w:sz="4" w:space="0" w:color="auto"/>
            </w:tcBorders>
          </w:tcPr>
          <w:p w14:paraId="297D8164" w14:textId="77777777" w:rsidR="002D5AAC" w:rsidRPr="00F933A4" w:rsidRDefault="002D5AAC" w:rsidP="00C5131B">
            <w:pPr>
              <w:kinsoku w:val="0"/>
              <w:overflowPunct w:val="0"/>
              <w:autoSpaceDE w:val="0"/>
              <w:autoSpaceDN w:val="0"/>
              <w:adjustRightInd w:val="0"/>
              <w:snapToGrid w:val="0"/>
              <w:rPr>
                <w:lang w:val="fr-CH"/>
              </w:rPr>
            </w:pPr>
          </w:p>
        </w:tc>
        <w:tc>
          <w:tcPr>
            <w:tcW w:w="4820" w:type="dxa"/>
            <w:gridSpan w:val="2"/>
            <w:tcBorders>
              <w:bottom w:val="single" w:sz="4" w:space="0" w:color="auto"/>
            </w:tcBorders>
            <w:vAlign w:val="bottom"/>
          </w:tcPr>
          <w:p w14:paraId="4ED9AD2C"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FD554A4" w14:textId="06C1176A" w:rsidR="002D5AAC" w:rsidRDefault="00C5131B" w:rsidP="00C5131B">
            <w:pPr>
              <w:jc w:val="right"/>
            </w:pPr>
            <w:r w:rsidRPr="00C5131B">
              <w:rPr>
                <w:sz w:val="40"/>
              </w:rPr>
              <w:t>CCPR</w:t>
            </w:r>
            <w:r>
              <w:t>/C/HTI/CO/2</w:t>
            </w:r>
          </w:p>
        </w:tc>
      </w:tr>
      <w:tr w:rsidR="002D5AAC" w:rsidRPr="00BA1E0D" w14:paraId="23836B17" w14:textId="77777777" w:rsidTr="00BC3629">
        <w:trPr>
          <w:trHeight w:hRule="exact" w:val="2835"/>
        </w:trPr>
        <w:tc>
          <w:tcPr>
            <w:tcW w:w="1280" w:type="dxa"/>
            <w:gridSpan w:val="2"/>
            <w:tcBorders>
              <w:top w:val="single" w:sz="4" w:space="0" w:color="auto"/>
              <w:bottom w:val="single" w:sz="12" w:space="0" w:color="auto"/>
            </w:tcBorders>
          </w:tcPr>
          <w:p w14:paraId="1CFF4339" w14:textId="77777777" w:rsidR="002D5AAC" w:rsidRDefault="002E5067" w:rsidP="00BC3629">
            <w:pPr>
              <w:spacing w:before="120"/>
              <w:jc w:val="center"/>
            </w:pPr>
            <w:r>
              <w:rPr>
                <w:noProof/>
                <w:lang w:val="fr-CH" w:eastAsia="fr-CH"/>
              </w:rPr>
              <w:drawing>
                <wp:inline distT="0" distB="0" distL="0" distR="0" wp14:anchorId="160BEAA5" wp14:editId="623572A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C2944A"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441EB9D0" w14:textId="77777777" w:rsidR="002D5AAC" w:rsidRPr="00C5131B" w:rsidRDefault="00C5131B" w:rsidP="00BC3629">
            <w:pPr>
              <w:spacing w:before="240"/>
              <w:rPr>
                <w:lang w:val="en-US"/>
              </w:rPr>
            </w:pPr>
            <w:r w:rsidRPr="00C5131B">
              <w:rPr>
                <w:lang w:val="en-US"/>
              </w:rPr>
              <w:t>Distr.: General</w:t>
            </w:r>
          </w:p>
          <w:p w14:paraId="12423F8F" w14:textId="77777777" w:rsidR="00C5131B" w:rsidRPr="00C5131B" w:rsidRDefault="00C5131B" w:rsidP="00C5131B">
            <w:pPr>
              <w:spacing w:line="240" w:lineRule="exact"/>
              <w:rPr>
                <w:lang w:val="en-US"/>
              </w:rPr>
            </w:pPr>
            <w:r w:rsidRPr="00C5131B">
              <w:rPr>
                <w:lang w:val="en-US"/>
              </w:rPr>
              <w:t>29 July 2025</w:t>
            </w:r>
          </w:p>
          <w:p w14:paraId="74D32A79" w14:textId="77777777" w:rsidR="00C5131B" w:rsidRPr="00C5131B" w:rsidRDefault="00C5131B" w:rsidP="00C5131B">
            <w:pPr>
              <w:spacing w:line="240" w:lineRule="exact"/>
              <w:rPr>
                <w:lang w:val="en-US"/>
              </w:rPr>
            </w:pPr>
            <w:r w:rsidRPr="00C5131B">
              <w:rPr>
                <w:lang w:val="en-US"/>
              </w:rPr>
              <w:t>Russian</w:t>
            </w:r>
          </w:p>
          <w:p w14:paraId="4EBF7F4C" w14:textId="0A700851" w:rsidR="00C5131B" w:rsidRPr="00C5131B" w:rsidRDefault="00C5131B" w:rsidP="00C5131B">
            <w:pPr>
              <w:spacing w:line="240" w:lineRule="exact"/>
              <w:rPr>
                <w:lang w:val="en-US"/>
              </w:rPr>
            </w:pPr>
            <w:r w:rsidRPr="00C5131B">
              <w:rPr>
                <w:lang w:val="en-US"/>
              </w:rPr>
              <w:t>Original: French</w:t>
            </w:r>
          </w:p>
        </w:tc>
      </w:tr>
    </w:tbl>
    <w:p w14:paraId="3CC8766A" w14:textId="77777777" w:rsidR="002B4995" w:rsidRPr="00850335" w:rsidRDefault="002B4995" w:rsidP="002B4995">
      <w:pPr>
        <w:spacing w:before="120"/>
        <w:rPr>
          <w:b/>
          <w:sz w:val="24"/>
          <w:szCs w:val="24"/>
        </w:rPr>
      </w:pPr>
      <w:r w:rsidRPr="00850335">
        <w:rPr>
          <w:b/>
          <w:bCs/>
          <w:sz w:val="24"/>
          <w:szCs w:val="24"/>
        </w:rPr>
        <w:t>Комитет по правам человека</w:t>
      </w:r>
    </w:p>
    <w:p w14:paraId="71739613" w14:textId="77777777" w:rsidR="002B4995" w:rsidRPr="006B04DF" w:rsidRDefault="002B4995" w:rsidP="002B4995">
      <w:pPr>
        <w:pStyle w:val="HChG"/>
        <w:rPr>
          <w:szCs w:val="28"/>
        </w:rPr>
      </w:pPr>
      <w:r>
        <w:tab/>
      </w:r>
      <w:r>
        <w:tab/>
      </w:r>
      <w:r>
        <w:rPr>
          <w:bCs/>
        </w:rPr>
        <w:t>Заключительные замечания по второму периодическому докладу Гаити</w:t>
      </w:r>
      <w:r w:rsidRPr="00850335">
        <w:rPr>
          <w:rStyle w:val="aa"/>
          <w:b w:val="0"/>
          <w:bCs/>
          <w:sz w:val="20"/>
          <w:vertAlign w:val="baseline"/>
        </w:rPr>
        <w:footnoteReference w:customMarkFollows="1" w:id="1"/>
        <w:t>*</w:t>
      </w:r>
    </w:p>
    <w:p w14:paraId="7A51415F" w14:textId="77777777" w:rsidR="002B4995" w:rsidRPr="00BA1E0D" w:rsidRDefault="002B4995" w:rsidP="002B4995">
      <w:pPr>
        <w:pStyle w:val="SingleTxtG"/>
      </w:pPr>
      <w:r>
        <w:t>1.</w:t>
      </w:r>
      <w:r>
        <w:tab/>
        <w:t>Комитет по правам человека рассмотрел второй периодический доклад Гаити</w:t>
      </w:r>
      <w:r w:rsidRPr="003B63ED">
        <w:rPr>
          <w:rStyle w:val="aa"/>
        </w:rPr>
        <w:footnoteReference w:id="2"/>
      </w:r>
      <w:r>
        <w:t xml:space="preserve"> на своих 4240-м и 4241-м заседаниях</w:t>
      </w:r>
      <w:r w:rsidRPr="003B63ED">
        <w:rPr>
          <w:rStyle w:val="aa"/>
        </w:rPr>
        <w:footnoteReference w:id="3"/>
      </w:r>
      <w:r>
        <w:t>, прошедших 3 и 4 июля 2025 года. На своем 4256-м заседании, состоявшемся 15 июля 2025 года, он принял настоящие заключительные замечания.</w:t>
      </w:r>
      <w:bookmarkStart w:id="0" w:name="_Hlk202975335"/>
      <w:bookmarkEnd w:id="0"/>
    </w:p>
    <w:p w14:paraId="1A45DE10" w14:textId="0CFA1FFF" w:rsidR="002B4995" w:rsidRPr="006B04DF" w:rsidRDefault="00A50D15" w:rsidP="002B4995">
      <w:pPr>
        <w:pStyle w:val="H1G"/>
      </w:pPr>
      <w:r>
        <w:rPr>
          <w:bCs/>
        </w:rPr>
        <w:tab/>
      </w:r>
      <w:r w:rsidR="002B4995">
        <w:rPr>
          <w:bCs/>
        </w:rPr>
        <w:t>A.</w:t>
      </w:r>
      <w:r w:rsidR="002B4995">
        <w:tab/>
      </w:r>
      <w:r w:rsidR="002B4995">
        <w:rPr>
          <w:bCs/>
        </w:rPr>
        <w:t>Введение</w:t>
      </w:r>
    </w:p>
    <w:p w14:paraId="0564CBBB" w14:textId="77777777" w:rsidR="002B4995" w:rsidRPr="006B04DF" w:rsidRDefault="002B4995" w:rsidP="002B4995">
      <w:pPr>
        <w:pStyle w:val="SingleTxtG"/>
      </w:pPr>
      <w:r>
        <w:t>2.</w:t>
      </w:r>
      <w:r>
        <w:tab/>
        <w:t>Комитет приветствует представление второго периодического доклада Гаити и содержащуюся в нем информацию. Комитет выражает признательность за возможность возобновления конструктивного диалога с делегацией высокого уровня государства-участника по вопросу о мерах, принятых в отчетный период с целью осуществления положений Пакта. Комитет выражает благодарность государству-участнику за его письменные ответы</w:t>
      </w:r>
      <w:r w:rsidRPr="003B63ED">
        <w:rPr>
          <w:rStyle w:val="aa"/>
        </w:rPr>
        <w:footnoteReference w:id="4"/>
      </w:r>
      <w:r>
        <w:t xml:space="preserve"> на перечень вопросов</w:t>
      </w:r>
      <w:r w:rsidRPr="003B63ED">
        <w:rPr>
          <w:rStyle w:val="aa"/>
        </w:rPr>
        <w:footnoteReference w:id="5"/>
      </w:r>
      <w:r>
        <w:t>, которые были дополнены устными ответами членов делегации, а также за дополнительную информацию, представленную ему в письменном виде в июне 2025 года</w:t>
      </w:r>
      <w:r w:rsidRPr="003B63ED">
        <w:rPr>
          <w:rStyle w:val="aa"/>
        </w:rPr>
        <w:footnoteReference w:id="6"/>
      </w:r>
      <w:r>
        <w:t>.</w:t>
      </w:r>
    </w:p>
    <w:p w14:paraId="06E87617" w14:textId="77777777" w:rsidR="002B4995" w:rsidRPr="006B04DF" w:rsidRDefault="002B4995" w:rsidP="002B4995">
      <w:pPr>
        <w:pStyle w:val="SingleTxtG"/>
      </w:pPr>
      <w:r>
        <w:t>3.</w:t>
      </w:r>
      <w:r>
        <w:tab/>
        <w:t>Комитет серьезно обеспокоен проблемами, с которыми сталкивается государство-участник в связи с ситуацией в области безопасности. Он напоминает, что обязательства по Пакту применяются во все времена, и настоятельно призывает государство-участник восстановить верховенство права, защиту прав, доверие населения и демократическое управление.</w:t>
      </w:r>
    </w:p>
    <w:p w14:paraId="1F0709D4" w14:textId="5BB1E610" w:rsidR="002B4995" w:rsidRPr="006B04DF" w:rsidRDefault="005F0566" w:rsidP="002B4995">
      <w:pPr>
        <w:pStyle w:val="H1G"/>
      </w:pPr>
      <w:r>
        <w:rPr>
          <w:bCs/>
        </w:rPr>
        <w:tab/>
      </w:r>
      <w:r w:rsidR="002B4995">
        <w:rPr>
          <w:bCs/>
        </w:rPr>
        <w:t>B.</w:t>
      </w:r>
      <w:r w:rsidR="002B4995">
        <w:tab/>
      </w:r>
      <w:r w:rsidR="002B4995">
        <w:rPr>
          <w:bCs/>
        </w:rPr>
        <w:t>Позитивные аспекты</w:t>
      </w:r>
    </w:p>
    <w:p w14:paraId="6C10C9B4" w14:textId="77777777" w:rsidR="002B4995" w:rsidRPr="006B04DF" w:rsidRDefault="002B4995" w:rsidP="002B4995">
      <w:pPr>
        <w:pStyle w:val="SingleTxtG"/>
      </w:pPr>
      <w:r>
        <w:t>4.</w:t>
      </w:r>
      <w:r>
        <w:tab/>
        <w:t>Комитет приветствует следующие законодательные и институциональные меры:</w:t>
      </w:r>
    </w:p>
    <w:p w14:paraId="5B16E75D" w14:textId="77777777" w:rsidR="002B4995" w:rsidRPr="006B04DF" w:rsidRDefault="002B4995" w:rsidP="002B4995">
      <w:pPr>
        <w:pStyle w:val="SingleTxtG"/>
        <w:ind w:firstLine="567"/>
      </w:pPr>
      <w:r>
        <w:t>a)</w:t>
      </w:r>
      <w:r>
        <w:tab/>
        <w:t>принятие в 2025 году нового Уголовного кодекса и нового Уголовно-процессуального кодекса;</w:t>
      </w:r>
    </w:p>
    <w:p w14:paraId="18B6C70F" w14:textId="7B24C35D" w:rsidR="002B4995" w:rsidRPr="006B04DF" w:rsidRDefault="002B4995" w:rsidP="002B4995">
      <w:pPr>
        <w:pStyle w:val="SingleTxtG"/>
        <w:ind w:firstLine="567"/>
      </w:pPr>
      <w:r>
        <w:t>b)</w:t>
      </w:r>
      <w:r>
        <w:tab/>
        <w:t>принятие в 2018 году Закона № 6</w:t>
      </w:r>
      <w:r w:rsidR="00BA1E0D">
        <w:t>-</w:t>
      </w:r>
      <w:r>
        <w:t>2018 о правовой помощи;</w:t>
      </w:r>
    </w:p>
    <w:p w14:paraId="36FF4FFC" w14:textId="77777777" w:rsidR="002B4995" w:rsidRPr="006B04DF" w:rsidRDefault="002B4995" w:rsidP="002B4995">
      <w:pPr>
        <w:pStyle w:val="SingleTxtG"/>
        <w:ind w:firstLine="567"/>
      </w:pPr>
      <w:r>
        <w:t>c)</w:t>
      </w:r>
      <w:r>
        <w:tab/>
        <w:t>принятие в 2014 году Закона о борьбе с торговлей людьми;</w:t>
      </w:r>
    </w:p>
    <w:p w14:paraId="7BAC3F99" w14:textId="77777777" w:rsidR="002B4995" w:rsidRPr="006B04DF" w:rsidRDefault="002B4995" w:rsidP="002B4995">
      <w:pPr>
        <w:pStyle w:val="SingleTxtG"/>
        <w:ind w:firstLine="567"/>
      </w:pPr>
      <w:r>
        <w:t>d)</w:t>
      </w:r>
      <w:r>
        <w:tab/>
        <w:t xml:space="preserve">принятие Указа от 14 апреля 2025 года о создании судебных подразделений, специализирующихся на противодействии сложным финансовым </w:t>
      </w:r>
      <w:r>
        <w:lastRenderedPageBreak/>
        <w:t>преступлениям и правонарушениям, а также массовым преступлениям и сексуальному насилию;</w:t>
      </w:r>
    </w:p>
    <w:p w14:paraId="1A10D49C" w14:textId="77777777" w:rsidR="002B4995" w:rsidRPr="006B04DF" w:rsidRDefault="002B4995" w:rsidP="002B4995">
      <w:pPr>
        <w:pStyle w:val="SingleTxtG"/>
        <w:ind w:firstLine="567"/>
      </w:pPr>
      <w:r>
        <w:t>e)</w:t>
      </w:r>
      <w:r>
        <w:tab/>
        <w:t>принятие Указа от 30 апреля 2023 года о мерах наказания за отмывание денег, финансирование терроризма и финансирование распространения оружия массового уничтожения в Гаити;</w:t>
      </w:r>
    </w:p>
    <w:p w14:paraId="12B91A40" w14:textId="77777777" w:rsidR="002B4995" w:rsidRPr="006B04DF" w:rsidRDefault="002B4995" w:rsidP="002B4995">
      <w:pPr>
        <w:pStyle w:val="SingleTxtG"/>
        <w:ind w:firstLine="567"/>
      </w:pPr>
      <w:r>
        <w:t>f)</w:t>
      </w:r>
      <w:r>
        <w:tab/>
        <w:t>принятие в феврале 2015 года Указа о выборах;</w:t>
      </w:r>
    </w:p>
    <w:p w14:paraId="6230B7DB" w14:textId="77777777" w:rsidR="002B4995" w:rsidRPr="006B04DF" w:rsidRDefault="002B4995" w:rsidP="002B4995">
      <w:pPr>
        <w:pStyle w:val="SingleTxtG"/>
        <w:ind w:firstLine="567"/>
      </w:pPr>
      <w:r>
        <w:t>g)</w:t>
      </w:r>
      <w:r>
        <w:tab/>
        <w:t>создание шести новых судов первой инстанции и соответствующих органов прокуратуры в период с сентября 2024 года по апрель 2025 года.</w:t>
      </w:r>
    </w:p>
    <w:p w14:paraId="020A25A7" w14:textId="0A09D654" w:rsidR="002B4995" w:rsidRPr="006B04DF" w:rsidRDefault="002B4995" w:rsidP="002B4995">
      <w:pPr>
        <w:pStyle w:val="SingleTxtG"/>
      </w:pPr>
      <w:r>
        <w:t>5.</w:t>
      </w:r>
      <w:r>
        <w:tab/>
        <w:t>Комитет приветствует присоединение государства-участника в сентябре 2018</w:t>
      </w:r>
      <w:r w:rsidR="005427B1">
        <w:t> </w:t>
      </w:r>
      <w:r>
        <w:t>года к Конвенции о статусе апатридов и Конвенции о сокращении безгражданства.</w:t>
      </w:r>
    </w:p>
    <w:p w14:paraId="5A532A05" w14:textId="14148BAD" w:rsidR="002B4995" w:rsidRPr="006B04DF" w:rsidRDefault="00E44A72" w:rsidP="002B4995">
      <w:pPr>
        <w:pStyle w:val="H1G"/>
        <w:rPr>
          <w:bCs/>
        </w:rPr>
      </w:pPr>
      <w:r>
        <w:rPr>
          <w:bCs/>
        </w:rPr>
        <w:tab/>
      </w:r>
      <w:r w:rsidR="002B4995">
        <w:rPr>
          <w:bCs/>
        </w:rPr>
        <w:t>C.</w:t>
      </w:r>
      <w:r w:rsidR="002B4995">
        <w:tab/>
      </w:r>
      <w:r w:rsidR="002B4995">
        <w:rPr>
          <w:bCs/>
        </w:rPr>
        <w:t>Основные вопросы, вызывающие обеспокоенность, и</w:t>
      </w:r>
      <w:r w:rsidR="007B4A76">
        <w:rPr>
          <w:bCs/>
        </w:rPr>
        <w:t> </w:t>
      </w:r>
      <w:r w:rsidR="002B4995">
        <w:rPr>
          <w:bCs/>
        </w:rPr>
        <w:t>рекомендации</w:t>
      </w:r>
      <w:bookmarkStart w:id="1" w:name="_Hlk171349142"/>
      <w:bookmarkEnd w:id="1"/>
    </w:p>
    <w:p w14:paraId="437FDE0E" w14:textId="77777777" w:rsidR="002B4995" w:rsidRPr="006B04DF" w:rsidRDefault="002B4995" w:rsidP="002B4995">
      <w:pPr>
        <w:pStyle w:val="H23G"/>
      </w:pPr>
      <w:r>
        <w:tab/>
      </w:r>
      <w:r>
        <w:tab/>
      </w:r>
      <w:r>
        <w:rPr>
          <w:bCs/>
        </w:rPr>
        <w:t>Конституционная и правовая основа осуществления Пакта</w:t>
      </w:r>
    </w:p>
    <w:p w14:paraId="1B76A092" w14:textId="77777777" w:rsidR="002B4995" w:rsidRPr="006B04DF" w:rsidRDefault="002B4995" w:rsidP="002B4995">
      <w:pPr>
        <w:pStyle w:val="SingleTxtG"/>
      </w:pPr>
      <w:r>
        <w:t>6.</w:t>
      </w:r>
      <w:r>
        <w:tab/>
        <w:t>Комитет приветствует организацию учебных семинаров для судей и членов правительственных комиссий по положениям международных договоров по правам человека. Вместе с тем он выражает сожаление по поводу того, что государство-участник не привело конкретных примеров непосредственного применения его органами власти положений Пакта. Комитет с обеспокоенностью отмечает отсутствие конкретной информации о том, насколько предварительный проект новой конституции соответствует правам, закрепленным в Пакте. Комитет обеспокоен тем, что многие слои населения, вероятно, не смогут принять участие в запланированном референдуме по новой конституции из-за напряженной обстановки в плане безопасности, особенно в зонах повышенного риска (статьи 2 и 25).</w:t>
      </w:r>
    </w:p>
    <w:p w14:paraId="30FAC094" w14:textId="77777777" w:rsidR="002B4995" w:rsidRPr="006B04DF" w:rsidRDefault="002B4995" w:rsidP="002B4995">
      <w:pPr>
        <w:pStyle w:val="SingleTxtG"/>
        <w:rPr>
          <w:b/>
          <w:bCs/>
        </w:rPr>
      </w:pPr>
      <w:r>
        <w:t>7.</w:t>
      </w:r>
      <w:r>
        <w:tab/>
      </w:r>
      <w:r>
        <w:rPr>
          <w:b/>
          <w:bCs/>
        </w:rPr>
        <w:t>Государству-участнику следует обеспечить, чтобы все его действующие законы, а также все новые законодательные меры, включая новую конституцию, в полной мере соответствовали положениям Пакта.</w:t>
      </w:r>
      <w:r>
        <w:t xml:space="preserve"> </w:t>
      </w:r>
      <w:r>
        <w:rPr>
          <w:b/>
          <w:bCs/>
        </w:rPr>
        <w:t>Ему также следует:</w:t>
      </w:r>
    </w:p>
    <w:p w14:paraId="1EBAC8CE" w14:textId="77777777" w:rsidR="002B4995" w:rsidRPr="006B04DF" w:rsidRDefault="002B4995" w:rsidP="002B4995">
      <w:pPr>
        <w:pStyle w:val="SingleTxtG"/>
        <w:ind w:firstLine="567"/>
        <w:rPr>
          <w:b/>
          <w:bCs/>
        </w:rPr>
      </w:pPr>
      <w:r>
        <w:rPr>
          <w:b/>
          <w:bCs/>
        </w:rPr>
        <w:t>a)</w:t>
      </w:r>
      <w:r>
        <w:tab/>
      </w:r>
      <w:r>
        <w:rPr>
          <w:b/>
          <w:bCs/>
        </w:rPr>
        <w:t>гарантировать широкое участие представителей различных слоев населения в работе над проектом новой конституции, а также участие всего населения в запланированном референдуме по новой конституции;</w:t>
      </w:r>
    </w:p>
    <w:p w14:paraId="7EB654E8" w14:textId="4543BE7B" w:rsidR="002B4995" w:rsidRPr="006B04DF" w:rsidRDefault="002B4995" w:rsidP="002B4995">
      <w:pPr>
        <w:pStyle w:val="SingleTxtG"/>
        <w:ind w:firstLine="567"/>
        <w:rPr>
          <w:b/>
          <w:bCs/>
        </w:rPr>
      </w:pPr>
      <w:r>
        <w:rPr>
          <w:b/>
          <w:bCs/>
        </w:rPr>
        <w:t>b)</w:t>
      </w:r>
      <w:r>
        <w:tab/>
      </w:r>
      <w:r>
        <w:rPr>
          <w:b/>
          <w:bCs/>
        </w:rPr>
        <w:t>активизировать работу по повышению уровня осведомленности о Пакте среди судей, прокуроров, адвокатов, сотрудников правоохранительных органов, а также широкой общественности, с тем чтобы на их положения напрямую ссылались в национальных судах, а суды в свою очередь учитывали и применяли их</w:t>
      </w:r>
      <w:r w:rsidR="00BA1E0D">
        <w:rPr>
          <w:b/>
          <w:bCs/>
        </w:rPr>
        <w:t>;</w:t>
      </w:r>
    </w:p>
    <w:p w14:paraId="33E452D3" w14:textId="77777777" w:rsidR="002B4995" w:rsidRPr="006B04DF" w:rsidRDefault="002B4995" w:rsidP="002B4995">
      <w:pPr>
        <w:pStyle w:val="SingleTxtG"/>
        <w:ind w:firstLine="567"/>
        <w:rPr>
          <w:b/>
          <w:bCs/>
        </w:rPr>
      </w:pPr>
      <w:r>
        <w:rPr>
          <w:b/>
          <w:bCs/>
        </w:rPr>
        <w:t>c)</w:t>
      </w:r>
      <w:r>
        <w:tab/>
      </w:r>
      <w:r>
        <w:rPr>
          <w:b/>
          <w:bCs/>
        </w:rPr>
        <w:t>обеспечить, чтобы предварительный проект новой конституции соответствовал положениям Пакта, чтобы в работу над ним были вовлечены широкие слои населения и чтобы связанный с ним референдум был проведен при соблюдении прав, закрепленных в Пакте.</w:t>
      </w:r>
    </w:p>
    <w:p w14:paraId="594A3CF2" w14:textId="77777777" w:rsidR="002B4995" w:rsidRPr="006B04DF" w:rsidRDefault="002B4995" w:rsidP="002B4995">
      <w:pPr>
        <w:pStyle w:val="H23G"/>
      </w:pPr>
      <w:r>
        <w:tab/>
      </w:r>
      <w:r>
        <w:tab/>
      </w:r>
      <w:r>
        <w:rPr>
          <w:bCs/>
        </w:rPr>
        <w:t>Национальное правозащитное учреждение</w:t>
      </w:r>
    </w:p>
    <w:p w14:paraId="1010F705" w14:textId="52EF4EBF" w:rsidR="002B4995" w:rsidRPr="006B04DF" w:rsidRDefault="002B4995" w:rsidP="002B4995">
      <w:pPr>
        <w:pStyle w:val="SingleTxtG"/>
      </w:pPr>
      <w:r>
        <w:t>8.</w:t>
      </w:r>
      <w:r>
        <w:tab/>
        <w:t>Комитет отмечает увеличение бюджета, выделяемого Управлению по защите граждан. Однако он по-прежнему обеспокоен сообщениями о том, что</w:t>
      </w:r>
      <w:r w:rsidR="00BA1E0D">
        <w:t>,</w:t>
      </w:r>
      <w:r>
        <w:t xml:space="preserve"> несмотря на это увеличение, Управление не располагает достаточными финансовыми ресурсами; отсутствием информации о намерении государства-участника позволить Управлению рассматривать случаи нарушений прав человека, вызванных действиями или бездействием частных субъектов; а также отсутствием информации о мерах, принятых государством-участником для обеспечения выполнения рекомендаций Управления по защите граждан (статья 2).</w:t>
      </w:r>
    </w:p>
    <w:p w14:paraId="75E12BE4" w14:textId="77777777" w:rsidR="002B4995" w:rsidRPr="006B04DF" w:rsidRDefault="002B4995" w:rsidP="002B4995">
      <w:pPr>
        <w:pStyle w:val="SingleTxtG"/>
        <w:rPr>
          <w:b/>
          <w:bCs/>
        </w:rPr>
      </w:pPr>
      <w:r>
        <w:t>9.</w:t>
      </w:r>
      <w:r>
        <w:tab/>
      </w:r>
      <w:r>
        <w:rPr>
          <w:b/>
          <w:bCs/>
        </w:rPr>
        <w:t xml:space="preserve">Государству-участнику следует принять все необходимые меры для обеспечения того, чтобы Управление по защите граждан полностью </w:t>
      </w:r>
      <w:r>
        <w:rPr>
          <w:b/>
          <w:bCs/>
        </w:rPr>
        <w:lastRenderedPageBreak/>
        <w:t>соответствовало принципам, касающимся статуса национальных учреждений, занимающихся поощрением и защитой прав человека (Парижские принципы).</w:t>
      </w:r>
      <w:r>
        <w:t xml:space="preserve"> </w:t>
      </w:r>
      <w:r>
        <w:rPr>
          <w:b/>
          <w:bCs/>
        </w:rPr>
        <w:t>Отмечая, что Управление Верховного комиссара Организации Объединенных Наций по правам человека имеет мандат на поддержку создания и укрепления национальных правозащитных учреждений, Комитет призывает государство-участник обратиться за помощью и поддержкой к Управлению Верховного комиссара Организации Объединенных Наций по правам человека в этом процессе.</w:t>
      </w:r>
      <w:r>
        <w:t xml:space="preserve"> </w:t>
      </w:r>
      <w:r>
        <w:rPr>
          <w:b/>
          <w:bCs/>
        </w:rPr>
        <w:t>Государству-участнику также следует:</w:t>
      </w:r>
    </w:p>
    <w:p w14:paraId="5A5DC90E" w14:textId="77777777" w:rsidR="002B4995" w:rsidRPr="006B04DF" w:rsidRDefault="002B4995" w:rsidP="002B4995">
      <w:pPr>
        <w:pStyle w:val="SingleTxtG"/>
        <w:ind w:firstLine="567"/>
        <w:rPr>
          <w:b/>
          <w:bCs/>
        </w:rPr>
      </w:pPr>
      <w:r>
        <w:rPr>
          <w:b/>
          <w:bCs/>
        </w:rPr>
        <w:t>a)</w:t>
      </w:r>
      <w:r>
        <w:tab/>
      </w:r>
      <w:r>
        <w:rPr>
          <w:b/>
          <w:bCs/>
        </w:rPr>
        <w:t>предоставить Управлению по защите граждан достаточные кадровые и финансовые ресурсы для эффективного и независимого выполнения его мандата на всей территории страны;</w:t>
      </w:r>
    </w:p>
    <w:p w14:paraId="5AF70868" w14:textId="77777777" w:rsidR="002B4995" w:rsidRPr="006B04DF" w:rsidRDefault="002B4995" w:rsidP="002B4995">
      <w:pPr>
        <w:pStyle w:val="SingleTxtG"/>
        <w:ind w:firstLine="567"/>
        <w:rPr>
          <w:b/>
          <w:bCs/>
        </w:rPr>
      </w:pPr>
      <w:r>
        <w:rPr>
          <w:b/>
          <w:bCs/>
        </w:rPr>
        <w:t>b)</w:t>
      </w:r>
      <w:r>
        <w:tab/>
      </w:r>
      <w:r>
        <w:rPr>
          <w:b/>
          <w:bCs/>
        </w:rPr>
        <w:t>обеспечить, чтобы Управление по защите граждан могло рассматривать случаи нарушений прав человека, вызванных действиями или бездействием частных субъектов;</w:t>
      </w:r>
    </w:p>
    <w:p w14:paraId="520A7451" w14:textId="77777777" w:rsidR="002B4995" w:rsidRPr="006B04DF" w:rsidRDefault="002B4995" w:rsidP="002B4995">
      <w:pPr>
        <w:pStyle w:val="SingleTxtG"/>
        <w:ind w:firstLine="567"/>
        <w:rPr>
          <w:b/>
          <w:bCs/>
        </w:rPr>
      </w:pPr>
      <w:r>
        <w:rPr>
          <w:b/>
          <w:bCs/>
        </w:rPr>
        <w:t>c)</w:t>
      </w:r>
      <w:r>
        <w:tab/>
      </w:r>
      <w:r>
        <w:rPr>
          <w:b/>
          <w:bCs/>
        </w:rPr>
        <w:t>обеспечить выполнение в полном объеме рекомендаций Управления по защите граждан.</w:t>
      </w:r>
    </w:p>
    <w:p w14:paraId="761D2EE6" w14:textId="77777777" w:rsidR="002B4995" w:rsidRPr="006B04DF" w:rsidRDefault="002B4995" w:rsidP="002B4995">
      <w:pPr>
        <w:pStyle w:val="H23G"/>
      </w:pPr>
      <w:r>
        <w:tab/>
      </w:r>
      <w:r>
        <w:tab/>
      </w:r>
      <w:r>
        <w:rPr>
          <w:bCs/>
        </w:rPr>
        <w:t>Чрезвычайное положение</w:t>
      </w:r>
    </w:p>
    <w:p w14:paraId="589D27D6" w14:textId="77777777" w:rsidR="002B4995" w:rsidRPr="006B04DF" w:rsidRDefault="002B4995" w:rsidP="002B4995">
      <w:pPr>
        <w:pStyle w:val="SingleTxtG"/>
      </w:pPr>
      <w:r>
        <w:t>10.</w:t>
      </w:r>
      <w:r>
        <w:tab/>
        <w:t>Комитет отмечает, что в апреле 2025 года государство-участник продлило чрезвычайное положение и не уведомило Генерального секретаря о каком-либо отступлении от своих обязательств по Пакту (статья 4).</w:t>
      </w:r>
    </w:p>
    <w:p w14:paraId="200E275E" w14:textId="77777777" w:rsidR="002B4995" w:rsidRPr="006B04DF" w:rsidRDefault="002B4995" w:rsidP="002B4995">
      <w:pPr>
        <w:pStyle w:val="SingleTxtG"/>
        <w:rPr>
          <w:b/>
          <w:bCs/>
        </w:rPr>
      </w:pPr>
      <w:r>
        <w:t>11.</w:t>
      </w:r>
      <w:r>
        <w:tab/>
      </w:r>
      <w:r>
        <w:rPr>
          <w:b/>
          <w:bCs/>
        </w:rPr>
        <w:t>С учетом замечания общего порядка № 29 (2001) Комитета об отступлениях от обязательств по Пакту во время чрезвычайного положения и в соответствии со статьей 4 Пакта Комитет подчеркивает, что в случае намерения государства-участника в связи с объявленным чрезвычайным положением отступить от каких-либо обязательств по Пакту оно должно незамедлительно проинформировать об этом другие государства-участники через Генерального секретаря Организации Объединенных Наций, указав положения, от которых оно намерено отступить, и причины такого отступления.</w:t>
      </w:r>
      <w:r>
        <w:t xml:space="preserve"> </w:t>
      </w:r>
      <w:r>
        <w:rPr>
          <w:b/>
          <w:bCs/>
        </w:rPr>
        <w:t>Комитет напоминает, что любые меры, принимаемые в этой связи, должны быть временными, строго необходимыми и соразмерными ситуации, а также подлежать надлежащему судебному пересмотру.</w:t>
      </w:r>
      <w:r>
        <w:t xml:space="preserve"> </w:t>
      </w:r>
      <w:r>
        <w:rPr>
          <w:b/>
          <w:bCs/>
        </w:rPr>
        <w:t>Эта рекомендация никоим образом не предопределяет намерение государства-участника воспользоваться таким отступлением.</w:t>
      </w:r>
    </w:p>
    <w:p w14:paraId="5A0906D5" w14:textId="77777777" w:rsidR="002B4995" w:rsidRPr="006B04DF" w:rsidRDefault="002B4995" w:rsidP="002B4995">
      <w:pPr>
        <w:pStyle w:val="H23G"/>
      </w:pPr>
      <w:r>
        <w:tab/>
      </w:r>
      <w:r>
        <w:tab/>
      </w:r>
      <w:r>
        <w:rPr>
          <w:bCs/>
        </w:rPr>
        <w:t>Меры по борьбе с коррупцией</w:t>
      </w:r>
    </w:p>
    <w:p w14:paraId="2757F05F" w14:textId="4326BB09" w:rsidR="002B4995" w:rsidRPr="006B04DF" w:rsidRDefault="002B4995" w:rsidP="002B4995">
      <w:pPr>
        <w:pStyle w:val="SingleTxtG"/>
      </w:pPr>
      <w:r>
        <w:t>12.</w:t>
      </w:r>
      <w:r>
        <w:tab/>
        <w:t>Комитет отмечает усилия, предпринятые государством-участником для борьбы с коррупцией, но выражает сожаление по поводу того, что коррупция по-прежнему широко распространена в учреждениях государства-участника, особенно в органах правосудия и полиции. Комитет с обеспокоенностью отмечает, что коррупция остается одной из глубинных причин кризисов в области безопасности и в гуманитарной сфере, а институциональные и стратегические механизмы борьбы с коррупцией остаются недостаточно эффективными: судебные преследования крайне редко приводят к реальному привлечению к ответственности лиц, подозреваемых в коррупции, хищении средств или отмывании денег</w:t>
      </w:r>
      <w:r w:rsidRPr="003B63ED">
        <w:rPr>
          <w:rStyle w:val="aa"/>
        </w:rPr>
        <w:footnoteReference w:id="7"/>
      </w:r>
      <w:r>
        <w:t xml:space="preserve">. В связи с этим Комитет с сожалением отмечает, что с момента начала расследования в 2018 году по делу </w:t>
      </w:r>
      <w:r w:rsidR="007B4A76">
        <w:t>«</w:t>
      </w:r>
      <w:r>
        <w:t>Петрокарибе</w:t>
      </w:r>
      <w:r w:rsidR="007B4A76">
        <w:t>»</w:t>
      </w:r>
      <w:r>
        <w:t xml:space="preserve"> не было вынесено ни одного судебного решения. Комитет также обеспокоен утверждениями о коррупции. Комитет сожалеет, что государство-участник не представило достаточной информации о мерах, принятых для обеспечения независимости Центрального управления финансовых расследований (статьи 2 и 25).</w:t>
      </w:r>
    </w:p>
    <w:p w14:paraId="73AD41ED" w14:textId="6000E86D" w:rsidR="002B4995" w:rsidRPr="006B04DF" w:rsidRDefault="002B4995" w:rsidP="002B4995">
      <w:pPr>
        <w:pStyle w:val="SingleTxtG"/>
        <w:rPr>
          <w:b/>
          <w:bCs/>
        </w:rPr>
      </w:pPr>
      <w:r>
        <w:t>13.</w:t>
      </w:r>
      <w:r>
        <w:tab/>
      </w:r>
      <w:r>
        <w:rPr>
          <w:b/>
          <w:bCs/>
        </w:rPr>
        <w:t>Государству-участнику следует активизировать усилия по предупреждению и искоренению коррупции на всех уровнях управления.</w:t>
      </w:r>
      <w:r>
        <w:t xml:space="preserve"> </w:t>
      </w:r>
      <w:r>
        <w:rPr>
          <w:b/>
          <w:bCs/>
        </w:rPr>
        <w:t>В</w:t>
      </w:r>
      <w:r w:rsidR="007B4A76">
        <w:rPr>
          <w:b/>
          <w:bCs/>
        </w:rPr>
        <w:t> </w:t>
      </w:r>
      <w:r>
        <w:rPr>
          <w:b/>
          <w:bCs/>
        </w:rPr>
        <w:t>частности, ему следует:</w:t>
      </w:r>
    </w:p>
    <w:p w14:paraId="58C723FF" w14:textId="77777777" w:rsidR="002B4995" w:rsidRPr="006B04DF" w:rsidRDefault="002B4995" w:rsidP="002B4995">
      <w:pPr>
        <w:pStyle w:val="SingleTxtG"/>
        <w:ind w:firstLine="567"/>
        <w:rPr>
          <w:b/>
          <w:bCs/>
        </w:rPr>
      </w:pPr>
      <w:r>
        <w:rPr>
          <w:b/>
          <w:bCs/>
        </w:rPr>
        <w:lastRenderedPageBreak/>
        <w:t>a)</w:t>
      </w:r>
      <w:r>
        <w:tab/>
      </w:r>
      <w:r>
        <w:rPr>
          <w:b/>
          <w:bCs/>
        </w:rPr>
        <w:t>обеспечить независимость, прозрачность и подотчетность всех антикоррупционных институтов;</w:t>
      </w:r>
    </w:p>
    <w:p w14:paraId="6ABCD410" w14:textId="77777777" w:rsidR="002B4995" w:rsidRPr="006B04DF" w:rsidRDefault="002B4995" w:rsidP="002B4995">
      <w:pPr>
        <w:pStyle w:val="SingleTxtG"/>
        <w:ind w:firstLine="567"/>
        <w:rPr>
          <w:b/>
          <w:bCs/>
        </w:rPr>
      </w:pPr>
      <w:r>
        <w:rPr>
          <w:b/>
          <w:bCs/>
        </w:rPr>
        <w:t>b)</w:t>
      </w:r>
      <w:r>
        <w:tab/>
      </w:r>
      <w:r>
        <w:rPr>
          <w:b/>
          <w:bCs/>
        </w:rPr>
        <w:t>обеспечить проведение оперативных, тщательных, беспристрастных и независимых расследований по утверждениям о коррупции на всех уровнях, в том числе в связи со средствами «Петрокарибе», судебное преследование виновных и, в случае их осуждения, назначение им наказания, соразмерного тяжести совершенных преступлений, а также предоставление жертвам коррупции возмещения ущерба;</w:t>
      </w:r>
    </w:p>
    <w:p w14:paraId="69204F43" w14:textId="77777777" w:rsidR="002B4995" w:rsidRPr="006B04DF" w:rsidRDefault="002B4995" w:rsidP="002B4995">
      <w:pPr>
        <w:pStyle w:val="SingleTxtG"/>
        <w:ind w:firstLine="567"/>
        <w:rPr>
          <w:b/>
          <w:bCs/>
        </w:rPr>
      </w:pPr>
      <w:r>
        <w:rPr>
          <w:b/>
          <w:bCs/>
        </w:rPr>
        <w:t>c)</w:t>
      </w:r>
      <w:r>
        <w:tab/>
      </w:r>
      <w:r>
        <w:rPr>
          <w:b/>
          <w:bCs/>
        </w:rPr>
        <w:t>проводить учебные мероприятия и информационно-просветительские кампании с целью информирования государственных служащих, политиков, представителей деловых кругов и широкой общественности об экономических и социальных издержках коррупции и существующих механизмах, позволяющих сообщать о случаях коррупции.</w:t>
      </w:r>
    </w:p>
    <w:p w14:paraId="178DBB4C" w14:textId="77777777" w:rsidR="002B4995" w:rsidRPr="006B04DF" w:rsidRDefault="002B4995" w:rsidP="002B4995">
      <w:pPr>
        <w:pStyle w:val="H23G"/>
      </w:pPr>
      <w:r>
        <w:tab/>
      </w:r>
      <w:r>
        <w:tab/>
      </w:r>
      <w:r>
        <w:rPr>
          <w:bCs/>
        </w:rPr>
        <w:t>Борьба с безнаказанностью и совершенные в прошлом нарушения прав человека</w:t>
      </w:r>
    </w:p>
    <w:p w14:paraId="3357130C" w14:textId="77777777" w:rsidR="002B4995" w:rsidRPr="006B04DF" w:rsidRDefault="002B4995" w:rsidP="002B4995">
      <w:pPr>
        <w:pStyle w:val="SingleTxtG"/>
        <w:rPr>
          <w:color w:val="000000"/>
        </w:rPr>
      </w:pPr>
      <w:r>
        <w:t>14.</w:t>
      </w:r>
      <w:r>
        <w:tab/>
        <w:t>Комитет обеспокоен сохранением в государстве-участнике повсеместной безнаказанности в связи с массовыми убийствами и другими серьезными нарушениями прав человека, в частности отсутствием судебного преследования за массовые убийства, имевшие место в последние годы, а также медленными темпами судебного разбирательства по делу Жан-Клода Дювалье. Он также с сожалением отмечает решение властей не выполнять рекомендации Национальной комиссии по установлению истины и отправлению правосудия в отношении серьезных нарушений прав человека, совершенных в период с 1991 по 1994 год, что лишило жертв права на возмещение ущерба. Комитет с сожалением констатирует, что государство-участник не представило более подробную информацию о процедурах, гарантирующих невозможность назначения на руководящие должности предполагаемых виновных в нарушениях прав человека (статьи 2, 6, 7 и 9).</w:t>
      </w:r>
    </w:p>
    <w:p w14:paraId="2E82954B" w14:textId="77777777" w:rsidR="002B4995" w:rsidRPr="006B04DF" w:rsidRDefault="002B4995" w:rsidP="002B4995">
      <w:pPr>
        <w:pStyle w:val="SingleTxtG"/>
        <w:rPr>
          <w:b/>
          <w:bCs/>
        </w:rPr>
      </w:pPr>
      <w:r>
        <w:t>15.</w:t>
      </w:r>
      <w:r>
        <w:tab/>
      </w:r>
      <w:r>
        <w:rPr>
          <w:b/>
          <w:bCs/>
        </w:rPr>
        <w:t>С учетом вынесенных ранее заключительных замечаний Комитета</w:t>
      </w:r>
      <w:r w:rsidRPr="003B63ED">
        <w:rPr>
          <w:rStyle w:val="aa"/>
        </w:rPr>
        <w:footnoteReference w:id="8"/>
      </w:r>
      <w:r>
        <w:rPr>
          <w:b/>
          <w:bCs/>
        </w:rPr>
        <w:t xml:space="preserve"> государству-участнику следует:</w:t>
      </w:r>
    </w:p>
    <w:p w14:paraId="62A6213B" w14:textId="77777777" w:rsidR="002B4995" w:rsidRPr="006B04DF" w:rsidRDefault="002B4995" w:rsidP="002B4995">
      <w:pPr>
        <w:pStyle w:val="SingleTxtG"/>
        <w:ind w:firstLine="567"/>
        <w:rPr>
          <w:b/>
          <w:bCs/>
        </w:rPr>
      </w:pPr>
      <w:r>
        <w:rPr>
          <w:b/>
          <w:bCs/>
        </w:rPr>
        <w:t>a)</w:t>
      </w:r>
      <w:r>
        <w:tab/>
      </w:r>
      <w:r>
        <w:rPr>
          <w:b/>
          <w:bCs/>
        </w:rPr>
        <w:t>проводить оперативные, независимые и тщательные расследования по всем совершенным в прошлом нарушениям прав человека, привлекать виновных к ответственности и в случае их осуждения назначать им наказания, соразмерные тяжести совершенных преступлений, предоставлять жертвам надлежащие средства правовой защиты и возмещения ущерба, а также принимать меры для недопущения повторения таких нарушений;</w:t>
      </w:r>
    </w:p>
    <w:p w14:paraId="1A55BD1C" w14:textId="77777777" w:rsidR="002B4995" w:rsidRPr="006B04DF" w:rsidRDefault="002B4995" w:rsidP="002B4995">
      <w:pPr>
        <w:pStyle w:val="SingleTxtG"/>
        <w:ind w:firstLine="567"/>
        <w:rPr>
          <w:b/>
          <w:bCs/>
        </w:rPr>
      </w:pPr>
      <w:r>
        <w:rPr>
          <w:b/>
          <w:bCs/>
        </w:rPr>
        <w:t>b)</w:t>
      </w:r>
      <w:r>
        <w:tab/>
      </w:r>
      <w:r>
        <w:rPr>
          <w:b/>
          <w:bCs/>
        </w:rPr>
        <w:t>пересмотреть свое решение не выполнять рекомендации Национальной комиссии по установлению истины и отправлению правосудию в отношении грубых нарушений прав человека, совершенных в 1991–1994 годах.</w:t>
      </w:r>
    </w:p>
    <w:p w14:paraId="6644AB7E" w14:textId="77777777" w:rsidR="002B4995" w:rsidRPr="006B04DF" w:rsidRDefault="002B4995" w:rsidP="002B4995">
      <w:pPr>
        <w:pStyle w:val="SingleTxtG"/>
        <w:ind w:firstLine="567"/>
        <w:rPr>
          <w:b/>
          <w:bCs/>
        </w:rPr>
      </w:pPr>
      <w:r>
        <w:rPr>
          <w:b/>
          <w:bCs/>
        </w:rPr>
        <w:t>c)</w:t>
      </w:r>
      <w:r>
        <w:tab/>
      </w:r>
      <w:r>
        <w:rPr>
          <w:b/>
          <w:bCs/>
        </w:rPr>
        <w:t>обеспечить внедрение процедур, гарантирующих невозможность назначения на руководящие должности предполагаемых виновных в нарушениях прав человека.</w:t>
      </w:r>
    </w:p>
    <w:p w14:paraId="7373F62F" w14:textId="77777777" w:rsidR="002B4995" w:rsidRPr="006B04DF" w:rsidRDefault="002B4995" w:rsidP="002B4995">
      <w:pPr>
        <w:pStyle w:val="H23G"/>
      </w:pPr>
      <w:r>
        <w:tab/>
      </w:r>
      <w:r>
        <w:tab/>
      </w:r>
      <w:r>
        <w:rPr>
          <w:bCs/>
        </w:rPr>
        <w:t>Гендерное равенство</w:t>
      </w:r>
    </w:p>
    <w:p w14:paraId="42B85B1E" w14:textId="77777777" w:rsidR="002B4995" w:rsidRPr="006B04DF" w:rsidRDefault="002B4995" w:rsidP="002B4995">
      <w:pPr>
        <w:pStyle w:val="SingleTxtG"/>
      </w:pPr>
      <w:r>
        <w:t>16.</w:t>
      </w:r>
      <w:r>
        <w:tab/>
        <w:t>Комитет обеспокоен отсутствием паритета между женщинами и мужчинами в обществе, в том числе низкой долей женщин на руководящих должностях в государственной и частной сферах, а также в законодательных и исполнительных органах власти.</w:t>
      </w:r>
    </w:p>
    <w:p w14:paraId="358C530F" w14:textId="77777777" w:rsidR="002B4995" w:rsidRPr="006B04DF" w:rsidRDefault="002B4995" w:rsidP="002B4995">
      <w:pPr>
        <w:pStyle w:val="SingleTxtG"/>
      </w:pPr>
      <w:r>
        <w:t>17.</w:t>
      </w:r>
      <w:r>
        <w:tab/>
      </w:r>
      <w:r>
        <w:rPr>
          <w:b/>
          <w:bCs/>
        </w:rPr>
        <w:t>С учетом вынесенных ранее рекомендаций Комитета</w:t>
      </w:r>
      <w:r w:rsidRPr="003B63ED">
        <w:rPr>
          <w:rStyle w:val="aa"/>
        </w:rPr>
        <w:footnoteReference w:id="9"/>
      </w:r>
      <w:r>
        <w:rPr>
          <w:b/>
          <w:bCs/>
        </w:rPr>
        <w:t xml:space="preserve"> государству-участнику следует активизировать усилия по расширению представленности женщин в общественной и политической сферах, особенно на руководящих </w:t>
      </w:r>
      <w:r>
        <w:rPr>
          <w:b/>
          <w:bCs/>
        </w:rPr>
        <w:lastRenderedPageBreak/>
        <w:t>должностях, а также в частном секторе.</w:t>
      </w:r>
      <w:r>
        <w:t xml:space="preserve"> </w:t>
      </w:r>
      <w:r>
        <w:rPr>
          <w:b/>
          <w:bCs/>
        </w:rPr>
        <w:t>Государству-участнику также следует искоренить гендерные стереотипы в отношении роли и обязанностей женщин и мужчин в семье и в обществе, в том числе за счет проведения соответствующих информационно-просветительских кампаний.</w:t>
      </w:r>
    </w:p>
    <w:p w14:paraId="635B3306" w14:textId="77777777" w:rsidR="002B4995" w:rsidRPr="006B04DF" w:rsidRDefault="002B4995" w:rsidP="002B4995">
      <w:pPr>
        <w:pStyle w:val="H23G"/>
      </w:pPr>
      <w:r>
        <w:tab/>
      </w:r>
      <w:r>
        <w:tab/>
      </w:r>
      <w:r>
        <w:rPr>
          <w:bCs/>
        </w:rPr>
        <w:t>Дискриминация по признаку сексуальной ориентации и гендерной идентичности</w:t>
      </w:r>
    </w:p>
    <w:p w14:paraId="3CC15F72" w14:textId="77777777" w:rsidR="002B4995" w:rsidRPr="006B04DF" w:rsidRDefault="002B4995" w:rsidP="002B4995">
      <w:pPr>
        <w:pStyle w:val="SingleTxtG"/>
      </w:pPr>
      <w:r>
        <w:t>18.</w:t>
      </w:r>
      <w:r>
        <w:tab/>
        <w:t>Комитет с обеспокоенностью отмечает сообщения о случаях дискриминации лесбиянок, геев, бисексуальных, трансгендерных и интерсекс-людей, а также проявления иного враждебного отношения к ним. Комитет с сожалением отмечает, что государство-участник не представило никакой информации о мерах, принятых для борьбы с такой дискриминацией, включая законодательные меры. В этой связи Комитет с обеспокоенностью отмечает законопроект 2017 года о браке и семье, предусматривающий уголовную ответственность за гомосексуализм, а также законопроект о репутации и свидетельство о добропорядочности, согласно которым гомосексуализм противоречит нормам добропорядочности. Комитет также обеспокоен отсутствием мер, позволяющих организациям лесбиянок, геев, бисексуальных, трансгендерных и интерсекс-людей проводить публичные акции и защищать этих людей при их проведении (статьи 2 и 26).</w:t>
      </w:r>
      <w:bookmarkStart w:id="2" w:name="_Hlk204071513"/>
      <w:bookmarkEnd w:id="2"/>
    </w:p>
    <w:p w14:paraId="61777254" w14:textId="77777777" w:rsidR="002B4995" w:rsidRPr="006B04DF" w:rsidRDefault="002B4995" w:rsidP="002B4995">
      <w:pPr>
        <w:pStyle w:val="SingleTxtG"/>
        <w:rPr>
          <w:b/>
          <w:bCs/>
        </w:rPr>
      </w:pPr>
      <w:r>
        <w:t>19.</w:t>
      </w:r>
      <w:r>
        <w:tab/>
      </w:r>
      <w:r>
        <w:rPr>
          <w:b/>
          <w:bCs/>
        </w:rPr>
        <w:t>Государству-участнику следует активизировать усилия по борьбе с дискриминацией, стереотипами и предрассудками в отношении лесбиянок, геев, бисексуальных, трансгендерных и интерсекс-людей.</w:t>
      </w:r>
      <w:r>
        <w:t xml:space="preserve"> </w:t>
      </w:r>
      <w:r>
        <w:rPr>
          <w:b/>
          <w:bCs/>
        </w:rPr>
        <w:t>С этой целью ему следует:</w:t>
      </w:r>
    </w:p>
    <w:p w14:paraId="3E69D928" w14:textId="6419919D" w:rsidR="002B4995" w:rsidRPr="006B04DF" w:rsidRDefault="002B4995" w:rsidP="002B4995">
      <w:pPr>
        <w:pStyle w:val="SingleTxtG"/>
        <w:ind w:firstLine="567"/>
        <w:rPr>
          <w:b/>
          <w:bCs/>
        </w:rPr>
      </w:pPr>
      <w:r>
        <w:rPr>
          <w:b/>
          <w:bCs/>
        </w:rPr>
        <w:t>a)</w:t>
      </w:r>
      <w:r>
        <w:tab/>
      </w:r>
      <w:r>
        <w:rPr>
          <w:b/>
          <w:bCs/>
        </w:rPr>
        <w:t>предусмотреть в своем законодательстве и политике запрет на дискриминацию, в том числе по признаку сексуальной ориентации и гендерной идентичности, в частности множественную/интерсекционную, прямую и косвенную дискриминацию, во всех сферах, как в государственном, так и в частном сектор</w:t>
      </w:r>
      <w:r w:rsidR="004432B3">
        <w:rPr>
          <w:b/>
          <w:bCs/>
        </w:rPr>
        <w:t>ах</w:t>
      </w:r>
      <w:r>
        <w:rPr>
          <w:b/>
          <w:bCs/>
        </w:rPr>
        <w:t>, и по всем признакам, запрещенным Пактом, в частности путем принятия необходимых мер, включая законодательные меры, для обеспечения равенства лесбиянок, геев, бисексуальных, трансгендерных и интерсекс-людей и недискриминации по признаку сексуальной ориентации и гендерной идентичности;</w:t>
      </w:r>
    </w:p>
    <w:p w14:paraId="7DBCA8CC" w14:textId="77777777" w:rsidR="002B4995" w:rsidRPr="006B04DF" w:rsidRDefault="002B4995" w:rsidP="002B4995">
      <w:pPr>
        <w:pStyle w:val="SingleTxtG"/>
        <w:ind w:firstLine="567"/>
        <w:rPr>
          <w:b/>
          <w:bCs/>
        </w:rPr>
      </w:pPr>
      <w:r>
        <w:rPr>
          <w:b/>
          <w:bCs/>
        </w:rPr>
        <w:t>b)</w:t>
      </w:r>
      <w:r>
        <w:tab/>
      </w:r>
      <w:r>
        <w:rPr>
          <w:b/>
          <w:bCs/>
        </w:rPr>
        <w:t>бороться с негативными стереотипами и враждебным отношением к людям на основании их реальной или предполагаемой сексуальной ориентации или гендерной идентичности, в том числе посредством проведения информационно-просветительских мероприятий и кампаний для судей, прокуроров, сотрудников правоохранительных органов и населения в целом.</w:t>
      </w:r>
    </w:p>
    <w:p w14:paraId="49A48F12" w14:textId="77777777" w:rsidR="002B4995" w:rsidRPr="006B04DF" w:rsidRDefault="002B4995" w:rsidP="002B4995">
      <w:pPr>
        <w:pStyle w:val="H23G"/>
      </w:pPr>
      <w:r>
        <w:tab/>
      </w:r>
      <w:r>
        <w:tab/>
      </w:r>
      <w:r>
        <w:rPr>
          <w:bCs/>
        </w:rPr>
        <w:t>Насилие в отношении женщин</w:t>
      </w:r>
    </w:p>
    <w:p w14:paraId="49119435" w14:textId="7E79CD72" w:rsidR="002B4995" w:rsidRPr="006B04DF" w:rsidRDefault="002B4995" w:rsidP="002B4995">
      <w:pPr>
        <w:pStyle w:val="SingleTxtG"/>
      </w:pPr>
      <w:r>
        <w:t>20.</w:t>
      </w:r>
      <w:r>
        <w:tab/>
        <w:t>Комитет приветствует инициативы государства-участника по борьбе с насилием в отношении женщин и девочек, в том числе разработку третьего Национального плана по борьбе с насилием в отношении женщин на период</w:t>
      </w:r>
      <w:r w:rsidR="000568C0">
        <w:br/>
      </w:r>
      <w:r>
        <w:t>2017–2027 годов, и создание Национальной координационной службы по делам женщин и гендерной проблематике. Вместе с тем Комитет глубоко обеспокоен сексуальным насилием, которому подвергаются женщины и дети, включая случаи группового изнасилования и принуждения к проституции, к которым широко прибегают банды для нагнетания страха, подчинения и наказания населения, а также тем, что женщины и девочки, живущие в районах, контролируемых бандами, подвергаются риску коллективного изнасилования среди бела дня со стороны членов вооруженных группировок. С учетом информации, содержащейся в докладе Управления Верховного комиссара Организации Объединенных Наций по правам человека и Объединенного представительства Организации Объединенных Наций в Гаити о сексуальном насилии в Порт-о-Пренсе</w:t>
      </w:r>
      <w:r w:rsidRPr="003B63ED">
        <w:rPr>
          <w:rStyle w:val="aa"/>
        </w:rPr>
        <w:footnoteReference w:id="10"/>
      </w:r>
      <w:r>
        <w:t xml:space="preserve">, Комитет также c обеспокоенностью отмечает широко распространенную безнаказанность в связи с актами сексуального </w:t>
      </w:r>
      <w:r>
        <w:lastRenderedPageBreak/>
        <w:t>насилия, а также низкие показатели доведения информации о таком насилии до сведения компетентных органов, в частности из-за риска наказания в порядке возмездия, стигматизации и маргинализации жертв; отсутствие надлежащих медицинских услуг, психосоциальной поддержки для жертв и юридической помощи; а также отсутствие доверия к судебной системе. Комитет обеспокоен тем, что инцест не квалифицируется как уголовно наказуемое деяние (статьи 2, 3, 6, 7 и 24).</w:t>
      </w:r>
    </w:p>
    <w:p w14:paraId="426F99F5" w14:textId="77777777" w:rsidR="002B4995" w:rsidRPr="006B04DF" w:rsidRDefault="002B4995" w:rsidP="002B4995">
      <w:pPr>
        <w:pStyle w:val="SingleTxtG"/>
        <w:rPr>
          <w:b/>
          <w:bCs/>
        </w:rPr>
      </w:pPr>
      <w:r>
        <w:t>21.</w:t>
      </w:r>
      <w:r>
        <w:tab/>
      </w:r>
      <w:r>
        <w:rPr>
          <w:b/>
          <w:bCs/>
        </w:rPr>
        <w:t>Государству-участнику следует активизировать усилия по искоренению насилия в отношении женщин, в том числе по борьбе с безнаказанностью в связи с актами сексуального насилия, совершаемыми членами банд, и защите жертв, и в этой связи:</w:t>
      </w:r>
    </w:p>
    <w:p w14:paraId="4E722AA3" w14:textId="77777777" w:rsidR="002B4995" w:rsidRPr="006B04DF" w:rsidRDefault="002B4995" w:rsidP="002B4995">
      <w:pPr>
        <w:pStyle w:val="SingleTxtG"/>
        <w:ind w:firstLine="567"/>
        <w:rPr>
          <w:b/>
          <w:bCs/>
        </w:rPr>
      </w:pPr>
      <w:r>
        <w:rPr>
          <w:b/>
          <w:bCs/>
        </w:rPr>
        <w:t>a)</w:t>
      </w:r>
      <w:r>
        <w:tab/>
      </w:r>
      <w:r>
        <w:rPr>
          <w:b/>
          <w:bCs/>
        </w:rPr>
        <w:t>включить в национальное законодательство положения, запрещающие все формы насилия в отношении женщин и предусматривающие наказания за них в соответствии с Пактом, а также устанавливающие уголовную ответственность за инцест;</w:t>
      </w:r>
    </w:p>
    <w:p w14:paraId="0CDA98DE" w14:textId="77777777" w:rsidR="002B4995" w:rsidRPr="006B04DF" w:rsidRDefault="002B4995" w:rsidP="002B4995">
      <w:pPr>
        <w:pStyle w:val="SingleTxtG"/>
        <w:ind w:firstLine="567"/>
        <w:rPr>
          <w:b/>
          <w:bCs/>
        </w:rPr>
      </w:pPr>
      <w:r>
        <w:rPr>
          <w:b/>
          <w:bCs/>
        </w:rPr>
        <w:t>b)</w:t>
      </w:r>
      <w:r>
        <w:tab/>
      </w:r>
      <w:r>
        <w:rPr>
          <w:b/>
          <w:bCs/>
        </w:rPr>
        <w:t>провести тщательные расследования по всем утверждениям о насилии в отношении женщин и девочек и сексуальном насилии, прежде всего со стороны членов банд, преследовать виновных в судебном порядке и, в случае их осуждения, назначить им надлежащие наказания, а также предоставить жертвам средства правовой защиты и возмещение ущерба;</w:t>
      </w:r>
    </w:p>
    <w:p w14:paraId="39273479" w14:textId="77777777" w:rsidR="002B4995" w:rsidRPr="006B04DF" w:rsidRDefault="002B4995" w:rsidP="002B4995">
      <w:pPr>
        <w:pStyle w:val="SingleTxtG"/>
        <w:ind w:firstLine="567"/>
        <w:rPr>
          <w:b/>
          <w:bCs/>
        </w:rPr>
      </w:pPr>
      <w:r>
        <w:rPr>
          <w:b/>
          <w:bCs/>
        </w:rPr>
        <w:t>c)</w:t>
      </w:r>
      <w:r>
        <w:tab/>
      </w:r>
      <w:r>
        <w:rPr>
          <w:b/>
          <w:bCs/>
        </w:rPr>
        <w:t>создать эффективный механизм оказания поддержки и содействия жертвам, сообщающим в полицию об актах насилия, которым они подверглись, а также повысить уровень осведомленности населения о преступном характере таких действий во избежание их дальнейшего замалчивания;</w:t>
      </w:r>
    </w:p>
    <w:p w14:paraId="3014C5CC" w14:textId="77777777" w:rsidR="002B4995" w:rsidRPr="006B04DF" w:rsidRDefault="002B4995" w:rsidP="002B4995">
      <w:pPr>
        <w:pStyle w:val="SingleTxtG"/>
        <w:keepNext/>
        <w:keepLines/>
        <w:ind w:firstLine="567"/>
        <w:rPr>
          <w:b/>
          <w:bCs/>
        </w:rPr>
      </w:pPr>
      <w:r>
        <w:rPr>
          <w:b/>
          <w:bCs/>
        </w:rPr>
        <w:t>d)</w:t>
      </w:r>
      <w:r>
        <w:tab/>
      </w:r>
      <w:r>
        <w:rPr>
          <w:b/>
          <w:bCs/>
        </w:rPr>
        <w:t>выделить ресурсы для развития сети приютов для женщин и услуг специализированной помощи, в том числе услуг в области здравоохранения, психосоциальной и юридической помощи, обеспечить доступность этих услуг, особенно в районах, контролируемых бандами, и обучить должностных лиц работе с делами, касающимися насилия в отношении женщин и девочек, а также сексуального насилия.</w:t>
      </w:r>
    </w:p>
    <w:p w14:paraId="27F4F3A9" w14:textId="77777777" w:rsidR="002B4995" w:rsidRPr="006B04DF" w:rsidRDefault="002B4995" w:rsidP="002B4995">
      <w:pPr>
        <w:pStyle w:val="H23G"/>
      </w:pPr>
      <w:r>
        <w:tab/>
      </w:r>
      <w:r>
        <w:tab/>
      </w:r>
      <w:r>
        <w:rPr>
          <w:bCs/>
        </w:rPr>
        <w:t>Добровольное прерывание беременности, сексуальные и репродуктивные права</w:t>
      </w:r>
    </w:p>
    <w:p w14:paraId="7B3457FB" w14:textId="77777777" w:rsidR="002B4995" w:rsidRPr="006B04DF" w:rsidRDefault="002B4995" w:rsidP="002B4995">
      <w:pPr>
        <w:pStyle w:val="SingleTxtG"/>
        <w:rPr>
          <w:b/>
        </w:rPr>
      </w:pPr>
      <w:r>
        <w:t>22.</w:t>
      </w:r>
      <w:r>
        <w:tab/>
        <w:t>Комитет отмечает принятие нового Уголовного кодекса, отменяющего уголовную ответственность за прерывание беременности до двенадцатой недели, а также в любое время в случаях изнасилования, инцеста или при наличии угрозы для психического или физического здоровья беременной женщины. Вместе с тем Комитет с обеспокоенностью отмечает сообщения о трудностях в обеспечении доступа к акушерской и гинекологической помощи в условиях отсутствия безопасности, с которыми сталкивается население. Кроме того, Комитет обеспокоен тем, что акушерки также работают в небезопасных условиях и не располагают надлежащим медицинским оборудованием и медикаментами (статьи 3, 6, 7, 17 и 26).</w:t>
      </w:r>
    </w:p>
    <w:p w14:paraId="2220443A" w14:textId="77777777" w:rsidR="002B4995" w:rsidRPr="006B04DF" w:rsidRDefault="002B4995" w:rsidP="002B4995">
      <w:pPr>
        <w:pStyle w:val="SingleTxtG"/>
        <w:rPr>
          <w:b/>
          <w:bCs/>
        </w:rPr>
      </w:pPr>
      <w:r>
        <w:t>23.</w:t>
      </w:r>
      <w:r>
        <w:tab/>
      </w:r>
      <w:r>
        <w:rPr>
          <w:b/>
          <w:bCs/>
        </w:rPr>
        <w:t>Государству-участнику следует активизировать усилия по обеспечению безопасного доступа к надлежащим услугам по охране сексуального и репродуктивного здоровья, в том числе к акушерской и гинекологической помощи, в том числе в районах, контролируемых бандами, и в сельских районах.</w:t>
      </w:r>
      <w:r>
        <w:t xml:space="preserve"> </w:t>
      </w:r>
      <w:r>
        <w:rPr>
          <w:b/>
          <w:bCs/>
        </w:rPr>
        <w:t>Ему также следует активизировать меры по улучшению условий безопасности, в которых работают акушерки и медицинский персонал, и обеспечить их медицинским оборудованием и медикаментами, которые им необходимы для выполнения своих служебных обязанностей.</w:t>
      </w:r>
    </w:p>
    <w:p w14:paraId="4AE62B47" w14:textId="77777777" w:rsidR="002B4995" w:rsidRPr="006B04DF" w:rsidRDefault="002B4995" w:rsidP="002B4995">
      <w:pPr>
        <w:pStyle w:val="H23G"/>
      </w:pPr>
      <w:r>
        <w:tab/>
      </w:r>
      <w:r>
        <w:tab/>
      </w:r>
      <w:r>
        <w:rPr>
          <w:bCs/>
        </w:rPr>
        <w:t>Право на жизнь</w:t>
      </w:r>
    </w:p>
    <w:p w14:paraId="7B172432" w14:textId="3842F364" w:rsidR="002B4995" w:rsidRPr="006B04DF" w:rsidRDefault="002B4995" w:rsidP="002B4995">
      <w:pPr>
        <w:pStyle w:val="SingleTxtG"/>
      </w:pPr>
      <w:r>
        <w:t>24.</w:t>
      </w:r>
      <w:r>
        <w:tab/>
        <w:t xml:space="preserve">Комитет глубоко обеспокоен серьезными нарушениями права на жизнь в государстве-участнике, особенно в контексте насилия со стороны банд, которое в последние годы приобрело все более широкие масштабы и размах. Комитет выражает обеспокоенность по поводу столкновений между бандами, приводящих к сопутствующим жертвам среди населения, а также по поводу прямых нападений на </w:t>
      </w:r>
      <w:r>
        <w:lastRenderedPageBreak/>
        <w:t>население со стороны банд и неспособности Гаитянской национальной полиции обеспечить его защиту. Кроме того, Комитет обеспокоен сообщениями о чрезмерном или несоразмерном применении смертоносной силы сотрудниками Гаитянской национальной полиции и применении внесудебных казней некоторыми властями. Он</w:t>
      </w:r>
      <w:r w:rsidR="000568C0">
        <w:t> </w:t>
      </w:r>
      <w:r>
        <w:t xml:space="preserve">также обеспокоен сообщениями об актах линчевания, забивания камнями и сожжения людей, а также нанесения им увечий, которые совершают члены так называемых </w:t>
      </w:r>
      <w:r w:rsidR="000568C0">
        <w:t>«</w:t>
      </w:r>
      <w:r>
        <w:t>бригад самообороны</w:t>
      </w:r>
      <w:r w:rsidR="000568C0">
        <w:t>»</w:t>
      </w:r>
      <w:r>
        <w:t>. Комитет с обеспокоенностью отмечает, что некоторые из этих убийств, по всей видимости, совершались при пособничестве, поддержке или содействии сотрудников Гаитянской национальной полиции и что государство-участник не представило подробной информации о проведении</w:t>
      </w:r>
      <w:r w:rsidR="000568C0">
        <w:br/>
      </w:r>
      <w:r>
        <w:t>каких-либо расследований, а также о преследовании и наказании виновных в связи с этими случаями. Комитет обеспокоен импортом и оборотом оружия (статья 6).</w:t>
      </w:r>
    </w:p>
    <w:p w14:paraId="41D49776" w14:textId="77777777" w:rsidR="002B4995" w:rsidRPr="006B04DF" w:rsidRDefault="002B4995" w:rsidP="002B4995">
      <w:pPr>
        <w:pStyle w:val="SingleTxtG"/>
        <w:rPr>
          <w:b/>
          <w:bCs/>
        </w:rPr>
      </w:pPr>
      <w:r>
        <w:t>25.</w:t>
      </w:r>
      <w:r>
        <w:tab/>
      </w:r>
      <w:r>
        <w:rPr>
          <w:b/>
          <w:bCs/>
        </w:rPr>
        <w:t>С учетом замечания общего порядка № 36 (2018) о праве на жизнь государству-участнику следует принять все необходимые меры для выполнения в полном объеме своих обязательств по защите права на жизнь, в том числе, при необходимости, посредством международного сотрудничества, особенно в условиях полного отсутствия безопасности в связи с широким распространением бандитизма</w:t>
      </w:r>
      <w:r>
        <w:t xml:space="preserve">. </w:t>
      </w:r>
      <w:r>
        <w:rPr>
          <w:b/>
          <w:bCs/>
        </w:rPr>
        <w:t>Государству-участнику следует, в частности:</w:t>
      </w:r>
    </w:p>
    <w:p w14:paraId="13C3691B" w14:textId="1B7D09A0" w:rsidR="002B4995" w:rsidRPr="006B04DF" w:rsidRDefault="002B4995" w:rsidP="002B4995">
      <w:pPr>
        <w:pStyle w:val="SingleTxtG"/>
        <w:ind w:firstLine="567"/>
        <w:rPr>
          <w:b/>
          <w:bCs/>
        </w:rPr>
      </w:pPr>
      <w:r>
        <w:rPr>
          <w:b/>
          <w:bCs/>
        </w:rPr>
        <w:t>a)</w:t>
      </w:r>
      <w:r>
        <w:tab/>
      </w:r>
      <w:r>
        <w:rPr>
          <w:b/>
          <w:bCs/>
        </w:rPr>
        <w:t xml:space="preserve">принять и осуществлять государственную политику по ликвидации банд и </w:t>
      </w:r>
      <w:r w:rsidR="000568C0">
        <w:rPr>
          <w:b/>
          <w:bCs/>
        </w:rPr>
        <w:t>«</w:t>
      </w:r>
      <w:r>
        <w:rPr>
          <w:b/>
          <w:bCs/>
        </w:rPr>
        <w:t>бригад самообороны</w:t>
      </w:r>
      <w:r w:rsidR="00C36AD4">
        <w:rPr>
          <w:b/>
          <w:bCs/>
        </w:rPr>
        <w:t>»</w:t>
      </w:r>
      <w:r>
        <w:rPr>
          <w:b/>
          <w:bCs/>
        </w:rPr>
        <w:t xml:space="preserve"> и по пресечению преступных действий для устранения, прежде всего, структурных факторов, препятствующих реализации прав человека, а также факторов, которые позволяют таким группам сформироваться и успешно осуществлять свою деятельность, таких как импорт и оборот оружия;</w:t>
      </w:r>
    </w:p>
    <w:p w14:paraId="4AA3DF1D" w14:textId="77777777" w:rsidR="002B4995" w:rsidRPr="006B04DF" w:rsidRDefault="002B4995" w:rsidP="002B4995">
      <w:pPr>
        <w:pStyle w:val="SingleTxtG"/>
        <w:ind w:firstLine="567"/>
        <w:rPr>
          <w:b/>
          <w:bCs/>
        </w:rPr>
      </w:pPr>
      <w:r>
        <w:rPr>
          <w:b/>
          <w:bCs/>
        </w:rPr>
        <w:t>b)</w:t>
      </w:r>
      <w:r>
        <w:tab/>
      </w:r>
      <w:r>
        <w:rPr>
          <w:b/>
          <w:bCs/>
        </w:rPr>
        <w:t>провести эффективные и тщательные расследования по всем случаям убийства, внесудебных казней и чрезмерного или несоразмерного применения смертоносной силы, преследовать в судебном порядке виновных и, в случае их осуждения, назначить им наказания, соразмерные тяжести совершенных ими деяний, а также обеспечить жертвам и их семьям полное возмещение ущерба;</w:t>
      </w:r>
    </w:p>
    <w:p w14:paraId="0BB33F1E" w14:textId="77777777" w:rsidR="002B4995" w:rsidRPr="006B04DF" w:rsidRDefault="002B4995" w:rsidP="002B4995">
      <w:pPr>
        <w:pStyle w:val="SingleTxtG"/>
        <w:keepNext/>
        <w:keepLines/>
        <w:ind w:firstLine="567"/>
        <w:rPr>
          <w:b/>
          <w:bCs/>
        </w:rPr>
      </w:pPr>
      <w:r>
        <w:rPr>
          <w:b/>
          <w:bCs/>
        </w:rPr>
        <w:t>c)</w:t>
      </w:r>
      <w:r>
        <w:tab/>
      </w:r>
      <w:r>
        <w:rPr>
          <w:b/>
          <w:bCs/>
        </w:rPr>
        <w:t>обеспечить соответствие положений, регулирующих применение силы, и реальной практики применения силы Основным принципам применения силы и огнестрельного оружия должностными лицами по поддержанию правопорядка, Руководству Организации Объединенных Наций по соблюдению прав человека при применении менее смертоносного оружия в правоохранительной деятельности, а также принципам, требующим, чтобы смертоносная сила применялась только в случае строгой необходимости для защиты от неминуемой угрозы смерти или серьезного ранения, и обеспечить профессиональную подготовку на основе этих принципов и руководящих указаний;</w:t>
      </w:r>
    </w:p>
    <w:p w14:paraId="768924BB" w14:textId="77777777" w:rsidR="002B4995" w:rsidRPr="006B04DF" w:rsidRDefault="002B4995" w:rsidP="002B4995">
      <w:pPr>
        <w:pStyle w:val="SingleTxtG"/>
        <w:ind w:firstLine="567"/>
        <w:rPr>
          <w:b/>
          <w:bCs/>
        </w:rPr>
      </w:pPr>
      <w:r>
        <w:rPr>
          <w:b/>
          <w:bCs/>
        </w:rPr>
        <w:t>d)</w:t>
      </w:r>
      <w:r>
        <w:tab/>
      </w:r>
      <w:r>
        <w:rPr>
          <w:b/>
          <w:bCs/>
        </w:rPr>
        <w:t>увеличить финансовые и кадровые ресурсы, выделяемые Гаитянской национальной полиции и Генеральной инспекции Гаитянской национальной полиции, чтобы они могли эффективно выполнять свои полномочия, и обеспечить, чтобы Генеральная инспекция могла осуществлять независимый и эффективный надзор за операциями, проводимыми Гаитянской национальной полицией.</w:t>
      </w:r>
    </w:p>
    <w:p w14:paraId="06531B0A" w14:textId="77777777" w:rsidR="002B4995" w:rsidRPr="006B04DF" w:rsidRDefault="002B4995" w:rsidP="002B4995">
      <w:pPr>
        <w:pStyle w:val="H23G"/>
      </w:pPr>
      <w:r>
        <w:tab/>
      </w:r>
      <w:r>
        <w:tab/>
      </w:r>
      <w:r>
        <w:rPr>
          <w:bCs/>
        </w:rPr>
        <w:t>Запрещение пыток и других видов жестокого, бесчеловечного или унижающего достоинство обращения и наказания</w:t>
      </w:r>
    </w:p>
    <w:p w14:paraId="3D4100E9" w14:textId="77777777" w:rsidR="002B4995" w:rsidRPr="006B04DF" w:rsidRDefault="002B4995" w:rsidP="002B4995">
      <w:pPr>
        <w:pStyle w:val="SingleTxtG"/>
      </w:pPr>
      <w:r>
        <w:t>26.</w:t>
      </w:r>
      <w:r>
        <w:tab/>
        <w:t>Комитет сожалеет об отсутствии информации о мерах, принятых для обеспечения применения на практике нового Уголовного кодекса, который предусматривает уголовную ответственность за пытки, включая психологические пытки. Комитет с обеспокоенностью отмечает, что государство-участник еще не присоединилось к Конвенции против пыток и других жестоких, бесчеловечных или унижающих достоинство видов обращения и наказания (статьи 6 и 7).</w:t>
      </w:r>
    </w:p>
    <w:p w14:paraId="01CCBFEB" w14:textId="77777777" w:rsidR="002B4995" w:rsidRPr="006B04DF" w:rsidRDefault="002B4995" w:rsidP="002B4995">
      <w:pPr>
        <w:pStyle w:val="SingleTxtG"/>
        <w:rPr>
          <w:b/>
          <w:bCs/>
        </w:rPr>
      </w:pPr>
      <w:r>
        <w:lastRenderedPageBreak/>
        <w:t>27.</w:t>
      </w:r>
      <w:r>
        <w:tab/>
      </w:r>
      <w:r>
        <w:rPr>
          <w:b/>
          <w:bCs/>
        </w:rPr>
        <w:t>Государству-участнику следует принять незамедлительные меры для прекращения пыток и других форм жестокого, бесчеловечного, унижающего достоинство или неправомерного обращения, в том числе:</w:t>
      </w:r>
    </w:p>
    <w:p w14:paraId="26EB429C" w14:textId="77777777" w:rsidR="002B4995" w:rsidRPr="006B04DF" w:rsidRDefault="002B4995" w:rsidP="002B4995">
      <w:pPr>
        <w:pStyle w:val="SingleTxtG"/>
        <w:ind w:firstLine="567"/>
        <w:rPr>
          <w:b/>
          <w:bCs/>
        </w:rPr>
      </w:pPr>
      <w:r>
        <w:rPr>
          <w:b/>
          <w:bCs/>
        </w:rPr>
        <w:t>a)</w:t>
      </w:r>
      <w:r>
        <w:tab/>
      </w:r>
      <w:r>
        <w:rPr>
          <w:b/>
          <w:bCs/>
        </w:rPr>
        <w:t>незамедлительно провести тщательные, беспристрастные и эффективные расследования по всем утверждениям о пытках и других жестоких, бесчеловечных или унижающих достоинство видах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и Миннесотским протоколом по расследованию предположительно незаконного лишения жизни, обеспечить преследование виновных и, в случае их осуждения, вынесение им наказания, соразмерного тяжести совершенных преступлений;</w:t>
      </w:r>
    </w:p>
    <w:p w14:paraId="2A6722E8" w14:textId="77777777" w:rsidR="002B4995" w:rsidRPr="006B04DF" w:rsidRDefault="002B4995" w:rsidP="002B4995">
      <w:pPr>
        <w:pStyle w:val="SingleTxtG"/>
        <w:ind w:firstLine="567"/>
        <w:rPr>
          <w:b/>
          <w:bCs/>
        </w:rPr>
      </w:pPr>
      <w:r>
        <w:rPr>
          <w:b/>
          <w:bCs/>
        </w:rPr>
        <w:t>b)</w:t>
      </w:r>
      <w:r>
        <w:tab/>
      </w:r>
      <w:r>
        <w:rPr>
          <w:b/>
          <w:bCs/>
        </w:rPr>
        <w:t>предоставить жертвам всеобъемлющее возмещение ущерба, включая реабилитацию и надлежащую компенсацию;</w:t>
      </w:r>
    </w:p>
    <w:p w14:paraId="51B2ECA8" w14:textId="77777777" w:rsidR="002B4995" w:rsidRPr="006B04DF" w:rsidRDefault="002B4995" w:rsidP="002B4995">
      <w:pPr>
        <w:pStyle w:val="SingleTxtG"/>
        <w:ind w:firstLine="567"/>
        <w:rPr>
          <w:b/>
          <w:bCs/>
        </w:rPr>
      </w:pPr>
      <w:r>
        <w:rPr>
          <w:b/>
          <w:bCs/>
        </w:rPr>
        <w:t>c)</w:t>
      </w:r>
      <w:r>
        <w:tab/>
      </w:r>
      <w:r>
        <w:rPr>
          <w:b/>
          <w:bCs/>
        </w:rPr>
        <w:t>обеспечить всем лицам, лишенным свободы, доступ к независимому и эффективному механизму подачи жалоб и проведения расследований по утверждениям о пытках и жестоком обращении;</w:t>
      </w:r>
    </w:p>
    <w:p w14:paraId="582DC2B8" w14:textId="77777777" w:rsidR="002B4995" w:rsidRPr="006B04DF" w:rsidRDefault="002B4995" w:rsidP="002B4995">
      <w:pPr>
        <w:pStyle w:val="SingleTxtG"/>
        <w:ind w:firstLine="567"/>
        <w:rPr>
          <w:b/>
          <w:bCs/>
        </w:rPr>
      </w:pPr>
      <w:r>
        <w:rPr>
          <w:b/>
          <w:bCs/>
        </w:rPr>
        <w:t>d)</w:t>
      </w:r>
      <w:r>
        <w:tab/>
      </w:r>
      <w:r>
        <w:rPr>
          <w:b/>
          <w:bCs/>
        </w:rPr>
        <w:t>продолжить усилия по организации для сотрудников правоохранительных органов, судебных органов, прокуратуры и пенитенциарных учреждений эффективных курсов повышения квалификации, охватывающих нормы международного права, такие как Кодекс поведения должностных лиц по поддержанию правопорядка и Принципы эффективного ведения опроса в ходе расследования и сбора информации (Принципы Мендеса);</w:t>
      </w:r>
    </w:p>
    <w:p w14:paraId="6E93F6F1" w14:textId="77777777" w:rsidR="002B4995" w:rsidRPr="006B04DF" w:rsidRDefault="002B4995" w:rsidP="002B4995">
      <w:pPr>
        <w:pStyle w:val="SingleTxtG"/>
        <w:ind w:firstLine="567"/>
        <w:rPr>
          <w:b/>
          <w:bCs/>
        </w:rPr>
      </w:pPr>
      <w:r>
        <w:rPr>
          <w:b/>
          <w:bCs/>
        </w:rPr>
        <w:t>e)</w:t>
      </w:r>
      <w:r>
        <w:tab/>
      </w:r>
      <w:r>
        <w:rPr>
          <w:b/>
          <w:bCs/>
        </w:rPr>
        <w:t>рассмотреть возможность присоединения к Конвенции против пыток и других жестоких, бесчеловечных или унижающих достоинство видов обращения и наказания.</w:t>
      </w:r>
    </w:p>
    <w:p w14:paraId="3D755D2F" w14:textId="77777777" w:rsidR="002B4995" w:rsidRPr="006B04DF" w:rsidRDefault="002B4995" w:rsidP="002B4995">
      <w:pPr>
        <w:pStyle w:val="H23G"/>
      </w:pPr>
      <w:r>
        <w:tab/>
      </w:r>
      <w:r>
        <w:tab/>
      </w:r>
      <w:r>
        <w:rPr>
          <w:bCs/>
        </w:rPr>
        <w:t>Условия содержания под стражей</w:t>
      </w:r>
    </w:p>
    <w:p w14:paraId="5A84A1A0" w14:textId="77777777" w:rsidR="002B4995" w:rsidRPr="006B04DF" w:rsidRDefault="002B4995" w:rsidP="002B4995">
      <w:pPr>
        <w:pStyle w:val="SingleTxtG"/>
      </w:pPr>
      <w:r>
        <w:t>28.</w:t>
      </w:r>
      <w:r>
        <w:tab/>
        <w:t>Комитет приветствует стремление государства-участника улучшить условия содержания под стражей. Вместе с тем он обеспокоен сохраняющейся переполненностью пенитенциарных учреждений и тем, что меры, направленные на стимулирование применения альтернатив лишению свободы, как представляется, не повлияли на проблему переполненности тюрем или чрезмерное применение досудебного содержания под стражей. Комитет с обеспокоенностью отмечает плачевные условия содержания под стражей, в том числе в Реабилитационном центре для несовершеннолетних, находящихся в конфликте с законом («СЕРМИКОЛ»), особенно с точки зрения доступа к питанию, питьевой воде и медицинскому обслуживанию, а также то, что пенитенциарные учреждения недоступны для инвалидов и не обеспечивается надлежащее раздельное содержание несовершеннолетних и взрослых, мужчин и женщин, обвиняемых и осужденных (статья 10).</w:t>
      </w:r>
    </w:p>
    <w:p w14:paraId="2D3950E4" w14:textId="77777777" w:rsidR="002B4995" w:rsidRPr="006B04DF" w:rsidRDefault="002B4995" w:rsidP="002B4995">
      <w:pPr>
        <w:pStyle w:val="SingleTxtG"/>
        <w:rPr>
          <w:b/>
          <w:bCs/>
        </w:rPr>
      </w:pPr>
      <w:r>
        <w:t>29.</w:t>
      </w:r>
      <w:r>
        <w:tab/>
      </w:r>
      <w:r>
        <w:rPr>
          <w:b/>
          <w:bCs/>
        </w:rPr>
        <w:t>Государству-участнику следует обеспечить, чтобы условия содержания под стражей соответствовали применимым международным нормам в области прав человека, включая Минимальные стандартные правила Организации Объединенных Наций в отношении обращения с заключенными (Правила Нельсона Манделы)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r>
        <w:t xml:space="preserve"> </w:t>
      </w:r>
      <w:r>
        <w:rPr>
          <w:b/>
          <w:bCs/>
        </w:rPr>
        <w:t>Ему также следует:</w:t>
      </w:r>
    </w:p>
    <w:p w14:paraId="0AE10589" w14:textId="77777777" w:rsidR="002B4995" w:rsidRPr="006B04DF" w:rsidRDefault="002B4995" w:rsidP="002B4995">
      <w:pPr>
        <w:pStyle w:val="SingleTxtG"/>
        <w:ind w:firstLine="567"/>
        <w:rPr>
          <w:b/>
          <w:bCs/>
        </w:rPr>
      </w:pPr>
      <w:r>
        <w:rPr>
          <w:b/>
          <w:bCs/>
        </w:rPr>
        <w:t>a)</w:t>
      </w:r>
      <w:r>
        <w:tab/>
      </w:r>
      <w:r>
        <w:rPr>
          <w:b/>
          <w:bCs/>
        </w:rPr>
        <w:t xml:space="preserve">продолжать предпринимать усилия для значительного сокращения показателей переполненности пенитенциарных учреждений, в том числе путем более широкого использования мер, не связанных с лишением свободы, в частности предусмотренных Минимальными стандартными правилами Организации Объединенных Наций в отношении мер, не связанных с тюремным заключением (Токийские правила), сокращения количества преступлений, в </w:t>
      </w:r>
      <w:r>
        <w:rPr>
          <w:b/>
          <w:bCs/>
        </w:rPr>
        <w:lastRenderedPageBreak/>
        <w:t>отношении которых досудебное содержание под стражей является обязательным, и обеспечения во всех случаях того, чтобы досудебное содержание под стражей было исключительной, разумной и необходимой мерой при любых обстоятельствах и применялось в течение ограниченного периода времени;</w:t>
      </w:r>
    </w:p>
    <w:p w14:paraId="759E0FEA" w14:textId="77777777" w:rsidR="002B4995" w:rsidRPr="006B04DF" w:rsidRDefault="002B4995" w:rsidP="002B4995">
      <w:pPr>
        <w:pStyle w:val="SingleTxtG"/>
        <w:ind w:firstLine="567"/>
        <w:rPr>
          <w:b/>
          <w:bCs/>
        </w:rPr>
      </w:pPr>
      <w:r>
        <w:rPr>
          <w:b/>
          <w:bCs/>
        </w:rPr>
        <w:t>b)</w:t>
      </w:r>
      <w:r>
        <w:tab/>
      </w:r>
      <w:r>
        <w:rPr>
          <w:b/>
          <w:bCs/>
        </w:rPr>
        <w:t>улучшить условия содержания под стражей и обеспечить доступ содержащихся под стражей лиц к достаточному питанию, питьевой воде и медицинскому обслуживанию во всех местах лишения свободы, гарантировать раздельное содержание несовершеннолетних и взрослых, мужчин и женщин, обвиняемых и осужденных во всех местах содержания под стражей, а также сделать эти места доступными для инвалидов.</w:t>
      </w:r>
    </w:p>
    <w:p w14:paraId="4BD57839" w14:textId="77777777" w:rsidR="002B4995" w:rsidRPr="006B04DF" w:rsidRDefault="002B4995" w:rsidP="002B4995">
      <w:pPr>
        <w:pStyle w:val="H23G"/>
        <w:rPr>
          <w:rFonts w:asciiTheme="majorBidi" w:hAnsiTheme="majorBidi" w:cstheme="majorBidi"/>
        </w:rPr>
      </w:pPr>
      <w:r>
        <w:tab/>
      </w:r>
      <w:r>
        <w:tab/>
      </w:r>
      <w:r>
        <w:rPr>
          <w:bCs/>
        </w:rPr>
        <w:t>Ликвидация рабства, принудительного труда и торговли людьми</w:t>
      </w:r>
    </w:p>
    <w:p w14:paraId="5771F20E" w14:textId="57DBA00D" w:rsidR="002B4995" w:rsidRPr="006B04DF" w:rsidRDefault="002B4995" w:rsidP="002B4995">
      <w:pPr>
        <w:pStyle w:val="SingleTxtG"/>
      </w:pPr>
      <w:r>
        <w:t>30.</w:t>
      </w:r>
      <w:r>
        <w:tab/>
        <w:t>Комитет выражает обеспокоенность по поводу проблемы детского труда, использования детей в качестве домашней прислуги и торговли людьми, в том числе вербовки, эксплуатации и похищения детей вооруженными бандами, несмотря на усилия, предпринимаемые государством-участником в этой области, в частности учреждение Президентской комиссии по поддержке создания национальной сети приютов и реабилитационных центров и осуществление Национального плана действий по борьбе с детским трудом, принятого в 2019 году. Комитет по-прежнему обеспокоен отсутствием информации, позволяющей определить точные масштабы этих нарушений прав человека. Комитет также обеспокоен сообщениями об отсутствии достаточных кадровых и финансовых ресурсов для обеспечения жертвам надлежащей защиты и помощи. Кроме того, Комитет с сожалением отмечает, что в Уголовном кодексе предусмотрено наказание в виде принудительных работ (статьи 8 и 24).</w:t>
      </w:r>
    </w:p>
    <w:p w14:paraId="495FEAA3" w14:textId="77777777" w:rsidR="002B4995" w:rsidRPr="006B04DF" w:rsidRDefault="002B4995" w:rsidP="002B4995">
      <w:pPr>
        <w:pStyle w:val="SingleTxtG"/>
      </w:pPr>
      <w:r>
        <w:t>31.</w:t>
      </w:r>
      <w:r>
        <w:tab/>
      </w:r>
      <w:r>
        <w:rPr>
          <w:b/>
          <w:bCs/>
        </w:rPr>
        <w:t>Государству-участнику следует активизировать усилия по предупреждению и пресечению торговли людьми, в том числе вербовки, эксплуатации и похищения детей вооруженными бандами, использования детей в качестве домашней прислуги, детского труда и других форм эксплуатации.</w:t>
      </w:r>
      <w:r>
        <w:t xml:space="preserve"> </w:t>
      </w:r>
      <w:r>
        <w:rPr>
          <w:b/>
          <w:bCs/>
        </w:rPr>
        <w:t>Государству-участнику следует, в частности:</w:t>
      </w:r>
    </w:p>
    <w:p w14:paraId="7FB94A19" w14:textId="77777777" w:rsidR="002B4995" w:rsidRPr="006B04DF" w:rsidRDefault="002B4995" w:rsidP="002B4995">
      <w:pPr>
        <w:pStyle w:val="SingleTxtG"/>
        <w:ind w:firstLine="567"/>
        <w:rPr>
          <w:b/>
          <w:bCs/>
        </w:rPr>
      </w:pPr>
      <w:r>
        <w:rPr>
          <w:b/>
          <w:bCs/>
        </w:rPr>
        <w:t>a)</w:t>
      </w:r>
      <w:r>
        <w:tab/>
      </w:r>
      <w:r>
        <w:rPr>
          <w:b/>
          <w:bCs/>
        </w:rPr>
        <w:t>обеспечить проведение эффективных расследований по всем случаям торговли людьми, эксплуатации детей в качестве домашней прислуги и использования детского труда, привлечение виновных к ответственности и, в случае их осуждения, назначение им наказаний, соразмерных тяжести совершенных ими преступлений;</w:t>
      </w:r>
    </w:p>
    <w:p w14:paraId="025CADF4" w14:textId="77777777" w:rsidR="002B4995" w:rsidRPr="006B04DF" w:rsidRDefault="002B4995" w:rsidP="002B4995">
      <w:pPr>
        <w:pStyle w:val="SingleTxtG"/>
        <w:ind w:firstLine="567"/>
        <w:rPr>
          <w:b/>
          <w:bCs/>
        </w:rPr>
      </w:pPr>
      <w:r>
        <w:rPr>
          <w:b/>
          <w:bCs/>
        </w:rPr>
        <w:t>b)</w:t>
      </w:r>
      <w:r>
        <w:tab/>
      </w:r>
      <w:r>
        <w:rPr>
          <w:b/>
          <w:bCs/>
        </w:rPr>
        <w:t>активизировать усилия по выявлению жертв торговли людьми и обеспечить жертвам защиту, возмещение ущерба и помощь, в том числе для их реинтеграции;</w:t>
      </w:r>
    </w:p>
    <w:p w14:paraId="388A0956" w14:textId="77777777" w:rsidR="002B4995" w:rsidRPr="006B04DF" w:rsidRDefault="002B4995" w:rsidP="002B4995">
      <w:pPr>
        <w:pStyle w:val="SingleTxtG"/>
        <w:ind w:firstLine="567"/>
        <w:rPr>
          <w:b/>
          <w:bCs/>
        </w:rPr>
      </w:pPr>
      <w:r>
        <w:rPr>
          <w:b/>
          <w:bCs/>
        </w:rPr>
        <w:t>c)</w:t>
      </w:r>
      <w:r>
        <w:tab/>
      </w:r>
      <w:r>
        <w:rPr>
          <w:b/>
          <w:bCs/>
        </w:rPr>
        <w:t>осуществлять комплексные меры, используя подход, основанный на профилактике и реагировании на раннем этапе, для защиты детей от насилия со стороны банд и их вербовки в банды, в том числе путем устранения коренных причин этих явлений и развития общинных служб, уполномоченных удовлетворять конкретные потребности и решать проблемы детей, а также специальных программ для детей, находящихся в конфликте с законом, с целью содействия их реинтеграции в общество;</w:t>
      </w:r>
    </w:p>
    <w:p w14:paraId="2294FBB7" w14:textId="77777777" w:rsidR="002B4995" w:rsidRPr="006B04DF" w:rsidRDefault="002B4995" w:rsidP="002B4995">
      <w:pPr>
        <w:pStyle w:val="SingleTxtG"/>
        <w:ind w:firstLine="567"/>
        <w:rPr>
          <w:b/>
          <w:bCs/>
        </w:rPr>
      </w:pPr>
      <w:r>
        <w:rPr>
          <w:b/>
          <w:bCs/>
        </w:rPr>
        <w:t>d)</w:t>
      </w:r>
      <w:r>
        <w:tab/>
      </w:r>
      <w:r>
        <w:rPr>
          <w:b/>
          <w:bCs/>
        </w:rPr>
        <w:t>повысить уровень подготовки и специализации сотрудников судебных органов, правоохранительных органов и учреждений, инспекторов труда и служащих других ведомств, участвующих в борьбе с торговлей детьми и детским трудом, а также содействовать координации их действий и их сотрудничеству;</w:t>
      </w:r>
    </w:p>
    <w:p w14:paraId="4889734C" w14:textId="77777777" w:rsidR="002B4995" w:rsidRPr="006B04DF" w:rsidRDefault="002B4995" w:rsidP="002B4995">
      <w:pPr>
        <w:pStyle w:val="SingleTxtG"/>
        <w:ind w:firstLine="567"/>
        <w:rPr>
          <w:b/>
          <w:bCs/>
        </w:rPr>
      </w:pPr>
      <w:r>
        <w:rPr>
          <w:b/>
          <w:bCs/>
        </w:rPr>
        <w:t>e)</w:t>
      </w:r>
      <w:r>
        <w:tab/>
      </w:r>
      <w:r>
        <w:rPr>
          <w:b/>
          <w:bCs/>
        </w:rPr>
        <w:t>обеспечить выделение достаточных финансовых, технических и кадровых ресурсов всем учреждениям, отвечающим за предупреждение и пресечение торговли людьми и наказание за нее, а также учреждениям, предоставляющим защиту и помощь жертвам, в том числе организациям гражданского общества;</w:t>
      </w:r>
    </w:p>
    <w:p w14:paraId="5C18FFF4" w14:textId="77777777" w:rsidR="002B4995" w:rsidRPr="006B04DF" w:rsidRDefault="002B4995" w:rsidP="002B4995">
      <w:pPr>
        <w:pStyle w:val="SingleTxtG"/>
        <w:ind w:firstLine="567"/>
        <w:rPr>
          <w:b/>
          <w:bCs/>
        </w:rPr>
      </w:pPr>
      <w:r>
        <w:rPr>
          <w:b/>
          <w:bCs/>
        </w:rPr>
        <w:lastRenderedPageBreak/>
        <w:t>f)</w:t>
      </w:r>
      <w:r>
        <w:tab/>
      </w:r>
      <w:r>
        <w:rPr>
          <w:b/>
          <w:bCs/>
        </w:rPr>
        <w:t>внести в Уголовный кодекс поправки с целью отмены наказания в виде принудительного труда.</w:t>
      </w:r>
    </w:p>
    <w:p w14:paraId="46200935" w14:textId="77777777" w:rsidR="002B4995" w:rsidRPr="006B04DF" w:rsidRDefault="002B4995" w:rsidP="002B4995">
      <w:pPr>
        <w:pStyle w:val="H23G"/>
      </w:pPr>
      <w:r>
        <w:tab/>
      </w:r>
      <w:r>
        <w:tab/>
      </w:r>
      <w:r>
        <w:rPr>
          <w:bCs/>
        </w:rPr>
        <w:t>Внутренне перемещенные лица</w:t>
      </w:r>
    </w:p>
    <w:p w14:paraId="560E20BA" w14:textId="0082F368" w:rsidR="002B4995" w:rsidRPr="006B04DF" w:rsidRDefault="002B4995" w:rsidP="002B4995">
      <w:pPr>
        <w:pStyle w:val="SingleTxtG"/>
      </w:pPr>
      <w:r>
        <w:t>32.</w:t>
      </w:r>
      <w:r>
        <w:tab/>
        <w:t xml:space="preserve">Комитет глубоко обеспокоен масштабами перемещения людей в государстве-участнике, большинство из которых составляют дети, в результате царящего бандитизма, разрушения государственных служб, отсутствия продовольственной безопасности и общей незащищенности. Комитет обеспокоен тяжелыми условиями жизни лиц, перемещенных в результате насилия, в частности сексуального насилия, и отсутствием доступа, среди прочего, к продовольствию, питьевой воде, санитарным услугам и медицинскому обслуживанию. Комитет с обеспокоенностью отмечает сообщения о случаях принудительного выселения. Комитет c сожалением констатирует отсутствие информации о мерах, принятых в связи с ураганом </w:t>
      </w:r>
      <w:r w:rsidR="004548AB">
        <w:t>«</w:t>
      </w:r>
      <w:r>
        <w:t>Мэтью</w:t>
      </w:r>
      <w:r w:rsidR="004548AB">
        <w:t>»</w:t>
      </w:r>
      <w:r>
        <w:t xml:space="preserve"> в 2016 году, и о положении людей, в отношении которых так и не были приняты надлежащие меры реагирования. В связи с перемещенными лицами Комитет также отмечает проблему сохраняющихся пробелов в работе органов регистрации</w:t>
      </w:r>
      <w:r w:rsidR="004548AB">
        <w:br/>
      </w:r>
      <w:r>
        <w:t>актов гражданского состояния и в доступе к документам, удостоверяющим</w:t>
      </w:r>
      <w:r w:rsidR="004548AB">
        <w:br/>
      </w:r>
      <w:r>
        <w:t>личность (статьи 3, 12, 17, 24 и 26).</w:t>
      </w:r>
    </w:p>
    <w:p w14:paraId="770A5DAD" w14:textId="77777777" w:rsidR="002B4995" w:rsidRPr="006B04DF" w:rsidRDefault="002B4995" w:rsidP="002B4995">
      <w:pPr>
        <w:pStyle w:val="SingleTxtG"/>
        <w:rPr>
          <w:b/>
          <w:bCs/>
        </w:rPr>
      </w:pPr>
      <w:r w:rsidRPr="004F091A">
        <w:t>33.</w:t>
      </w:r>
      <w:r>
        <w:tab/>
      </w:r>
      <w:r>
        <w:rPr>
          <w:b/>
          <w:bCs/>
        </w:rPr>
        <w:t>Государству-участнику следует активизировать работу, чтобы ускорить внедрение долгосрочных решений для перемещенных лиц в консультации с ними и с соблюдением применимых международных норм, включая Руководящие принципы по вопросу о перемещении лиц внутри страны и Пакт.</w:t>
      </w:r>
      <w:r>
        <w:t xml:space="preserve"> </w:t>
      </w:r>
      <w:r>
        <w:rPr>
          <w:b/>
          <w:bCs/>
        </w:rPr>
        <w:t>Ему следует, в частности:</w:t>
      </w:r>
    </w:p>
    <w:p w14:paraId="63B8BB71" w14:textId="77777777" w:rsidR="002B4995" w:rsidRPr="006B04DF" w:rsidRDefault="002B4995" w:rsidP="002B4995">
      <w:pPr>
        <w:pStyle w:val="SingleTxtG"/>
        <w:ind w:firstLine="567"/>
        <w:rPr>
          <w:b/>
          <w:bCs/>
        </w:rPr>
      </w:pPr>
      <w:r>
        <w:rPr>
          <w:b/>
          <w:bCs/>
        </w:rPr>
        <w:t>a)</w:t>
      </w:r>
      <w:r>
        <w:tab/>
      </w:r>
      <w:r>
        <w:rPr>
          <w:b/>
          <w:bCs/>
        </w:rPr>
        <w:t>принять конкретные меры по обеспечению защиты перемещенных лиц от всех форм насилия, включая сексуальное насилие в отношении перемещенных женщин и девочек;</w:t>
      </w:r>
    </w:p>
    <w:p w14:paraId="40FBD929" w14:textId="77777777" w:rsidR="002B4995" w:rsidRPr="006B04DF" w:rsidRDefault="002B4995" w:rsidP="002B4995">
      <w:pPr>
        <w:pStyle w:val="SingleTxtG"/>
        <w:ind w:firstLine="567"/>
        <w:rPr>
          <w:b/>
          <w:bCs/>
        </w:rPr>
      </w:pPr>
      <w:r>
        <w:rPr>
          <w:b/>
          <w:bCs/>
        </w:rPr>
        <w:t>b)</w:t>
      </w:r>
      <w:r>
        <w:tab/>
      </w:r>
      <w:r>
        <w:rPr>
          <w:b/>
          <w:bCs/>
        </w:rPr>
        <w:t>улучшить доступ к продовольствию, питьевой воде, санитарии и здравоохранению;</w:t>
      </w:r>
    </w:p>
    <w:p w14:paraId="18C6BE15" w14:textId="77777777" w:rsidR="002B4995" w:rsidRPr="006B04DF" w:rsidRDefault="002B4995" w:rsidP="002B4995">
      <w:pPr>
        <w:pStyle w:val="SingleTxtG"/>
        <w:ind w:firstLine="567"/>
        <w:rPr>
          <w:b/>
          <w:bCs/>
        </w:rPr>
      </w:pPr>
      <w:r>
        <w:rPr>
          <w:b/>
          <w:bCs/>
        </w:rPr>
        <w:t>c)</w:t>
      </w:r>
      <w:r>
        <w:tab/>
      </w:r>
      <w:r>
        <w:rPr>
          <w:b/>
          <w:bCs/>
        </w:rPr>
        <w:t>упростить процедуры регистрации рождений и получения документов, удостоверяющих личность, или свидетельств о регистрации актов гражданского состояния для людей, потерявших соответствующие документы.</w:t>
      </w:r>
    </w:p>
    <w:p w14:paraId="1B76EA59" w14:textId="77777777" w:rsidR="002B4995" w:rsidRPr="006B04DF" w:rsidRDefault="002B4995" w:rsidP="002B4995">
      <w:pPr>
        <w:pStyle w:val="H23G"/>
      </w:pPr>
      <w:r>
        <w:tab/>
      </w:r>
      <w:r>
        <w:tab/>
      </w:r>
      <w:r>
        <w:rPr>
          <w:bCs/>
        </w:rPr>
        <w:t>Доступ к правосудию и независимость судебных органов</w:t>
      </w:r>
    </w:p>
    <w:p w14:paraId="3C090D15" w14:textId="77777777" w:rsidR="002B4995" w:rsidRPr="006B04DF" w:rsidRDefault="002B4995" w:rsidP="002B4995">
      <w:pPr>
        <w:pStyle w:val="SingleTxtG"/>
      </w:pPr>
      <w:r>
        <w:t>34.</w:t>
      </w:r>
      <w:r>
        <w:tab/>
        <w:t>Комитет обеспокоен последствиями отсутствия безопасности, вызванного нападениями вооруженных банд, забастовками судей и секретарей судов и пандемией коронавирусной инфекции (COVID-19), для надлежащего функционирования судебной системы. Он также обеспокоен ролью президента Республики в назначении членов апелляционного и кассационного судов, поскольку такой порядок подрывает принцип разделения властей, а также отсутствием прозрачности в критериях, используемых в квалификационной аттестации судей. Комитет с сожалением отмечает нехватку финансовых и кадровых ресурсов для обеспечения надлежащего функционирования системы правосудия и отсутствие ясности в отношении бюджетных средств, которыми располагает Национальный совет, в частности для создания служб юридической помощи (статья 14).</w:t>
      </w:r>
    </w:p>
    <w:p w14:paraId="4247B3AC" w14:textId="77777777" w:rsidR="002B4995" w:rsidRPr="006B04DF" w:rsidRDefault="002B4995" w:rsidP="002B4995">
      <w:pPr>
        <w:pStyle w:val="SingleTxtG"/>
      </w:pPr>
      <w:r>
        <w:t>35.</w:t>
      </w:r>
      <w:r>
        <w:tab/>
      </w:r>
      <w:r>
        <w:rPr>
          <w:b/>
          <w:bCs/>
        </w:rPr>
        <w:t>Государству-участнику следует принять все необходимые меры для обеспечения независимости и беспристрастности судебной власти, в том числе путем обеспечения того, чтобы процедуры отбора, назначения, продвижения по службе и смещения судей были прозрачными и беспристрастными и соответствовали положениям Пакта и соответствующим применимым международным нормам, в частности предусмотренным Основными принципами независимости судебных органов.</w:t>
      </w:r>
      <w:r>
        <w:t xml:space="preserve"> </w:t>
      </w:r>
      <w:r>
        <w:rPr>
          <w:b/>
          <w:bCs/>
        </w:rPr>
        <w:t>Ему также следует выделить достаточные бюджетные средства для гарантирования эффективного функционирования системы правосудия, в том числе для обеспечения безопасности судей и других должностных лиц судебных органов и зданий судов, а также для создания служб правовой помощи во всех судах первой инстанции.</w:t>
      </w:r>
    </w:p>
    <w:p w14:paraId="53C4AD8B" w14:textId="77777777" w:rsidR="002B4995" w:rsidRPr="006B04DF" w:rsidRDefault="002B4995" w:rsidP="002B4995">
      <w:pPr>
        <w:pStyle w:val="H23G"/>
      </w:pPr>
      <w:r>
        <w:lastRenderedPageBreak/>
        <w:tab/>
      </w:r>
      <w:r>
        <w:tab/>
      </w:r>
      <w:r>
        <w:rPr>
          <w:bCs/>
        </w:rPr>
        <w:t>Свобода мнений и их свободное выражение, свобода собраний и свобода ассоциации</w:t>
      </w:r>
    </w:p>
    <w:p w14:paraId="3B428217" w14:textId="1A98374C" w:rsidR="002B4995" w:rsidRPr="006B04DF" w:rsidRDefault="002B4995" w:rsidP="002B4995">
      <w:pPr>
        <w:pStyle w:val="SingleTxtG"/>
      </w:pPr>
      <w:r>
        <w:t>36.</w:t>
      </w:r>
      <w:r>
        <w:tab/>
        <w:t>Комитет выражает обеспокоенность по поводу того, что акты насилия, включая смертоносные нападения, угрозы и кибернасилие в отношении демонстрантов, журналистов, правозащитников и членов гражданского общества, на фоне актов насилия со стороны вооруженных банд и операций, проводимых полицией, создают угрозу для гражданского пространства в государстве-участнике. Комитет обеспокоен отсутствием эффективных мер защиты, сохраняющейся безнаказанностью в случае убийств журналистов и правозащитников членами вооруженных банд, чрезмерным применением силы сотрудниками Гаитянской национальной полиции, а также закрытием или приостановкой деятельности ряда средств массовой</w:t>
      </w:r>
      <w:r w:rsidR="00E26D0F">
        <w:br/>
      </w:r>
      <w:r>
        <w:t>информации (статьи 6, 19, 21 и 22).</w:t>
      </w:r>
    </w:p>
    <w:p w14:paraId="018588F9" w14:textId="77777777" w:rsidR="002B4995" w:rsidRPr="006B04DF" w:rsidRDefault="002B4995" w:rsidP="002B4995">
      <w:pPr>
        <w:pStyle w:val="SingleTxtG"/>
      </w:pPr>
      <w:r>
        <w:t>37.</w:t>
      </w:r>
      <w:r>
        <w:tab/>
      </w:r>
      <w:r>
        <w:rPr>
          <w:b/>
          <w:bCs/>
        </w:rPr>
        <w:t>С учетом принятых Комитетом замечания общего порядка № 34 (2011) о свободе мнений и их выражения и замечания общего порядка № 37 (2020) о праве на мирные собрания государству-участнику следует принять необходимые меры для обеспечения того, чтобы демонстранты, журналисты, правозащитники и другие представители гражданского общества были защищены от насилия, угроз, преследований и запугиваний и чтобы они могли осуществлять свою деятельность мирно, свободно и без принуждения.</w:t>
      </w:r>
      <w:r>
        <w:t xml:space="preserve"> </w:t>
      </w:r>
      <w:r>
        <w:rPr>
          <w:b/>
          <w:bCs/>
        </w:rPr>
        <w:t>Государству-участнику следует, в частности:</w:t>
      </w:r>
    </w:p>
    <w:p w14:paraId="7AE4590C" w14:textId="77777777" w:rsidR="002B4995" w:rsidRPr="006B04DF" w:rsidRDefault="002B4995" w:rsidP="002B4995">
      <w:pPr>
        <w:pStyle w:val="SingleTxtG"/>
        <w:ind w:firstLine="567"/>
        <w:rPr>
          <w:b/>
          <w:bCs/>
        </w:rPr>
      </w:pPr>
      <w:r>
        <w:rPr>
          <w:b/>
          <w:bCs/>
        </w:rPr>
        <w:t>a)</w:t>
      </w:r>
      <w:r>
        <w:tab/>
      </w:r>
      <w:r>
        <w:rPr>
          <w:b/>
          <w:bCs/>
        </w:rPr>
        <w:t>обеспечить, чтобы по всем нарушениям прав человека представителей гражданского общества проводились оперативные, тщательные, независимые и беспристрастные расследования, виновные привлекались к ответственности и, в случае их осуждения, получали наказания, соразмерные тяжести совершенных ими деяний, а жертвы имели доступ к эффективным средствам правовой защиты и возмещению ущерба;</w:t>
      </w:r>
    </w:p>
    <w:p w14:paraId="25392217" w14:textId="77777777" w:rsidR="002B4995" w:rsidRPr="006B04DF" w:rsidRDefault="002B4995" w:rsidP="002B4995">
      <w:pPr>
        <w:pStyle w:val="SingleTxtG"/>
        <w:ind w:firstLine="567"/>
        <w:rPr>
          <w:b/>
          <w:bCs/>
        </w:rPr>
      </w:pPr>
      <w:r>
        <w:rPr>
          <w:b/>
          <w:bCs/>
        </w:rPr>
        <w:t>b)</w:t>
      </w:r>
      <w:r>
        <w:tab/>
      </w:r>
      <w:r>
        <w:rPr>
          <w:b/>
          <w:bCs/>
        </w:rPr>
        <w:t>обеспечить работникам СМИ и журналистам, критикующим исполнительную власть или банды, возможность</w:t>
      </w:r>
      <w:r w:rsidRPr="00B23531">
        <w:rPr>
          <w:b/>
          <w:bCs/>
        </w:rPr>
        <w:t xml:space="preserve"> </w:t>
      </w:r>
      <w:r>
        <w:rPr>
          <w:b/>
          <w:bCs/>
        </w:rPr>
        <w:t>свободно осуществлять свою деятельность;</w:t>
      </w:r>
    </w:p>
    <w:p w14:paraId="1BDD8D9F" w14:textId="77777777" w:rsidR="002B4995" w:rsidRPr="006B04DF" w:rsidRDefault="002B4995" w:rsidP="002B4995">
      <w:pPr>
        <w:pStyle w:val="SingleTxtG"/>
        <w:ind w:firstLine="567"/>
        <w:rPr>
          <w:b/>
          <w:bCs/>
        </w:rPr>
      </w:pPr>
      <w:r>
        <w:rPr>
          <w:b/>
          <w:bCs/>
        </w:rPr>
        <w:t>c)</w:t>
      </w:r>
      <w:r>
        <w:tab/>
      </w:r>
      <w:r>
        <w:rPr>
          <w:b/>
          <w:bCs/>
        </w:rPr>
        <w:t>принять все меры, необходимые для того, чтобы гарантировать в законодательном порядке и на практике реальное осуществление права на свободу ассоциации и права на безопасные и благоприятные условия для работы неправительственных организаций.</w:t>
      </w:r>
    </w:p>
    <w:p w14:paraId="1D8EC842" w14:textId="77777777" w:rsidR="002B4995" w:rsidRPr="006B04DF" w:rsidRDefault="002B4995" w:rsidP="002B4995">
      <w:pPr>
        <w:pStyle w:val="H23G"/>
      </w:pPr>
      <w:r>
        <w:tab/>
      </w:r>
      <w:r>
        <w:tab/>
      </w:r>
      <w:r>
        <w:rPr>
          <w:bCs/>
        </w:rPr>
        <w:t>Участие в ведении государственных дел</w:t>
      </w:r>
    </w:p>
    <w:p w14:paraId="09A547FF" w14:textId="1C80C240" w:rsidR="002B4995" w:rsidRPr="006B04DF" w:rsidRDefault="002B4995" w:rsidP="002B4995">
      <w:pPr>
        <w:pStyle w:val="SingleTxtG"/>
      </w:pPr>
      <w:r>
        <w:t>38.</w:t>
      </w:r>
      <w:r>
        <w:tab/>
        <w:t>Комитет обеспокоен убийством президента Республики Жовенеля Моиза 7</w:t>
      </w:r>
      <w:r w:rsidR="002A5320">
        <w:t> </w:t>
      </w:r>
      <w:r>
        <w:t>июля 2021 года и нападениями банд на государственные учреждения. Он также обеспокоен переносом всеобщих выборов, вакантностью всех мест в парламенте с января 2020 года и возникшим в этой связи институциональным вакуумом. Комитет с обеспокоенностью отмечает отсутствие необходимых условий для проведения выборов в связи с повсеместным отсутствием безопасности, вызванным насилием со стороны банд (статья 25).</w:t>
      </w:r>
      <w:bookmarkStart w:id="3" w:name="_Hlk190684038"/>
    </w:p>
    <w:p w14:paraId="24C7C812" w14:textId="77777777" w:rsidR="002B4995" w:rsidRPr="006B04DF" w:rsidRDefault="002B4995" w:rsidP="002B4995">
      <w:pPr>
        <w:pStyle w:val="SingleTxtG"/>
        <w:rPr>
          <w:b/>
          <w:bCs/>
        </w:rPr>
      </w:pPr>
      <w:r>
        <w:t>39.</w:t>
      </w:r>
      <w:r>
        <w:tab/>
      </w:r>
      <w:r>
        <w:rPr>
          <w:b/>
          <w:bCs/>
        </w:rPr>
        <w:t>Государству-участнику следует гарантировать реализацию на практике в полном объеме права на участие в политической жизни и обеспечить надлежащие условия для проведения заслуживающих доверия, прозрачных, свободных и справедливых выборов.</w:t>
      </w:r>
      <w:r>
        <w:t xml:space="preserve"> </w:t>
      </w:r>
      <w:r>
        <w:rPr>
          <w:b/>
          <w:bCs/>
        </w:rPr>
        <w:t>Ему также следует провести тщательное и независимое расследование в связи с убийством президента Республики Жовенеля Моиза и обеспечить привлечение виновных к ответственности.</w:t>
      </w:r>
    </w:p>
    <w:bookmarkEnd w:id="3"/>
    <w:p w14:paraId="1F532A7D" w14:textId="12A8E253" w:rsidR="002B4995" w:rsidRPr="006B04DF" w:rsidRDefault="002A5320" w:rsidP="002B4995">
      <w:pPr>
        <w:pStyle w:val="H1G"/>
      </w:pPr>
      <w:r>
        <w:rPr>
          <w:bCs/>
        </w:rPr>
        <w:tab/>
      </w:r>
      <w:r w:rsidR="002B4995">
        <w:rPr>
          <w:bCs/>
        </w:rPr>
        <w:t>D.</w:t>
      </w:r>
      <w:r w:rsidR="002B4995">
        <w:tab/>
      </w:r>
      <w:r w:rsidR="002B4995">
        <w:rPr>
          <w:bCs/>
        </w:rPr>
        <w:t>Распространение информации и последующая деятельность</w:t>
      </w:r>
    </w:p>
    <w:p w14:paraId="5491CFFB" w14:textId="77777777" w:rsidR="002B4995" w:rsidRPr="006B04DF" w:rsidRDefault="002B4995" w:rsidP="002B4995">
      <w:pPr>
        <w:pStyle w:val="SingleTxtG"/>
        <w:rPr>
          <w:b/>
          <w:bCs/>
        </w:rPr>
      </w:pPr>
      <w:r>
        <w:t>40.</w:t>
      </w:r>
      <w:r>
        <w:tab/>
      </w:r>
      <w:r>
        <w:rPr>
          <w:b/>
          <w:bCs/>
        </w:rPr>
        <w:t xml:space="preserve">Государству-участнику следует обеспечить широкое распространение Пакта, обоих факультативных протоколов к нему, своего второго периодического доклада и настоящих заключительных замечаний, чтобы повысить уровень осведомленности о закрепленных в Пакте правах среди </w:t>
      </w:r>
      <w:r>
        <w:rPr>
          <w:b/>
          <w:bCs/>
        </w:rPr>
        <w:lastRenderedPageBreak/>
        <w:t>работников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доклада и настоящих заключительных замечаний на гаитянский креольский язык, который наряду с французским языком является официальным языком государства-участника.</w:t>
      </w:r>
      <w:bookmarkStart w:id="4" w:name="_Hlk168404895"/>
      <w:bookmarkEnd w:id="4"/>
    </w:p>
    <w:p w14:paraId="78E4B077" w14:textId="24FFB7BA" w:rsidR="002B4995" w:rsidRPr="006B04DF" w:rsidRDefault="002B4995" w:rsidP="002B4995">
      <w:pPr>
        <w:pStyle w:val="SingleTxtG"/>
        <w:keepNext/>
        <w:keepLines/>
        <w:rPr>
          <w:b/>
          <w:bCs/>
          <w:spacing w:val="-1"/>
        </w:rPr>
      </w:pPr>
      <w:r>
        <w:t>41.</w:t>
      </w:r>
      <w:r>
        <w:tab/>
      </w:r>
      <w:r>
        <w:rPr>
          <w:b/>
          <w:bCs/>
        </w:rPr>
        <w:t>В соответствии с пунктом 1 правила 75 правил процедуры Комитета государству-участнику предлагается представить не позднее 18 июля 2028 года информацию о выполнении рекомендаций, сформулированных Комитетом выше в пунктах 21 (насилие в отношении женщин), 25 (право на жизнь)</w:t>
      </w:r>
      <w:r w:rsidR="002A5320">
        <w:rPr>
          <w:b/>
          <w:bCs/>
        </w:rPr>
        <w:br/>
      </w:r>
      <w:r>
        <w:rPr>
          <w:b/>
          <w:bCs/>
        </w:rPr>
        <w:t>и 31 (ликвидация рабства, принудительного труда и торговли людьми).</w:t>
      </w:r>
    </w:p>
    <w:p w14:paraId="7852AEBA" w14:textId="70655380" w:rsidR="002B4995" w:rsidRPr="006B04DF" w:rsidRDefault="002B4995" w:rsidP="002B4995">
      <w:pPr>
        <w:pStyle w:val="SingleTxtG"/>
        <w:rPr>
          <w:b/>
          <w:bCs/>
        </w:rPr>
      </w:pPr>
      <w:r>
        <w:t>42.</w:t>
      </w:r>
      <w:r>
        <w:tab/>
      </w:r>
      <w:r>
        <w:rPr>
          <w:b/>
          <w:bCs/>
        </w:rPr>
        <w:t>В соответствии с прогнозируемым циклом обзора Комитета государство-участник получит в 2031 году перечень вопросов Комитета до представления доклада и должно будет представить в течение одного года свои ответы на перечень вопросов, которые и будут представлять собой его третий периодический доклад.</w:t>
      </w:r>
      <w:r>
        <w:t xml:space="preserve"> </w:t>
      </w:r>
      <w:r>
        <w:rPr>
          <w:b/>
          <w:bCs/>
        </w:rPr>
        <w:t>Комитет также просит государство-участник при подготовке доклада провести широкие консультации с гражданским обществом и действующими в стране неправительственными организациями.</w:t>
      </w:r>
      <w:r>
        <w:t xml:space="preserve"> </w:t>
      </w:r>
      <w:r>
        <w:rPr>
          <w:b/>
          <w:bCs/>
        </w:rPr>
        <w:t>В</w:t>
      </w:r>
      <w:r w:rsidR="002A5320">
        <w:rPr>
          <w:b/>
          <w:bCs/>
        </w:rPr>
        <w:t> </w:t>
      </w:r>
      <w:r>
        <w:rPr>
          <w:b/>
          <w:bCs/>
        </w:rPr>
        <w:t>соответствии с резолюцией 68/268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2033 году в Женеве.</w:t>
      </w:r>
      <w:hyperlink r:id="rId8" w:history="1"/>
    </w:p>
    <w:p w14:paraId="0BA6FBD1" w14:textId="3A47E93F" w:rsidR="00381C24" w:rsidRPr="002A5320" w:rsidRDefault="002B4995" w:rsidP="002A5320">
      <w:pPr>
        <w:pStyle w:val="SingleTxtG"/>
        <w:spacing w:before="240" w:after="0"/>
        <w:jc w:val="center"/>
        <w:rPr>
          <w:u w:val="single"/>
        </w:rPr>
      </w:pPr>
      <w:r w:rsidRPr="006B04DF">
        <w:rPr>
          <w:u w:val="single"/>
        </w:rPr>
        <w:tab/>
      </w:r>
      <w:r w:rsidRPr="006B04DF">
        <w:rPr>
          <w:u w:val="single"/>
        </w:rPr>
        <w:tab/>
      </w:r>
      <w:r w:rsidRPr="006B04DF">
        <w:rPr>
          <w:u w:val="single"/>
        </w:rPr>
        <w:tab/>
      </w:r>
    </w:p>
    <w:sectPr w:rsidR="00381C24" w:rsidRPr="002A5320" w:rsidSect="00C5131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7E719" w14:textId="77777777" w:rsidR="00604134" w:rsidRPr="00A312BC" w:rsidRDefault="00604134" w:rsidP="00A312BC"/>
  </w:endnote>
  <w:endnote w:type="continuationSeparator" w:id="0">
    <w:p w14:paraId="0B7A3337" w14:textId="77777777" w:rsidR="00604134" w:rsidRPr="00A312BC" w:rsidRDefault="0060413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FB1DD" w14:textId="750E4591" w:rsidR="00C5131B" w:rsidRPr="00C5131B" w:rsidRDefault="00C5131B">
    <w:pPr>
      <w:pStyle w:val="a8"/>
    </w:pPr>
    <w:r w:rsidRPr="00C5131B">
      <w:rPr>
        <w:b/>
        <w:sz w:val="18"/>
      </w:rPr>
      <w:fldChar w:fldCharType="begin"/>
    </w:r>
    <w:r w:rsidRPr="00C5131B">
      <w:rPr>
        <w:b/>
        <w:sz w:val="18"/>
      </w:rPr>
      <w:instrText xml:space="preserve"> PAGE  \* MERGEFORMAT </w:instrText>
    </w:r>
    <w:r w:rsidRPr="00C5131B">
      <w:rPr>
        <w:b/>
        <w:sz w:val="18"/>
      </w:rPr>
      <w:fldChar w:fldCharType="separate"/>
    </w:r>
    <w:r w:rsidRPr="00C5131B">
      <w:rPr>
        <w:b/>
        <w:noProof/>
        <w:sz w:val="18"/>
      </w:rPr>
      <w:t>2</w:t>
    </w:r>
    <w:r w:rsidRPr="00C5131B">
      <w:rPr>
        <w:b/>
        <w:sz w:val="18"/>
      </w:rPr>
      <w:fldChar w:fldCharType="end"/>
    </w:r>
    <w:r>
      <w:rPr>
        <w:b/>
        <w:sz w:val="18"/>
      </w:rPr>
      <w:tab/>
    </w:r>
    <w:r>
      <w:t>GE.25-11903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9F208" w14:textId="62A952EF" w:rsidR="00C5131B" w:rsidRPr="00C5131B" w:rsidRDefault="00C5131B" w:rsidP="00C5131B">
    <w:pPr>
      <w:pStyle w:val="a8"/>
      <w:tabs>
        <w:tab w:val="clear" w:pos="9639"/>
        <w:tab w:val="right" w:pos="9638"/>
      </w:tabs>
      <w:rPr>
        <w:b/>
        <w:sz w:val="18"/>
      </w:rPr>
    </w:pPr>
    <w:r>
      <w:t>GE.25-11903</w:t>
    </w:r>
    <w:r>
      <w:tab/>
    </w:r>
    <w:r w:rsidRPr="00C5131B">
      <w:rPr>
        <w:b/>
        <w:sz w:val="18"/>
      </w:rPr>
      <w:fldChar w:fldCharType="begin"/>
    </w:r>
    <w:r w:rsidRPr="00C5131B">
      <w:rPr>
        <w:b/>
        <w:sz w:val="18"/>
      </w:rPr>
      <w:instrText xml:space="preserve"> PAGE  \* MERGEFORMAT </w:instrText>
    </w:r>
    <w:r w:rsidRPr="00C5131B">
      <w:rPr>
        <w:b/>
        <w:sz w:val="18"/>
      </w:rPr>
      <w:fldChar w:fldCharType="separate"/>
    </w:r>
    <w:r w:rsidRPr="00C5131B">
      <w:rPr>
        <w:b/>
        <w:noProof/>
        <w:sz w:val="18"/>
      </w:rPr>
      <w:t>3</w:t>
    </w:r>
    <w:r w:rsidRPr="00C513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04E34" w14:textId="07BC4B09" w:rsidR="00042B72" w:rsidRPr="00C5131B" w:rsidRDefault="00C5131B" w:rsidP="00C5131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09CF0B6" wp14:editId="714D316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25-11903  (R)</w:t>
    </w:r>
    <w:r>
      <w:rPr>
        <w:noProof/>
      </w:rPr>
      <w:drawing>
        <wp:anchor distT="0" distB="0" distL="114300" distR="114300" simplePos="0" relativeHeight="251658241" behindDoc="0" locked="0" layoutInCell="1" allowOverlap="1" wp14:anchorId="662C4D0E" wp14:editId="1CA52823">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42889">
      <w:t xml:space="preserve">  290925  011025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6002A" w14:textId="77777777" w:rsidR="00604134" w:rsidRPr="001075E9" w:rsidRDefault="00604134" w:rsidP="001075E9">
      <w:pPr>
        <w:tabs>
          <w:tab w:val="right" w:pos="2155"/>
        </w:tabs>
        <w:spacing w:after="80" w:line="240" w:lineRule="auto"/>
        <w:ind w:left="680"/>
        <w:rPr>
          <w:u w:val="single"/>
        </w:rPr>
      </w:pPr>
      <w:r>
        <w:rPr>
          <w:u w:val="single"/>
        </w:rPr>
        <w:tab/>
      </w:r>
    </w:p>
  </w:footnote>
  <w:footnote w:type="continuationSeparator" w:id="0">
    <w:p w14:paraId="4C1322CE" w14:textId="77777777" w:rsidR="00604134" w:rsidRDefault="00604134" w:rsidP="00407B78">
      <w:pPr>
        <w:tabs>
          <w:tab w:val="right" w:pos="2155"/>
        </w:tabs>
        <w:spacing w:after="80"/>
        <w:ind w:left="680"/>
        <w:rPr>
          <w:u w:val="single"/>
        </w:rPr>
      </w:pPr>
      <w:r>
        <w:rPr>
          <w:u w:val="single"/>
        </w:rPr>
        <w:tab/>
      </w:r>
    </w:p>
  </w:footnote>
  <w:footnote w:id="1">
    <w:p w14:paraId="5E0E2F3B" w14:textId="77777777" w:rsidR="002B4995" w:rsidRPr="006B04DF" w:rsidRDefault="002B4995" w:rsidP="002B4995">
      <w:pPr>
        <w:pStyle w:val="ad"/>
      </w:pPr>
      <w:r>
        <w:tab/>
      </w:r>
      <w:r w:rsidRPr="00F42889">
        <w:rPr>
          <w:sz w:val="20"/>
        </w:rPr>
        <w:t>*</w:t>
      </w:r>
      <w:r>
        <w:tab/>
        <w:t>Приняты Комитетом на его сто сорок четвертой сессии (23 июня — 17 июля 2025 года).</w:t>
      </w:r>
    </w:p>
  </w:footnote>
  <w:footnote w:id="2">
    <w:p w14:paraId="6136C133" w14:textId="1447BBC7" w:rsidR="002B4995" w:rsidRPr="006B04DF" w:rsidRDefault="002B4995" w:rsidP="002B4995">
      <w:pPr>
        <w:pStyle w:val="ad"/>
      </w:pPr>
      <w:r w:rsidRPr="002415EE">
        <w:tab/>
      </w:r>
      <w:r w:rsidRPr="003B63ED">
        <w:rPr>
          <w:rStyle w:val="aa"/>
        </w:rPr>
        <w:footnoteRef/>
      </w:r>
      <w:r>
        <w:tab/>
      </w:r>
      <w:hyperlink r:id="rId1" w:history="1">
        <w:r w:rsidR="00CA6B1D" w:rsidRPr="00495A62">
          <w:rPr>
            <w:rStyle w:val="af1"/>
            <w:rFonts w:asciiTheme="majorBidi" w:hAnsiTheme="majorBidi" w:cstheme="majorBidi"/>
            <w:szCs w:val="18"/>
            <w:lang w:val="fr-FR"/>
          </w:rPr>
          <w:t>CCPR</w:t>
        </w:r>
        <w:r w:rsidR="00CA6B1D" w:rsidRPr="00BA1E0D">
          <w:rPr>
            <w:rStyle w:val="af1"/>
            <w:rFonts w:asciiTheme="majorBidi" w:hAnsiTheme="majorBidi" w:cstheme="majorBidi"/>
            <w:szCs w:val="18"/>
          </w:rPr>
          <w:t>/</w:t>
        </w:r>
        <w:r w:rsidR="00CA6B1D" w:rsidRPr="00495A62">
          <w:rPr>
            <w:rStyle w:val="af1"/>
            <w:rFonts w:asciiTheme="majorBidi" w:hAnsiTheme="majorBidi" w:cstheme="majorBidi"/>
            <w:szCs w:val="18"/>
            <w:lang w:val="fr-FR"/>
          </w:rPr>
          <w:t>C</w:t>
        </w:r>
        <w:r w:rsidR="00CA6B1D" w:rsidRPr="00BA1E0D">
          <w:rPr>
            <w:rStyle w:val="af1"/>
            <w:rFonts w:asciiTheme="majorBidi" w:hAnsiTheme="majorBidi" w:cstheme="majorBidi"/>
            <w:szCs w:val="18"/>
          </w:rPr>
          <w:t>/</w:t>
        </w:r>
        <w:r w:rsidR="00CA6B1D" w:rsidRPr="00495A62">
          <w:rPr>
            <w:rStyle w:val="af1"/>
            <w:rFonts w:asciiTheme="majorBidi" w:hAnsiTheme="majorBidi" w:cstheme="majorBidi"/>
            <w:szCs w:val="18"/>
            <w:lang w:val="fr-FR"/>
          </w:rPr>
          <w:t>HTI</w:t>
        </w:r>
        <w:r w:rsidR="00CA6B1D" w:rsidRPr="00BA1E0D">
          <w:rPr>
            <w:rStyle w:val="af1"/>
            <w:rFonts w:asciiTheme="majorBidi" w:hAnsiTheme="majorBidi" w:cstheme="majorBidi"/>
            <w:szCs w:val="18"/>
          </w:rPr>
          <w:t>/2</w:t>
        </w:r>
      </w:hyperlink>
      <w:r>
        <w:t>.</w:t>
      </w:r>
      <w:hyperlink r:id="rId2" w:history="1"/>
    </w:p>
  </w:footnote>
  <w:footnote w:id="3">
    <w:p w14:paraId="0C9EA868" w14:textId="7B9BC824" w:rsidR="002B4995" w:rsidRPr="00BA1E0D" w:rsidRDefault="002B4995" w:rsidP="002B4995">
      <w:pPr>
        <w:pStyle w:val="ad"/>
      </w:pPr>
      <w:r w:rsidRPr="002415EE">
        <w:tab/>
      </w:r>
      <w:r w:rsidRPr="003B63ED">
        <w:rPr>
          <w:rStyle w:val="aa"/>
        </w:rPr>
        <w:footnoteRef/>
      </w:r>
      <w:r>
        <w:tab/>
        <w:t xml:space="preserve">См. </w:t>
      </w:r>
      <w:hyperlink r:id="rId3" w:history="1">
        <w:r w:rsidRPr="00804AB5">
          <w:rPr>
            <w:rStyle w:val="af1"/>
            <w:lang w:val="de-CH"/>
          </w:rPr>
          <w:t>CCPR</w:t>
        </w:r>
        <w:r w:rsidRPr="00BA1E0D">
          <w:rPr>
            <w:rStyle w:val="af1"/>
          </w:rPr>
          <w:t>/</w:t>
        </w:r>
        <w:r w:rsidRPr="00804AB5">
          <w:rPr>
            <w:rStyle w:val="af1"/>
            <w:lang w:val="de-CH"/>
          </w:rPr>
          <w:t>C</w:t>
        </w:r>
        <w:r w:rsidRPr="00BA1E0D">
          <w:rPr>
            <w:rStyle w:val="af1"/>
          </w:rPr>
          <w:t>/</w:t>
        </w:r>
        <w:r w:rsidRPr="00804AB5">
          <w:rPr>
            <w:rStyle w:val="af1"/>
            <w:lang w:val="de-CH"/>
          </w:rPr>
          <w:t>SR</w:t>
        </w:r>
        <w:r w:rsidRPr="00BA1E0D">
          <w:rPr>
            <w:rStyle w:val="af1"/>
          </w:rPr>
          <w:t>.4240</w:t>
        </w:r>
      </w:hyperlink>
      <w:r w:rsidRPr="00BA1E0D">
        <w:t xml:space="preserve"> </w:t>
      </w:r>
      <w:r>
        <w:t>и</w:t>
      </w:r>
      <w:r w:rsidRPr="00BA1E0D">
        <w:t xml:space="preserve"> </w:t>
      </w:r>
      <w:hyperlink r:id="rId4" w:history="1">
        <w:r w:rsidRPr="00093820">
          <w:rPr>
            <w:rStyle w:val="af1"/>
            <w:lang w:val="de-CH"/>
          </w:rPr>
          <w:t>CCPR</w:t>
        </w:r>
        <w:r w:rsidRPr="00BA1E0D">
          <w:rPr>
            <w:rStyle w:val="af1"/>
          </w:rPr>
          <w:t>/</w:t>
        </w:r>
        <w:r w:rsidRPr="00093820">
          <w:rPr>
            <w:rStyle w:val="af1"/>
            <w:lang w:val="de-CH"/>
          </w:rPr>
          <w:t>C</w:t>
        </w:r>
        <w:r w:rsidRPr="00BA1E0D">
          <w:rPr>
            <w:rStyle w:val="af1"/>
          </w:rPr>
          <w:t>/</w:t>
        </w:r>
        <w:r w:rsidRPr="00093820">
          <w:rPr>
            <w:rStyle w:val="af1"/>
            <w:lang w:val="de-CH"/>
          </w:rPr>
          <w:t>SR</w:t>
        </w:r>
        <w:r w:rsidRPr="00BA1E0D">
          <w:rPr>
            <w:rStyle w:val="af1"/>
          </w:rPr>
          <w:t>.4241</w:t>
        </w:r>
      </w:hyperlink>
      <w:r w:rsidRPr="00BA1E0D">
        <w:t>.</w:t>
      </w:r>
      <w:hyperlink r:id="rId5" w:history="1"/>
      <w:hyperlink r:id="rId6" w:history="1"/>
    </w:p>
  </w:footnote>
  <w:footnote w:id="4">
    <w:p w14:paraId="3DAF6051" w14:textId="38832CB1" w:rsidR="002B4995" w:rsidRPr="00093820" w:rsidRDefault="002B4995" w:rsidP="002B4995">
      <w:pPr>
        <w:pStyle w:val="ad"/>
        <w:rPr>
          <w:rFonts w:asciiTheme="majorBidi" w:hAnsiTheme="majorBidi" w:cstheme="majorBidi"/>
          <w:szCs w:val="18"/>
          <w:lang w:val="de-CH"/>
        </w:rPr>
      </w:pPr>
      <w:r w:rsidRPr="00BA1E0D">
        <w:rPr>
          <w:rFonts w:asciiTheme="majorBidi" w:hAnsiTheme="majorBidi" w:cstheme="majorBidi"/>
          <w:szCs w:val="18"/>
        </w:rPr>
        <w:tab/>
      </w:r>
      <w:r w:rsidRPr="003B63ED">
        <w:rPr>
          <w:rStyle w:val="aa"/>
        </w:rPr>
        <w:footnoteRef/>
      </w:r>
      <w:r w:rsidRPr="00093820">
        <w:rPr>
          <w:lang w:val="de-CH"/>
        </w:rPr>
        <w:tab/>
      </w:r>
      <w:hyperlink r:id="rId7" w:history="1">
        <w:r w:rsidR="00804AB5" w:rsidRPr="00093820">
          <w:rPr>
            <w:rStyle w:val="af1"/>
            <w:rFonts w:asciiTheme="majorBidi" w:hAnsiTheme="majorBidi" w:cstheme="majorBidi"/>
            <w:szCs w:val="18"/>
            <w:lang w:val="de-CH"/>
          </w:rPr>
          <w:t>CCPR/C/HTI/RQ/2</w:t>
        </w:r>
      </w:hyperlink>
      <w:r w:rsidRPr="00093820">
        <w:rPr>
          <w:lang w:val="de-CH"/>
        </w:rPr>
        <w:t xml:space="preserve">. </w:t>
      </w:r>
      <w:hyperlink r:id="rId8" w:history="1"/>
    </w:p>
  </w:footnote>
  <w:footnote w:id="5">
    <w:p w14:paraId="0C0EE8A8" w14:textId="26C75927" w:rsidR="002B4995" w:rsidRPr="00093820" w:rsidRDefault="002B4995" w:rsidP="002B4995">
      <w:pPr>
        <w:pStyle w:val="ad"/>
        <w:rPr>
          <w:rFonts w:asciiTheme="majorBidi" w:hAnsiTheme="majorBidi" w:cstheme="majorBidi"/>
          <w:szCs w:val="18"/>
          <w:lang w:val="de-CH"/>
        </w:rPr>
      </w:pPr>
      <w:r w:rsidRPr="00093820">
        <w:rPr>
          <w:rFonts w:asciiTheme="majorBidi" w:hAnsiTheme="majorBidi" w:cstheme="majorBidi"/>
          <w:szCs w:val="18"/>
          <w:lang w:val="de-CH"/>
        </w:rPr>
        <w:tab/>
      </w:r>
      <w:r w:rsidRPr="003B63ED">
        <w:rPr>
          <w:rStyle w:val="aa"/>
        </w:rPr>
        <w:footnoteRef/>
      </w:r>
      <w:r w:rsidRPr="00093820">
        <w:rPr>
          <w:lang w:val="de-CH"/>
        </w:rPr>
        <w:tab/>
      </w:r>
      <w:hyperlink r:id="rId9" w:history="1">
        <w:r w:rsidR="005427B1" w:rsidRPr="005427B1">
          <w:rPr>
            <w:rStyle w:val="af1"/>
            <w:rFonts w:asciiTheme="majorBidi" w:hAnsiTheme="majorBidi" w:cstheme="majorBidi"/>
            <w:szCs w:val="18"/>
            <w:lang w:val="de-CH"/>
          </w:rPr>
          <w:t>CCPR/C/HTI/Q/2</w:t>
        </w:r>
      </w:hyperlink>
      <w:r w:rsidR="00093820" w:rsidRPr="00093820">
        <w:rPr>
          <w:lang w:val="de-CH"/>
        </w:rPr>
        <w:t>.</w:t>
      </w:r>
      <w:hyperlink r:id="rId10" w:history="1"/>
    </w:p>
  </w:footnote>
  <w:footnote w:id="6">
    <w:p w14:paraId="330037B8" w14:textId="5A834E95" w:rsidR="002B4995" w:rsidRPr="005427B1" w:rsidRDefault="002B4995" w:rsidP="002B4995">
      <w:pPr>
        <w:pStyle w:val="ad"/>
        <w:rPr>
          <w:lang w:val="en-US"/>
        </w:rPr>
      </w:pPr>
      <w:r w:rsidRPr="00093820">
        <w:rPr>
          <w:lang w:val="de-CH"/>
        </w:rPr>
        <w:tab/>
      </w:r>
      <w:r w:rsidRPr="003B63ED">
        <w:rPr>
          <w:rStyle w:val="aa"/>
        </w:rPr>
        <w:footnoteRef/>
      </w:r>
      <w:r w:rsidRPr="005427B1">
        <w:rPr>
          <w:lang w:val="en-US"/>
        </w:rPr>
        <w:tab/>
      </w:r>
      <w:r w:rsidR="00E44A72">
        <w:fldChar w:fldCharType="begin"/>
      </w:r>
      <w:r w:rsidR="00E44A72" w:rsidRPr="00BA1E0D">
        <w:rPr>
          <w:lang w:val="en-US"/>
        </w:rPr>
        <w:instrText>HYPERLINK "https://docs.un.org/fr/CCPR/C/HTI/RQ/2/Add.1"</w:instrText>
      </w:r>
      <w:r w:rsidR="00E44A72">
        <w:fldChar w:fldCharType="separate"/>
      </w:r>
      <w:r w:rsidR="00E44A72" w:rsidRPr="006D2E96">
        <w:rPr>
          <w:rStyle w:val="af1"/>
          <w:rFonts w:asciiTheme="majorBidi" w:hAnsiTheme="majorBidi" w:cstheme="majorBidi"/>
          <w:szCs w:val="18"/>
          <w:lang w:val="en-US"/>
        </w:rPr>
        <w:t>CCPR/C/HTI/RQ/2/Add.1</w:t>
      </w:r>
      <w:r w:rsidR="00E44A72">
        <w:fldChar w:fldCharType="end"/>
      </w:r>
      <w:r w:rsidRPr="005427B1">
        <w:rPr>
          <w:lang w:val="en-US"/>
        </w:rPr>
        <w:t>.</w:t>
      </w:r>
    </w:p>
  </w:footnote>
  <w:footnote w:id="7">
    <w:p w14:paraId="2A665AA6" w14:textId="3D4A2746" w:rsidR="002B4995" w:rsidRPr="006B04DF" w:rsidRDefault="002B4995" w:rsidP="002B4995">
      <w:pPr>
        <w:pStyle w:val="ad"/>
        <w:rPr>
          <w:lang w:val="en-US"/>
        </w:rPr>
      </w:pPr>
      <w:r w:rsidRPr="005427B1">
        <w:rPr>
          <w:lang w:val="en-US"/>
        </w:rPr>
        <w:tab/>
      </w:r>
      <w:r w:rsidRPr="003B63ED">
        <w:rPr>
          <w:rStyle w:val="aa"/>
        </w:rPr>
        <w:footnoteRef/>
      </w:r>
      <w:r w:rsidRPr="006B04DF">
        <w:rPr>
          <w:lang w:val="en-US"/>
        </w:rPr>
        <w:tab/>
      </w:r>
      <w:r>
        <w:t>См</w:t>
      </w:r>
      <w:r w:rsidRPr="006B04DF">
        <w:rPr>
          <w:lang w:val="en-US"/>
        </w:rPr>
        <w:t xml:space="preserve">. </w:t>
      </w:r>
      <w:hyperlink r:id="rId11" w:history="1">
        <w:r w:rsidRPr="007B4A76">
          <w:rPr>
            <w:rStyle w:val="af1"/>
            <w:lang w:val="en-US"/>
          </w:rPr>
          <w:t>A/HRC/58/76</w:t>
        </w:r>
      </w:hyperlink>
      <w:r w:rsidRPr="006B04DF">
        <w:rPr>
          <w:lang w:val="en-US"/>
        </w:rPr>
        <w:t>.</w:t>
      </w:r>
      <w:hyperlink r:id="rId12" w:history="1"/>
    </w:p>
  </w:footnote>
  <w:footnote w:id="8">
    <w:p w14:paraId="33B04CC0" w14:textId="6E57EDA8" w:rsidR="002B4995" w:rsidRPr="006B04DF" w:rsidRDefault="002B4995" w:rsidP="002B4995">
      <w:pPr>
        <w:pStyle w:val="ad"/>
        <w:rPr>
          <w:lang w:val="en-US"/>
        </w:rPr>
      </w:pPr>
      <w:r w:rsidRPr="006B04DF">
        <w:rPr>
          <w:lang w:val="en-US"/>
        </w:rPr>
        <w:tab/>
      </w:r>
      <w:r>
        <w:rPr>
          <w:vertAlign w:val="superscript"/>
          <w:lang w:val="en-US"/>
        </w:rPr>
        <w:t>7</w:t>
      </w:r>
      <w:r w:rsidRPr="006B04DF">
        <w:rPr>
          <w:lang w:val="en-US"/>
        </w:rPr>
        <w:tab/>
      </w:r>
      <w:hyperlink r:id="rId13" w:history="1">
        <w:r w:rsidRPr="000568C0">
          <w:rPr>
            <w:rStyle w:val="af1"/>
            <w:lang w:val="en-US"/>
          </w:rPr>
          <w:t>CCPR/C/HTI/CO/1</w:t>
        </w:r>
      </w:hyperlink>
      <w:r w:rsidRPr="006B04DF">
        <w:rPr>
          <w:lang w:val="en-US"/>
        </w:rPr>
        <w:t xml:space="preserve">, </w:t>
      </w:r>
      <w:r>
        <w:t>п</w:t>
      </w:r>
      <w:r w:rsidRPr="006B04DF">
        <w:rPr>
          <w:lang w:val="en-US"/>
        </w:rPr>
        <w:t>. 7.</w:t>
      </w:r>
      <w:hyperlink r:id="rId14" w:history="1"/>
    </w:p>
  </w:footnote>
  <w:footnote w:id="9">
    <w:p w14:paraId="0D7D2F4E" w14:textId="77777777" w:rsidR="002B4995" w:rsidRPr="00120181" w:rsidRDefault="002B4995" w:rsidP="002B4995">
      <w:pPr>
        <w:pStyle w:val="ad"/>
      </w:pPr>
      <w:r w:rsidRPr="006B04DF">
        <w:rPr>
          <w:lang w:val="en-US"/>
        </w:rPr>
        <w:tab/>
      </w:r>
      <w:r w:rsidRPr="003B63ED">
        <w:rPr>
          <w:rStyle w:val="aa"/>
        </w:rPr>
        <w:footnoteRef/>
      </w:r>
      <w:r>
        <w:tab/>
        <w:t>Там же, п. 8.</w:t>
      </w:r>
    </w:p>
  </w:footnote>
  <w:footnote w:id="10">
    <w:p w14:paraId="168C76BD" w14:textId="35BBA996" w:rsidR="002B4995" w:rsidRPr="000568C0" w:rsidRDefault="002B4995" w:rsidP="002B4995">
      <w:pPr>
        <w:pStyle w:val="ad"/>
        <w:rPr>
          <w:lang w:val="en-US"/>
        </w:rPr>
      </w:pPr>
      <w:r w:rsidRPr="001F5FFC">
        <w:tab/>
      </w:r>
      <w:r w:rsidRPr="003B63ED">
        <w:rPr>
          <w:rStyle w:val="aa"/>
        </w:rPr>
        <w:footnoteRef/>
      </w:r>
      <w:r w:rsidRPr="000568C0">
        <w:rPr>
          <w:lang w:val="en-US"/>
        </w:rPr>
        <w:tab/>
        <w:t xml:space="preserve">URL: </w:t>
      </w:r>
      <w:hyperlink r:id="rId15" w:history="1">
        <w:r w:rsidR="000568C0" w:rsidRPr="000568C0">
          <w:rPr>
            <w:rStyle w:val="af1"/>
            <w:lang w:val="en-US"/>
          </w:rPr>
          <w:t>https://www.ohchr.org/sites/default/files/2022-10/20221014-Report-on-Sexual-Violence-haiti-en.pdf</w:t>
        </w:r>
      </w:hyperlink>
      <w:r w:rsidRPr="000568C0">
        <w:rPr>
          <w:lang w:val="en-US"/>
        </w:rPr>
        <w:t>.</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43EAC" w14:textId="4C4F6445" w:rsidR="00C5131B" w:rsidRPr="00C5131B" w:rsidRDefault="00C5131B">
    <w:pPr>
      <w:pStyle w:val="a5"/>
    </w:pPr>
    <w:fldSimple w:instr=" TITLE  \* MERGEFORMAT ">
      <w:r w:rsidR="0010049B">
        <w:t>CCPR/C/HTI/CO/2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41CC2" w14:textId="06DA0A79" w:rsidR="00C5131B" w:rsidRPr="00C5131B" w:rsidRDefault="00C5131B" w:rsidP="00C5131B">
    <w:pPr>
      <w:pStyle w:val="a5"/>
      <w:jc w:val="right"/>
    </w:pPr>
    <w:fldSimple w:instr=" TITLE  \* MERGEFORMAT ">
      <w:r w:rsidR="0010049B">
        <w:t>CCPR/C/HTI/CO/2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134"/>
    <w:rsid w:val="00033EE1"/>
    <w:rsid w:val="000358F2"/>
    <w:rsid w:val="00042B72"/>
    <w:rsid w:val="00046F4C"/>
    <w:rsid w:val="000558BD"/>
    <w:rsid w:val="000568C0"/>
    <w:rsid w:val="00093820"/>
    <w:rsid w:val="000B57E7"/>
    <w:rsid w:val="000B6373"/>
    <w:rsid w:val="000F09DF"/>
    <w:rsid w:val="000F61B2"/>
    <w:rsid w:val="0010049B"/>
    <w:rsid w:val="001075E9"/>
    <w:rsid w:val="00180183"/>
    <w:rsid w:val="0018024D"/>
    <w:rsid w:val="0018649F"/>
    <w:rsid w:val="00196389"/>
    <w:rsid w:val="001B3EF6"/>
    <w:rsid w:val="001C7A89"/>
    <w:rsid w:val="00254812"/>
    <w:rsid w:val="002A2EFC"/>
    <w:rsid w:val="002A5320"/>
    <w:rsid w:val="002B4995"/>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432B3"/>
    <w:rsid w:val="00452493"/>
    <w:rsid w:val="004548AB"/>
    <w:rsid w:val="00454E07"/>
    <w:rsid w:val="00472C5C"/>
    <w:rsid w:val="004969B2"/>
    <w:rsid w:val="004F091A"/>
    <w:rsid w:val="0050108D"/>
    <w:rsid w:val="00513081"/>
    <w:rsid w:val="00517901"/>
    <w:rsid w:val="00526683"/>
    <w:rsid w:val="005427B1"/>
    <w:rsid w:val="005513F3"/>
    <w:rsid w:val="0056366D"/>
    <w:rsid w:val="005709E0"/>
    <w:rsid w:val="00572E19"/>
    <w:rsid w:val="005961C8"/>
    <w:rsid w:val="005D7914"/>
    <w:rsid w:val="005E2B41"/>
    <w:rsid w:val="005F0566"/>
    <w:rsid w:val="005F0B42"/>
    <w:rsid w:val="00604134"/>
    <w:rsid w:val="00666B97"/>
    <w:rsid w:val="00681A10"/>
    <w:rsid w:val="006A1ED8"/>
    <w:rsid w:val="006B3942"/>
    <w:rsid w:val="006C2031"/>
    <w:rsid w:val="006D461A"/>
    <w:rsid w:val="006F35EE"/>
    <w:rsid w:val="007021FF"/>
    <w:rsid w:val="007117DB"/>
    <w:rsid w:val="00712895"/>
    <w:rsid w:val="0075523D"/>
    <w:rsid w:val="00757357"/>
    <w:rsid w:val="00787D3A"/>
    <w:rsid w:val="00791B9D"/>
    <w:rsid w:val="007B4A76"/>
    <w:rsid w:val="00804AB5"/>
    <w:rsid w:val="00825F8D"/>
    <w:rsid w:val="00834B71"/>
    <w:rsid w:val="00850335"/>
    <w:rsid w:val="0086445C"/>
    <w:rsid w:val="00894693"/>
    <w:rsid w:val="008A08D7"/>
    <w:rsid w:val="008B6909"/>
    <w:rsid w:val="00906890"/>
    <w:rsid w:val="00911BE4"/>
    <w:rsid w:val="00931A71"/>
    <w:rsid w:val="00951972"/>
    <w:rsid w:val="009608F3"/>
    <w:rsid w:val="009918E2"/>
    <w:rsid w:val="009A24AC"/>
    <w:rsid w:val="009D21FD"/>
    <w:rsid w:val="009F1ACB"/>
    <w:rsid w:val="00A14DA8"/>
    <w:rsid w:val="00A312BC"/>
    <w:rsid w:val="00A34D07"/>
    <w:rsid w:val="00A50D15"/>
    <w:rsid w:val="00A57527"/>
    <w:rsid w:val="00A84021"/>
    <w:rsid w:val="00A84D35"/>
    <w:rsid w:val="00A917B3"/>
    <w:rsid w:val="00AB4B51"/>
    <w:rsid w:val="00AD6F87"/>
    <w:rsid w:val="00B10CC7"/>
    <w:rsid w:val="00B136DB"/>
    <w:rsid w:val="00B34CD5"/>
    <w:rsid w:val="00B539E7"/>
    <w:rsid w:val="00B62458"/>
    <w:rsid w:val="00BA1E0D"/>
    <w:rsid w:val="00BC18B2"/>
    <w:rsid w:val="00BC3629"/>
    <w:rsid w:val="00BD33EE"/>
    <w:rsid w:val="00BF1A04"/>
    <w:rsid w:val="00C0177C"/>
    <w:rsid w:val="00C106D6"/>
    <w:rsid w:val="00C36AD4"/>
    <w:rsid w:val="00C46D5A"/>
    <w:rsid w:val="00C5131B"/>
    <w:rsid w:val="00C60F0C"/>
    <w:rsid w:val="00C805C9"/>
    <w:rsid w:val="00C92939"/>
    <w:rsid w:val="00CA1679"/>
    <w:rsid w:val="00CA6B1D"/>
    <w:rsid w:val="00CB151C"/>
    <w:rsid w:val="00CE5A1A"/>
    <w:rsid w:val="00CF55F6"/>
    <w:rsid w:val="00D33D63"/>
    <w:rsid w:val="00D90028"/>
    <w:rsid w:val="00D90138"/>
    <w:rsid w:val="00D9090B"/>
    <w:rsid w:val="00DD1D1E"/>
    <w:rsid w:val="00DD78D1"/>
    <w:rsid w:val="00DE32CD"/>
    <w:rsid w:val="00DF71B9"/>
    <w:rsid w:val="00E005F7"/>
    <w:rsid w:val="00E06BEE"/>
    <w:rsid w:val="00E26D0F"/>
    <w:rsid w:val="00E44A72"/>
    <w:rsid w:val="00E46656"/>
    <w:rsid w:val="00E73F76"/>
    <w:rsid w:val="00EA2C9F"/>
    <w:rsid w:val="00EA420E"/>
    <w:rsid w:val="00ED0BDA"/>
    <w:rsid w:val="00EF1360"/>
    <w:rsid w:val="00EF3220"/>
    <w:rsid w:val="00F42889"/>
    <w:rsid w:val="00F43903"/>
    <w:rsid w:val="00F933A4"/>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8C789"/>
  <w15:docId w15:val="{05490413-5C5E-4686-9A3A-980B81D3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16 Point,BVI fnr,Footnote,Footnote Refernece,Footnote symbol,Fußnotenzeichen_Raxen,Superscript 6 Point,Texto de nota al pie,ftref,Footnotes refss,Footnote Reference/,Appel note de bas de page,Footnote number"/>
    <w:basedOn w:val="a0"/>
    <w:link w:val="4GCharChar"/>
    <w:uiPriority w:val="99"/>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Text"/>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HChGChar">
    <w:name w:val="_ H _Ch_G Char"/>
    <w:link w:val="HChG"/>
    <w:locked/>
    <w:rsid w:val="002B4995"/>
    <w:rPr>
      <w:b/>
      <w:sz w:val="28"/>
      <w:lang w:val="ru-RU" w:eastAsia="ru-RU"/>
    </w:rPr>
  </w:style>
  <w:style w:type="character" w:customStyle="1" w:styleId="H1GChar">
    <w:name w:val="_ H_1_G Char"/>
    <w:link w:val="H1G"/>
    <w:locked/>
    <w:rsid w:val="002B4995"/>
    <w:rPr>
      <w:b/>
      <w:sz w:val="24"/>
      <w:lang w:val="ru-RU" w:eastAsia="ru-RU"/>
    </w:rPr>
  </w:style>
  <w:style w:type="character" w:customStyle="1" w:styleId="H23GChar">
    <w:name w:val="_ H_2/3_G Char"/>
    <w:link w:val="H23G"/>
    <w:locked/>
    <w:rsid w:val="002B4995"/>
    <w:rPr>
      <w:b/>
      <w:lang w:val="ru-RU" w:eastAsia="ru-RU"/>
    </w:r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a"/>
    <w:link w:val="aa"/>
    <w:uiPriority w:val="99"/>
    <w:rsid w:val="002B4995"/>
    <w:pPr>
      <w:suppressAutoHyphens w:val="0"/>
      <w:spacing w:after="160" w:line="240" w:lineRule="exact"/>
      <w:jc w:val="both"/>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F428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HTI/RQ/2" TargetMode="External"/><Relationship Id="rId13" Type="http://schemas.openxmlformats.org/officeDocument/2006/relationships/hyperlink" Target="https://docs.un.org/ru/CCPR/C/HTI/CO/1" TargetMode="External"/><Relationship Id="rId3" Type="http://schemas.openxmlformats.org/officeDocument/2006/relationships/hyperlink" Target="https://docs.un.org/ru/CCPR/C/SR.4240" TargetMode="External"/><Relationship Id="rId7" Type="http://schemas.openxmlformats.org/officeDocument/2006/relationships/hyperlink" Target="https://docs.un.org/fr/CCPR/C/HTI/RQ/2" TargetMode="External"/><Relationship Id="rId12" Type="http://schemas.openxmlformats.org/officeDocument/2006/relationships/hyperlink" Target="https://docs.un.org/fr/A/HRC/58/76" TargetMode="External"/><Relationship Id="rId2" Type="http://schemas.openxmlformats.org/officeDocument/2006/relationships/hyperlink" Target="https://docs.un.org/fr/CCPR/C/HTI/2" TargetMode="External"/><Relationship Id="rId16" Type="http://schemas.openxmlformats.org/officeDocument/2006/relationships/hyperlink" Target="https://www.ohchr.org/sites/default/files/2022-10/20221014-Report-on-Sexual-Violence-haiti-en.pdf" TargetMode="External"/><Relationship Id="rId1" Type="http://schemas.openxmlformats.org/officeDocument/2006/relationships/hyperlink" Target="https://docs.un.org/fr/CCPR/C/HTI/2" TargetMode="External"/><Relationship Id="rId6" Type="http://schemas.openxmlformats.org/officeDocument/2006/relationships/hyperlink" Target="https://docs.un.org/fr/CCPR/C/SR.4241" TargetMode="External"/><Relationship Id="rId11" Type="http://schemas.openxmlformats.org/officeDocument/2006/relationships/hyperlink" Target="https://docs.un.org/ru/A/HRC/58/76" TargetMode="External"/><Relationship Id="rId5" Type="http://schemas.openxmlformats.org/officeDocument/2006/relationships/hyperlink" Target="https://docs.un.org/fr/CCPR/C/SR.4240" TargetMode="External"/><Relationship Id="rId15" Type="http://schemas.openxmlformats.org/officeDocument/2006/relationships/hyperlink" Target="https://www.ohchr.org/sites/default/files/2022-10/20221014-Report-on-Sexual-Violence-haiti-en.pdf" TargetMode="External"/><Relationship Id="rId10" Type="http://schemas.openxmlformats.org/officeDocument/2006/relationships/hyperlink" Target="https://docs.un.org/fr/CCPR/C/HTI/Q/2" TargetMode="External"/><Relationship Id="rId4" Type="http://schemas.openxmlformats.org/officeDocument/2006/relationships/hyperlink" Target="https://docs.un.org/ru/CCPR/C/SR.4241" TargetMode="External"/><Relationship Id="rId9" Type="http://schemas.openxmlformats.org/officeDocument/2006/relationships/hyperlink" Target="https://docs.un.org/fr/CCPR/C/HTI/Q/2" TargetMode="External"/><Relationship Id="rId14" Type="http://schemas.openxmlformats.org/officeDocument/2006/relationships/hyperlink" Target="https://docs.un.org/fr/CCPR/C/HT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0</TotalTime>
  <Pages>12</Pages>
  <Words>4619</Words>
  <Characters>32445</Characters>
  <Application>Microsoft Office Word</Application>
  <DocSecurity>0</DocSecurity>
  <Lines>584</Lines>
  <Paragraphs>120</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36982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CCPR/C/HTI/CO/2</dc:title>
  <dc:subject/>
  <dc:creator>Uliana ANTIPOVA</dc:creator>
  <cp:keywords/>
  <cp:lastModifiedBy>Uliana Antipova</cp:lastModifiedBy>
  <cp:revision>3</cp:revision>
  <cp:lastPrinted>2025-10-01T17:35:00Z</cp:lastPrinted>
  <dcterms:created xsi:type="dcterms:W3CDTF">2025-10-01T17:35:00Z</dcterms:created>
  <dcterms:modified xsi:type="dcterms:W3CDTF">2025-10-01T17:35:00Z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