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2FE" w:rsidRDefault="00F54AD2">
      <w:pPr>
        <w:spacing w:line="240" w:lineRule="auto"/>
        <w:rPr>
          <w:sz w:val="6"/>
        </w:rPr>
      </w:pPr>
      <w:commentRangeStart w:id="0"/>
      <w:r>
        <w:rPr>
          <w:rStyle w:val="CommentReference"/>
          <w:vanish/>
        </w:rPr>
        <w:commentReference w:id="1"/>
      </w:r>
      <w:commentRangeEnd w:id="0"/>
      <w:r w:rsidR="00F922FE">
        <w:rPr>
          <w:rStyle w:val="CommentReference"/>
        </w:rPr>
        <w:commentReference w:id="0"/>
      </w:r>
    </w:p>
    <w:p w:rsidR="00F54AD2" w:rsidRPr="00F922FE" w:rsidRDefault="00F54AD2" w:rsidP="00F922FE">
      <w:pPr>
        <w:spacing w:line="20" w:lineRule="exact"/>
        <w:rPr>
          <w:sz w:val="2"/>
        </w:rPr>
        <w:sectPr w:rsidR="00F54AD2" w:rsidRPr="00F922F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F54AD2" w:rsidRDefault="00F54AD2">
      <w:pPr>
        <w:pStyle w:val="H1"/>
      </w:pPr>
      <w:r>
        <w:t>Comité para la Eliminación de la Discriminación</w:t>
      </w:r>
      <w:r>
        <w:br/>
        <w:t>contra la Mujer</w:t>
      </w:r>
    </w:p>
    <w:p w:rsidR="00F54AD2" w:rsidRDefault="00F54AD2">
      <w:pPr>
        <w:pStyle w:val="H23"/>
      </w:pPr>
      <w:r>
        <w:t>22° período de sesiones</w:t>
      </w:r>
    </w:p>
    <w:p w:rsidR="00F54AD2" w:rsidRDefault="00F54AD2">
      <w:pPr>
        <w:spacing w:line="240" w:lineRule="auto"/>
        <w:rPr>
          <w:sz w:val="12"/>
        </w:rPr>
      </w:pPr>
    </w:p>
    <w:p w:rsidR="00F54AD2" w:rsidRDefault="00F54AD2">
      <w:pPr>
        <w:pStyle w:val="H23"/>
      </w:pPr>
      <w:r>
        <w:t>Acta resumida de la 457ª sesión</w:t>
      </w:r>
    </w:p>
    <w:p w:rsidR="00F54AD2" w:rsidRDefault="00F54AD2">
      <w:r>
        <w:t xml:space="preserve">Celebrada en la Sede, Nueva York, el </w:t>
      </w:r>
      <w:r>
        <w:rPr>
          <w:color w:val="000000"/>
          <w:spacing w:val="1"/>
          <w:lang w:val="es-ES_tradnl"/>
        </w:rPr>
        <w:t>viernes 21 de enero de 2000, a las 15.00 horas</w:t>
      </w:r>
    </w:p>
    <w:p w:rsidR="00F54AD2" w:rsidRDefault="00F54AD2">
      <w:pPr>
        <w:spacing w:line="120" w:lineRule="exact"/>
        <w:rPr>
          <w:sz w:val="10"/>
        </w:rPr>
      </w:pPr>
    </w:p>
    <w:p w:rsidR="00F54AD2" w:rsidRDefault="00F54AD2">
      <w:pPr>
        <w:tabs>
          <w:tab w:val="right" w:pos="950"/>
          <w:tab w:val="left" w:pos="1267"/>
          <w:tab w:val="right" w:leader="dot" w:pos="8568"/>
        </w:tabs>
        <w:ind w:right="1267"/>
      </w:pPr>
      <w:r>
        <w:rPr>
          <w:i/>
        </w:rPr>
        <w:t>Presidenta:</w:t>
      </w:r>
      <w:r>
        <w:tab/>
        <w:t>Sra. González</w:t>
      </w:r>
    </w:p>
    <w:p w:rsidR="00F54AD2" w:rsidRDefault="00F54AD2">
      <w:pPr>
        <w:tabs>
          <w:tab w:val="right" w:pos="950"/>
          <w:tab w:val="left" w:pos="1267"/>
          <w:tab w:val="right" w:leader="dot" w:pos="8568"/>
        </w:tabs>
        <w:spacing w:line="120" w:lineRule="exact"/>
        <w:ind w:right="1267"/>
        <w:rPr>
          <w:sz w:val="10"/>
        </w:rPr>
      </w:pPr>
    </w:p>
    <w:p w:rsidR="00F54AD2" w:rsidRDefault="00F54AD2">
      <w:pPr>
        <w:tabs>
          <w:tab w:val="right" w:pos="950"/>
          <w:tab w:val="left" w:pos="1267"/>
          <w:tab w:val="right" w:leader="dot" w:pos="8568"/>
        </w:tabs>
        <w:spacing w:line="120" w:lineRule="exact"/>
        <w:ind w:right="1267"/>
        <w:rPr>
          <w:sz w:val="10"/>
        </w:rPr>
      </w:pPr>
    </w:p>
    <w:p w:rsidR="00F54AD2" w:rsidRDefault="00F54AD2">
      <w:pPr>
        <w:tabs>
          <w:tab w:val="right" w:pos="950"/>
          <w:tab w:val="left" w:pos="1267"/>
          <w:tab w:val="right" w:leader="dot" w:pos="8568"/>
        </w:tabs>
        <w:spacing w:line="120" w:lineRule="exact"/>
        <w:ind w:right="1267"/>
        <w:rPr>
          <w:sz w:val="10"/>
        </w:rPr>
      </w:pPr>
    </w:p>
    <w:p w:rsidR="00F54AD2" w:rsidRDefault="00F54AD2">
      <w:pPr>
        <w:pStyle w:val="HCh"/>
        <w:rPr>
          <w:b w:val="0"/>
        </w:rPr>
      </w:pPr>
      <w:r>
        <w:rPr>
          <w:b w:val="0"/>
        </w:rPr>
        <w:t>Sumario</w:t>
      </w:r>
    </w:p>
    <w:p w:rsidR="00F54AD2" w:rsidRDefault="00F54AD2">
      <w:pPr>
        <w:pStyle w:val="HCh"/>
        <w:spacing w:line="240" w:lineRule="auto"/>
        <w:rPr>
          <w:b w:val="0"/>
          <w:sz w:val="12"/>
        </w:rPr>
      </w:pPr>
    </w:p>
    <w:p w:rsidR="00F54AD2" w:rsidRDefault="00F54AD2">
      <w:pPr>
        <w:pStyle w:val="SingleTxt"/>
        <w:suppressAutoHyphens/>
        <w:jc w:val="left"/>
        <w:rPr>
          <w:color w:val="000000"/>
          <w:spacing w:val="2"/>
          <w:lang w:val="es-ES_tradnl"/>
        </w:rPr>
      </w:pPr>
      <w:r>
        <w:t xml:space="preserve">Examen </w:t>
      </w:r>
      <w:r>
        <w:rPr>
          <w:color w:val="000000"/>
          <w:spacing w:val="1"/>
          <w:lang w:val="es-ES_tradnl"/>
        </w:rPr>
        <w:t xml:space="preserve">de los informes presentados por los Estados partes de conformidad con el </w:t>
      </w:r>
      <w:r>
        <w:rPr>
          <w:color w:val="000000"/>
          <w:spacing w:val="2"/>
          <w:lang w:val="es-ES_tradnl"/>
        </w:rPr>
        <w:t>artículo 18 de la Convención (</w:t>
      </w:r>
      <w:r>
        <w:rPr>
          <w:i/>
          <w:color w:val="000000"/>
          <w:spacing w:val="2"/>
          <w:lang w:val="es-ES_tradnl"/>
        </w:rPr>
        <w:t>continuación</w:t>
      </w:r>
      <w:r>
        <w:rPr>
          <w:color w:val="000000"/>
          <w:spacing w:val="2"/>
          <w:lang w:val="es-ES_tradnl"/>
        </w:rPr>
        <w:t>)</w:t>
      </w:r>
    </w:p>
    <w:p w:rsidR="00F54AD2" w:rsidRDefault="00F54AD2">
      <w:pPr>
        <w:pStyle w:val="SingleTxt"/>
        <w:suppressAutoHyphens/>
        <w:jc w:val="left"/>
        <w:rPr>
          <w:color w:val="000000"/>
          <w:spacing w:val="3"/>
          <w:lang w:val="es-ES_tradnl"/>
        </w:rPr>
      </w:pPr>
      <w:r>
        <w:tab/>
      </w:r>
      <w:r>
        <w:rPr>
          <w:i/>
        </w:rPr>
        <w:t>Informe</w:t>
      </w:r>
      <w:r>
        <w:t xml:space="preserve"> </w:t>
      </w:r>
      <w:r>
        <w:rPr>
          <w:i/>
          <w:color w:val="000000"/>
          <w:spacing w:val="3"/>
          <w:lang w:val="es-ES_tradnl"/>
        </w:rPr>
        <w:t>inicial de Myanmar</w:t>
      </w:r>
      <w:r>
        <w:rPr>
          <w:color w:val="000000"/>
          <w:spacing w:val="3"/>
          <w:lang w:val="es-ES_tradnl"/>
        </w:rPr>
        <w:t>(</w:t>
      </w:r>
      <w:r>
        <w:rPr>
          <w:i/>
          <w:color w:val="000000"/>
          <w:spacing w:val="3"/>
          <w:lang w:val="es-ES_tradnl"/>
        </w:rPr>
        <w:t>continuación</w:t>
      </w:r>
      <w:r>
        <w:rPr>
          <w:color w:val="000000"/>
          <w:spacing w:val="3"/>
          <w:lang w:val="es-ES_tradnl"/>
        </w:rPr>
        <w:t>)</w:t>
      </w:r>
    </w:p>
    <w:p w:rsidR="00F54AD2" w:rsidRDefault="00F54AD2">
      <w:pPr>
        <w:pStyle w:val="SingleTxt"/>
        <w:suppressAutoHyphens/>
        <w:jc w:val="left"/>
        <w:rPr>
          <w:color w:val="000000"/>
          <w:spacing w:val="3"/>
          <w:lang w:val="es-ES_tradnl"/>
        </w:rPr>
      </w:pPr>
    </w:p>
    <w:p w:rsidR="00F54AD2" w:rsidRDefault="00F54AD2">
      <w:pPr>
        <w:tabs>
          <w:tab w:val="left" w:pos="475"/>
          <w:tab w:val="left" w:pos="965"/>
          <w:tab w:val="left" w:pos="1440"/>
          <w:tab w:val="left" w:pos="1915"/>
          <w:tab w:val="left" w:pos="2405"/>
          <w:tab w:val="left" w:pos="2880"/>
          <w:tab w:val="left" w:pos="3355"/>
        </w:tabs>
        <w:spacing w:line="240" w:lineRule="auto"/>
        <w:rPr>
          <w:sz w:val="2"/>
          <w:lang w:val="es-ES_tradnl"/>
        </w:rPr>
        <w:sectPr w:rsidR="00F54AD2">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F54AD2" w:rsidRDefault="00F54AD2">
      <w:pPr>
        <w:spacing w:line="120" w:lineRule="exact"/>
        <w:jc w:val="both"/>
        <w:rPr>
          <w:i/>
          <w:sz w:val="10"/>
        </w:rPr>
      </w:pPr>
    </w:p>
    <w:p w:rsidR="00F54AD2" w:rsidRDefault="00F54AD2">
      <w:pPr>
        <w:spacing w:line="120" w:lineRule="exact"/>
        <w:jc w:val="both"/>
        <w:rPr>
          <w:i/>
          <w:sz w:val="10"/>
        </w:rPr>
      </w:pPr>
    </w:p>
    <w:p w:rsidR="00F54AD2" w:rsidRDefault="00F54AD2">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con arreglo al artículo 18 de la Convención </w:t>
      </w:r>
      <w:r>
        <w:rPr>
          <w:b w:val="0"/>
        </w:rPr>
        <w:t>(</w:t>
      </w:r>
      <w:r>
        <w:rPr>
          <w:b w:val="0"/>
          <w:i/>
        </w:rPr>
        <w:t>continuación</w:t>
      </w:r>
      <w:r>
        <w:rPr>
          <w:b w:val="0"/>
        </w:rPr>
        <w:t>)</w:t>
      </w:r>
    </w:p>
    <w:p w:rsidR="00F54AD2" w:rsidRDefault="00F54AD2">
      <w:pPr>
        <w:spacing w:line="120" w:lineRule="exact"/>
        <w:jc w:val="both"/>
        <w:rPr>
          <w:i/>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Informe inicial de Myanmar</w:t>
      </w:r>
      <w:r>
        <w:rPr>
          <w:i w:val="0"/>
        </w:rPr>
        <w:t xml:space="preserve"> (</w:t>
      </w:r>
      <w:r>
        <w:t>continuación</w:t>
      </w:r>
      <w:r>
        <w:rPr>
          <w:i w:val="0"/>
        </w:rPr>
        <w:t>)</w:t>
      </w:r>
    </w:p>
    <w:p w:rsidR="00F54AD2" w:rsidRDefault="00F54AD2">
      <w:pPr>
        <w:spacing w:line="120" w:lineRule="exact"/>
        <w:jc w:val="both"/>
        <w:rPr>
          <w:sz w:val="10"/>
        </w:rPr>
      </w:pPr>
    </w:p>
    <w:p w:rsidR="00F54AD2" w:rsidRDefault="00F54AD2">
      <w:pPr>
        <w:pStyle w:val="DualTxt"/>
      </w:pPr>
      <w:r>
        <w:t>1.</w:t>
      </w:r>
      <w:r>
        <w:tab/>
      </w:r>
      <w:r>
        <w:rPr>
          <w:i/>
        </w:rPr>
        <w:t>A invitación de la Presidenta del Comité, los miembros de la delegación de Myanmar toman asiento en la mesa del Comité</w:t>
      </w:r>
      <w:r>
        <w:t>.</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5</w:t>
      </w:r>
    </w:p>
    <w:p w:rsidR="00F54AD2" w:rsidRDefault="00F54AD2">
      <w:pPr>
        <w:spacing w:line="120" w:lineRule="exact"/>
        <w:jc w:val="both"/>
        <w:rPr>
          <w:i/>
          <w:sz w:val="10"/>
        </w:rPr>
      </w:pPr>
    </w:p>
    <w:p w:rsidR="00F54AD2" w:rsidRDefault="00F54AD2">
      <w:pPr>
        <w:pStyle w:val="DualTxt"/>
      </w:pPr>
      <w:r>
        <w:t>2.</w:t>
      </w:r>
      <w:r>
        <w:tab/>
      </w:r>
      <w:r>
        <w:rPr>
          <w:b/>
        </w:rPr>
        <w:t>La Sra. Ferrer</w:t>
      </w:r>
      <w:r>
        <w:t xml:space="preserve"> declara que, en un país en el que hay más de 135 grupos étnicos y varias religiones, r</w:t>
      </w:r>
      <w:r>
        <w:t>e</w:t>
      </w:r>
      <w:r>
        <w:t>sulta muy difícil garantizar que la mujer pueda ejercer en la práctica derechos igualitarios en todos los niveles de la sociedad. De la información proporcionada por el Gobierno de Myanmar se desprende claramente que las actitudes discriminatorias hacia la mujer están muy e</w:t>
      </w:r>
      <w:r>
        <w:t>x</w:t>
      </w:r>
      <w:r>
        <w:t>tendidas en ese país. No es suficiente legislar la igua</w:t>
      </w:r>
      <w:r>
        <w:t>l</w:t>
      </w:r>
      <w:r>
        <w:t>dad de derechos; es más importante lo que ocurra en la realidad.</w:t>
      </w:r>
    </w:p>
    <w:p w:rsidR="00F54AD2" w:rsidRDefault="00F54AD2">
      <w:pPr>
        <w:pStyle w:val="DualTxt"/>
      </w:pPr>
      <w:r>
        <w:t>3.</w:t>
      </w:r>
      <w:r>
        <w:tab/>
        <w:t>En el informe se menciona legislación que ben</w:t>
      </w:r>
      <w:r>
        <w:t>e</w:t>
      </w:r>
      <w:r>
        <w:t>ficia específicamente a las madres; el Gobierno debe presentar más información sobre dicha legislación. En el informe es evidente que las muchachas y las mujeres están todavía muy restringidas a los cometidos trad</w:t>
      </w:r>
      <w:r>
        <w:t>i</w:t>
      </w:r>
      <w:r>
        <w:t>cionales de la mujer. La existencia de concursos de b</w:t>
      </w:r>
      <w:r>
        <w:t>e</w:t>
      </w:r>
      <w:r>
        <w:t>lleza en el que las ganadoras pueden obtener ventajas importantes, como por ejemplo becas, es también di</w:t>
      </w:r>
      <w:r>
        <w:t>s</w:t>
      </w:r>
      <w:r>
        <w:t>criminatoria, y debe ponerse un mayor empeño para superar este tipo de práctica. Se pregunta qué medidas está adoptando el Comité Nacional de Asuntos de la Mujer para abordar esos problemas, qué participación tienen los medios de información en los esfuerzos por difundir una imagen más apropiada de la mujer y si es accesible la educación sexual, a fin de que la mujer pueda ejercer sus derechos sexuales y reproductivos.</w:t>
      </w:r>
    </w:p>
    <w:p w:rsidR="00F54AD2" w:rsidRDefault="00F54AD2">
      <w:pPr>
        <w:pStyle w:val="DualTxt"/>
      </w:pPr>
      <w:r>
        <w:t>4.</w:t>
      </w:r>
      <w:r>
        <w:tab/>
      </w:r>
      <w:r>
        <w:rPr>
          <w:b/>
        </w:rPr>
        <w:t>La Sra. Ryel</w:t>
      </w:r>
      <w:r>
        <w:t>, refiriéndose a la información que figura en el informe sobre las mujeres que cumplen p</w:t>
      </w:r>
      <w:r>
        <w:t>e</w:t>
      </w:r>
      <w:r>
        <w:t>nas de prisión, solicita detalles, como por ejemplo el número de mujeres presas, los delitos por los que han sido encarceladas, la proporción de mujeres entre los presos, si existen cárceles por separado para mujeres y el carácter de los "privilegios" para las presas a que se hace referencia en el informe. Asimismo desea saber en qué circunstancias son condenados los presos a trab</w:t>
      </w:r>
      <w:r>
        <w:t>a</w:t>
      </w:r>
      <w:r>
        <w:t>jos forzosos y cuántas mujeres son condenadas a mue</w:t>
      </w:r>
      <w:r>
        <w:t>r</w:t>
      </w:r>
      <w:r>
        <w:t>te cada año.</w:t>
      </w: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6</w:t>
      </w:r>
    </w:p>
    <w:p w:rsidR="00F54AD2" w:rsidRDefault="00F54AD2">
      <w:pPr>
        <w:spacing w:line="120" w:lineRule="exact"/>
        <w:jc w:val="both"/>
        <w:rPr>
          <w:sz w:val="10"/>
        </w:rPr>
      </w:pPr>
    </w:p>
    <w:p w:rsidR="00F54AD2" w:rsidRDefault="00F54AD2">
      <w:pPr>
        <w:pStyle w:val="DualTxt"/>
      </w:pPr>
      <w:r>
        <w:t>5.</w:t>
      </w:r>
      <w:r>
        <w:tab/>
      </w:r>
      <w:r>
        <w:rPr>
          <w:b/>
        </w:rPr>
        <w:t>La Sra. Hazelle</w:t>
      </w:r>
      <w:r>
        <w:t xml:space="preserve"> observa que en el informe se ofrece abundante información sobre la legislación rel</w:t>
      </w:r>
      <w:r>
        <w:t>a</w:t>
      </w:r>
      <w:r>
        <w:t>tiva a los derechos de la mujer, pero se dice muy p</w:t>
      </w:r>
      <w:r>
        <w:t>o</w:t>
      </w:r>
      <w:r>
        <w:t>co acerca de la aplicación de esa legislación o sobre sus efectos prácticos en la vida de las mujeres y los n</w:t>
      </w:r>
      <w:r>
        <w:t>i</w:t>
      </w:r>
      <w:r>
        <w:t>ños. El Estado declarante debe proporcionar más det</w:t>
      </w:r>
      <w:r>
        <w:t>a</w:t>
      </w:r>
      <w:r>
        <w:t>lles de las actividades del Comité Nacional de Asuntos de la Mujer, especialmente de sus subcomités sobre las niñas y la violencia contra la mujer. Asimismo, en vista de la falta de datos estadísticos, resulta difícil evaluar los efectos de las diversas actividades que se describen en el informe.</w:t>
      </w:r>
    </w:p>
    <w:p w:rsidR="00F54AD2" w:rsidRDefault="00F54AD2">
      <w:pPr>
        <w:pStyle w:val="DualTxt"/>
      </w:pPr>
      <w:r>
        <w:t>6.</w:t>
      </w:r>
      <w:r>
        <w:tab/>
        <w:t>Le agradaría recibir más información acerca del Grupo de trabajo sobre la trata de mujeres y niños, creado en agosto de 1990, la frecuencia de esa trata, los resultados obtenidos en casos concretos y si se está adiestrando a la policía para sensibilizarla a ese pr</w:t>
      </w:r>
      <w:r>
        <w:t>o</w:t>
      </w:r>
      <w:r>
        <w:t>blema. En el informe se menciona un estudio de ref</w:t>
      </w:r>
      <w:r>
        <w:t>e</w:t>
      </w:r>
      <w:r>
        <w:t>rencia sobre la violencia marital y un cursillo para la recopilación de datos sobre la protección de la mujer contra la violencia; solicita más información sobre esas dos actividades.</w:t>
      </w:r>
    </w:p>
    <w:p w:rsidR="00F54AD2" w:rsidRDefault="00F54AD2">
      <w:pPr>
        <w:pStyle w:val="DualTxt"/>
      </w:pPr>
      <w:r>
        <w:t>7.</w:t>
      </w:r>
      <w:r>
        <w:tab/>
      </w:r>
      <w:r>
        <w:rPr>
          <w:b/>
        </w:rPr>
        <w:t xml:space="preserve">La Sra. Khan </w:t>
      </w:r>
      <w:r>
        <w:t>observa que el Estado parte tiene que hacer frente a varios problemas que agravan el f</w:t>
      </w:r>
      <w:r>
        <w:t>e</w:t>
      </w:r>
      <w:r>
        <w:t>nómeno de la trata de mujeres: la pobreza, el despl</w:t>
      </w:r>
      <w:r>
        <w:t>a</w:t>
      </w:r>
      <w:r>
        <w:t>zamiento interno, los campamentos de refugiados, la insurgencia armada, largas fronteras y conflictos con países limítrofes sobre el control de las fronteras. De</w:t>
      </w:r>
      <w:r>
        <w:t>s</w:t>
      </w:r>
      <w:r>
        <w:t>ea obtener más información relativa a las medidas prá</w:t>
      </w:r>
      <w:r>
        <w:t>c</w:t>
      </w:r>
      <w:r>
        <w:t>ticas que se hayan tomado para controlar la trata de mujeres a lo largo de las fronteras de Myanmar con sus cinco países fronterizos, y en especial la forma en que las autoridades hacen cumplir la prohibición de que las mujeres con edades comprendidas entre 16 y 25 años crucen una frontera a menos que vayan acompañadas de un tutor legal, en una situación en la que son tantas las familias que se han separado. El Estado parte debe proporcionar más detalles sobre los esfuerzos que lleva a cabo el Ministerio de Inmigración y Población para vigilar las corrientes de inmigración y emigración con el objetivo de controlar la trata de mujeres y su coord</w:t>
      </w:r>
      <w:r>
        <w:t>i</w:t>
      </w:r>
      <w:r>
        <w:t>nación a esos efectos con el Ministerio de Progreso de las Zonas Fronterizas y de Razas Nacionales y Asuntos de Desarrollo, y el Grupo de trabajo sobre la trata de mujeres y niños. Pregunta si el Grupo de trabajo está dirigido por una mujer y si dispone de refugios para las víctimas de violación. También convendría disponer de datos sobre el número de personas condenadas por vi</w:t>
      </w:r>
      <w:r>
        <w:t>o</w:t>
      </w:r>
      <w:r>
        <w:t>lación o trata de mujeres con arreglo al Código Penal; la participación de los miembros de las fuerzas arm</w:t>
      </w:r>
      <w:r>
        <w:t>a</w:t>
      </w:r>
      <w:r>
        <w:t>das en casos de explotación sexual y los procedimie</w:t>
      </w:r>
      <w:r>
        <w:t>n</w:t>
      </w:r>
      <w:r>
        <w:t>tos que se siguen en esos casos, y el número de muj</w:t>
      </w:r>
      <w:r>
        <w:t>e</w:t>
      </w:r>
      <w:r>
        <w:t>res que participan en las actividades sexuales come</w:t>
      </w:r>
      <w:r>
        <w:t>r</w:t>
      </w:r>
      <w:r>
        <w:t>cializadas, con inclusión de estimaciones sobre el n</w:t>
      </w:r>
      <w:r>
        <w:t>ú</w:t>
      </w:r>
      <w:r>
        <w:t>mero de víctimas de la trata, tanto dentro de Mya</w:t>
      </w:r>
      <w:r>
        <w:t>n</w:t>
      </w:r>
      <w:r>
        <w:t>mar como en los países limítrofes. Desea saber si las víct</w:t>
      </w:r>
      <w:r>
        <w:t>i</w:t>
      </w:r>
      <w:r>
        <w:t>mas de la trata pueden ser penalizadas por dedicarse a la prostitución y si se les ofrece ayuda psicológica gr</w:t>
      </w:r>
      <w:r>
        <w:t>a</w:t>
      </w:r>
      <w:r>
        <w:t>tuita. Por último, pregunta si Myanmar tiene inte</w:t>
      </w:r>
      <w:r>
        <w:t>n</w:t>
      </w:r>
      <w:r>
        <w:t>ción de ratificar el Convenio para la represión de la trata de personas y de la explotación de la prostitución ajena, de 1949, que hasta ahora solamente ha suscrito.</w:t>
      </w:r>
    </w:p>
    <w:p w:rsidR="00F54AD2" w:rsidRDefault="00F54AD2">
      <w:pPr>
        <w:pStyle w:val="DualTxt"/>
      </w:pPr>
      <w:r>
        <w:t>8.</w:t>
      </w:r>
      <w:r>
        <w:tab/>
      </w:r>
      <w:r>
        <w:rPr>
          <w:b/>
        </w:rPr>
        <w:t>La Sra. Regazzoli</w:t>
      </w:r>
      <w:r>
        <w:t xml:space="preserve"> pregunta qué medidas ha adoptado el Estado parte para reintegrar a las víctimas de la trata en la sociedad, y para controlar la transm</w:t>
      </w:r>
      <w:r>
        <w:t>i</w:t>
      </w:r>
      <w:r>
        <w:t>sión por prostitutas del síndrome de inmunodeficiencia adquirida (SIDA) , tanto dentro del país como al otro lado de sus fronteras.</w:t>
      </w:r>
    </w:p>
    <w:p w:rsidR="00F54AD2" w:rsidRDefault="00F54AD2">
      <w:pPr>
        <w:pStyle w:val="DualTxt"/>
      </w:pPr>
      <w:r>
        <w:t>9.</w:t>
      </w:r>
      <w:r>
        <w:tab/>
      </w:r>
      <w:r>
        <w:rPr>
          <w:b/>
        </w:rPr>
        <w:t>La Sra. Corti</w:t>
      </w:r>
      <w:r>
        <w:t xml:space="preserve"> reitera la solicitud de información sobre las medidas prácticas que se hayan tomado para controlar la trata de mujeres, especialmente a lo largo de las fronteras de Myanmar. Las enmiendas efectu</w:t>
      </w:r>
      <w:r>
        <w:t>a</w:t>
      </w:r>
      <w:r>
        <w:t>das a la Ley de Supresión de la Prostitución de 1949 parecen muy insuficientes y se pregunta si las autor</w:t>
      </w:r>
      <w:r>
        <w:t>i</w:t>
      </w:r>
      <w:r>
        <w:t>dades de Myanmar tienen intención de tomar nuevas medidas en ese sentido.</w:t>
      </w:r>
    </w:p>
    <w:p w:rsidR="00F54AD2" w:rsidRDefault="00F54AD2">
      <w:pPr>
        <w:pStyle w:val="DualTxt"/>
      </w:pPr>
      <w:r>
        <w:t>10.</w:t>
      </w:r>
      <w:r>
        <w:tab/>
      </w:r>
      <w:r>
        <w:rPr>
          <w:b/>
        </w:rPr>
        <w:t>La Sra. Manalo</w:t>
      </w:r>
      <w:r>
        <w:t xml:space="preserve"> expresa la esperanza de que, en su próximo informe, el Gobierno pueda proporcionar detalles sobre un programa de salud mental para las mujeres víctimas de violación, prostitución y trata.</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7</w:t>
      </w:r>
    </w:p>
    <w:p w:rsidR="00F54AD2" w:rsidRDefault="00F54AD2">
      <w:pPr>
        <w:spacing w:line="120" w:lineRule="exact"/>
        <w:jc w:val="both"/>
        <w:rPr>
          <w:sz w:val="10"/>
        </w:rPr>
      </w:pPr>
    </w:p>
    <w:p w:rsidR="00F54AD2" w:rsidRDefault="00F54AD2">
      <w:pPr>
        <w:pStyle w:val="DualTxt"/>
      </w:pPr>
      <w:r>
        <w:t>11.</w:t>
      </w:r>
      <w:r>
        <w:tab/>
      </w:r>
      <w:r>
        <w:rPr>
          <w:b/>
        </w:rPr>
        <w:t>La Sra. Manalo</w:t>
      </w:r>
      <w:r>
        <w:t xml:space="preserve"> pregunta qué medidas prácticas está adoptando el Gobierno para reconciliar la situ</w:t>
      </w:r>
      <w:r>
        <w:t>a</w:t>
      </w:r>
      <w:r>
        <w:t>ción actual de la Sra. Aung San Suu Kyi con los acue</w:t>
      </w:r>
      <w:r>
        <w:t>r</w:t>
      </w:r>
      <w:r>
        <w:t>dos internacionales de los que es parte Myanmar, y con su compromiso constitucional de permitir que las m</w:t>
      </w:r>
      <w:r>
        <w:t>u</w:t>
      </w:r>
      <w:r>
        <w:t>jeres voten y puedan presentarse a elecciones para oc</w:t>
      </w:r>
      <w:r>
        <w:t>u</w:t>
      </w:r>
      <w:r>
        <w:t>par cargos.</w:t>
      </w:r>
    </w:p>
    <w:p w:rsidR="00F54AD2" w:rsidRDefault="00F54AD2">
      <w:pPr>
        <w:pStyle w:val="DualTxt"/>
      </w:pPr>
      <w:r>
        <w:t>12.</w:t>
      </w:r>
      <w:r>
        <w:tab/>
      </w:r>
      <w:r>
        <w:rPr>
          <w:b/>
        </w:rPr>
        <w:t>La Sra. Feng</w:t>
      </w:r>
      <w:r>
        <w:t xml:space="preserve"> Cui pregunta cuántas mujeres han ejercido en Myanmar su derecho constitucional a votar y presentarse a elecciones y cuál es la proporción de mujeres en comparación con los hombres en los part</w:t>
      </w:r>
      <w:r>
        <w:t>i</w:t>
      </w:r>
      <w:r>
        <w:t>dos políticos, el Parlamento, la administración pública y los órganos gubernamentales, como por ejemplo el Consejo de Estado para la Paz y el Desarrollo.</w:t>
      </w:r>
    </w:p>
    <w:p w:rsidR="00F54AD2" w:rsidRDefault="00F54AD2">
      <w:pPr>
        <w:pStyle w:val="DualTxt"/>
      </w:pPr>
      <w:r>
        <w:t>13.</w:t>
      </w:r>
      <w:r>
        <w:tab/>
      </w:r>
      <w:r>
        <w:rPr>
          <w:b/>
        </w:rPr>
        <w:t>La Sra. Corti</w:t>
      </w:r>
      <w:r>
        <w:t xml:space="preserve"> pregunta qué estímulo y apoyo se está dando a la mujer para que ejerza sus derechos de votar y presentarse a elecciones y qué medidas especi</w:t>
      </w:r>
      <w:r>
        <w:t>a</w:t>
      </w:r>
      <w:r>
        <w:t>les de carácter temporal se están adoptando para ale</w:t>
      </w:r>
      <w:r>
        <w:t>n</w:t>
      </w:r>
      <w:r>
        <w:t>tar a los partidos políticos a que aumente el núm</w:t>
      </w:r>
      <w:r>
        <w:t>e</w:t>
      </w:r>
      <w:r>
        <w:t>ro de candidatas. Asimismo desea saber cómo se está apl</w:t>
      </w:r>
      <w:r>
        <w:t>i</w:t>
      </w:r>
      <w:r>
        <w:t xml:space="preserve">cando el artículo 7 de la Convención, en vista del hecho de que a la Sra. Aung San Suu Kyi, dirigente del partido victorioso en elecciones libres, se le impidió </w:t>
      </w:r>
      <w:r>
        <w:rPr>
          <w:spacing w:val="2"/>
          <w:w w:val="101"/>
        </w:rPr>
        <w:t>ocupar su cargo y fue colocada bajo arresto domicili</w:t>
      </w:r>
      <w:r>
        <w:rPr>
          <w:spacing w:val="2"/>
          <w:w w:val="101"/>
        </w:rPr>
        <w:t>a</w:t>
      </w:r>
      <w:r>
        <w:t>rio.</w:t>
      </w:r>
    </w:p>
    <w:p w:rsidR="00F54AD2" w:rsidRDefault="00F54AD2">
      <w:pPr>
        <w:pStyle w:val="DualTxt"/>
      </w:pPr>
      <w:r>
        <w:t>14.</w:t>
      </w:r>
      <w:r>
        <w:tab/>
        <w:t>En el informe se reconoce que la mujer ha part</w:t>
      </w:r>
      <w:r>
        <w:t>i</w:t>
      </w:r>
      <w:r>
        <w:t>cipado muy activamente en Myanmar en las protestas estudiantiles y étnicas. Se pregunta qué les ha ocurrido a las mujeres que participaron en esas protestas y por qué varias de ellas, que salieron elegidas en esas ele</w:t>
      </w:r>
      <w:r>
        <w:t>c</w:t>
      </w:r>
      <w:r>
        <w:t>ciones libres, habían tenido que dimitir posteriormente.</w:t>
      </w:r>
    </w:p>
    <w:p w:rsidR="00F54AD2" w:rsidRDefault="00F54AD2">
      <w:pPr>
        <w:pStyle w:val="DualTxt"/>
      </w:pPr>
      <w:r>
        <w:t>15.</w:t>
      </w:r>
      <w:r>
        <w:tab/>
      </w:r>
      <w:r>
        <w:rPr>
          <w:b/>
        </w:rPr>
        <w:t>La Sra. Ryel</w:t>
      </w:r>
      <w:r>
        <w:t xml:space="preserve"> manifiesta que, de acuerdo con fuentes no gubernamentales, apenas hay mujeres en el Parlamento del país o en el Gabinete. Se pregunta si el Gobierno considera que eso constituye un problema y si tiene alguna estrategia para remediar la situación.</w:t>
      </w:r>
    </w:p>
    <w:p w:rsidR="00F54AD2" w:rsidRDefault="00F54AD2">
      <w:pPr>
        <w:pStyle w:val="DualTxt"/>
      </w:pPr>
      <w:r>
        <w:t>16.</w:t>
      </w:r>
      <w:r>
        <w:tab/>
      </w:r>
      <w:r>
        <w:rPr>
          <w:b/>
        </w:rPr>
        <w:t>La Sra. Goonesekere</w:t>
      </w:r>
      <w:r>
        <w:t xml:space="preserve"> observa que, a pesar de las luchas y conflictos políticos, Myanmar se las ha arr</w:t>
      </w:r>
      <w:r>
        <w:t>e</w:t>
      </w:r>
      <w:r>
        <w:t>glado para establecer un Consejo de Estado para la Paz y el Desarrollo. Eso parece indicar el reconocimiento del hecho de que la resolución pacífica de los confli</w:t>
      </w:r>
      <w:r>
        <w:t>c</w:t>
      </w:r>
      <w:r>
        <w:t>tos y la buena gestión de los asuntos públicos son las claves para el desarrollo económico y el adelanto de la sociedad. A lo largo del informe se hace referencia a las tradiciones democráticas e igualitarias de Myanmar, que se basan en el budismo. La arraigada tradición de participación de la mujer en la vida pública es reflejo del compromiso de muchas mujeres en Myanmar de participar en la resolución de los conflictos y contribuir a proyectos de desarrollo pacíficos. Por consiguiente, desea saber qué medidas se están tomando para que mujeres como la Sra. Aung San Suu Kyi participen en el proceso de paz y desarrollo.</w:t>
      </w:r>
    </w:p>
    <w:p w:rsidR="00F54AD2" w:rsidRDefault="00F54AD2">
      <w:pPr>
        <w:pStyle w:val="DualTxt"/>
      </w:pPr>
      <w:r>
        <w:t>17.</w:t>
      </w:r>
      <w:r>
        <w:tab/>
      </w:r>
      <w:r>
        <w:rPr>
          <w:b/>
        </w:rPr>
        <w:t xml:space="preserve">La Sra. Myakayaka-Manzini </w:t>
      </w:r>
      <w:r>
        <w:t>solicita estadíst</w:t>
      </w:r>
      <w:r>
        <w:t>i</w:t>
      </w:r>
      <w:r>
        <w:t>cas específicas, como por ejemplo el número de muj</w:t>
      </w:r>
      <w:r>
        <w:t>e</w:t>
      </w:r>
      <w:r>
        <w:t>res que son directoras generales en la administración pública y el número de mujeres que dirigen empresas, así como información sobre la participación de la m</w:t>
      </w:r>
      <w:r>
        <w:t>u</w:t>
      </w:r>
      <w:r>
        <w:t>jer en el poder judicial en calidad de jueces, magistr</w:t>
      </w:r>
      <w:r>
        <w:t>a</w:t>
      </w:r>
      <w:r>
        <w:t>dos, etc. Esos datos son esenciales para evaluar el ad</w:t>
      </w:r>
      <w:r>
        <w:t>e</w:t>
      </w:r>
      <w:r>
        <w:t>lanto de la mujer.</w:t>
      </w:r>
    </w:p>
    <w:p w:rsidR="00F54AD2" w:rsidRDefault="00F54AD2">
      <w:pPr>
        <w:pStyle w:val="DualTxt"/>
      </w:pPr>
      <w:r>
        <w:t>18.</w:t>
      </w:r>
      <w:r>
        <w:tab/>
      </w:r>
      <w:r>
        <w:rPr>
          <w:b/>
        </w:rPr>
        <w:t>La Sra. Schöpp-Schilling</w:t>
      </w:r>
      <w:r>
        <w:t>, haciendo referencia al apartado c) del artículo 7, pregunta las condiciones b</w:t>
      </w:r>
      <w:r>
        <w:t>a</w:t>
      </w:r>
      <w:r>
        <w:t>jo las cuales se permite a las mujeres constituir organ</w:t>
      </w:r>
      <w:r>
        <w:t>i</w:t>
      </w:r>
      <w:r>
        <w:t>zaciones no gubernamentales, si hay un proced</w:t>
      </w:r>
      <w:r>
        <w:t>i</w:t>
      </w:r>
      <w:r>
        <w:t>miento de inscripción y, en este caso, qué supone eso.</w:t>
      </w:r>
    </w:p>
    <w:p w:rsidR="00F54AD2" w:rsidRDefault="00F54AD2">
      <w:pPr>
        <w:pStyle w:val="DualTxt"/>
      </w:pPr>
      <w:r>
        <w:t>19.</w:t>
      </w:r>
      <w:r>
        <w:tab/>
        <w:t>El informe se refiere a varias organizaciones f</w:t>
      </w:r>
      <w:r>
        <w:t>e</w:t>
      </w:r>
      <w:r>
        <w:t>meninas que se han creado a partir de 1991 y que fo</w:t>
      </w:r>
      <w:r>
        <w:t>r</w:t>
      </w:r>
      <w:r>
        <w:t>man parte del mecanismo nacional para el adelanto de la mujer. Se pregunta si existen otras organizaciones, como por ejemplo la Asociación para el Desarrollo de la Mujer de Myanmar, creada en 1947, que no formen parte del mecanismo nacional. Pregunta si toda mujer que tenga un interés específico, por ejemplo en rel</w:t>
      </w:r>
      <w:r>
        <w:t>a</w:t>
      </w:r>
      <w:r>
        <w:t>ción con la Convención, puede establecer libremente una asociación femenina con el fin de ejercer presión a favor de la Convención, y si existe alguna restricción a esas actividades.</w:t>
      </w:r>
    </w:p>
    <w:p w:rsidR="00F54AD2" w:rsidRDefault="00F54AD2">
      <w:pPr>
        <w:pStyle w:val="DualTxt"/>
      </w:pPr>
      <w:r>
        <w:t>20.</w:t>
      </w:r>
      <w:r>
        <w:tab/>
        <w:t>Aun cuando reconoce las dificultades que exp</w:t>
      </w:r>
      <w:r>
        <w:t>e</w:t>
      </w:r>
      <w:r>
        <w:t>rimenta Myanmar para recopilar datos y estadísticas, desea indicar posibles esferas para su consideración en el futuro. Por ejemplo, le gustaría disponer de datos sobre el número de mujeres, en comparación con el de hombres, que participan en organizaciones no gube</w:t>
      </w:r>
      <w:r>
        <w:t>r</w:t>
      </w:r>
      <w:r>
        <w:t>namentales independientes y saber si hay algún mec</w:t>
      </w:r>
      <w:r>
        <w:t>a</w:t>
      </w:r>
      <w:r>
        <w:t>nismo discriminatorio, ya sea patente o encubierto, que impida el ingreso y la participación activa de la mujer en esas asociaciones.</w:t>
      </w:r>
    </w:p>
    <w:p w:rsidR="00F54AD2" w:rsidRDefault="00F54AD2">
      <w:pPr>
        <w:pStyle w:val="DualTxt"/>
      </w:pPr>
      <w:r>
        <w:t>21.</w:t>
      </w:r>
      <w:r>
        <w:tab/>
      </w:r>
      <w:r>
        <w:rPr>
          <w:b/>
        </w:rPr>
        <w:t>La Sra. Regazzoli</w:t>
      </w:r>
      <w:r>
        <w:t xml:space="preserve"> pregunta acerca de programas, proyectos y leyes que fomenten la participación de la mujer en la vida política y pone en duda la sinceridad de esas iniciativas en un ambiente en que se invalid</w:t>
      </w:r>
      <w:r>
        <w:t>a</w:t>
      </w:r>
      <w:r>
        <w:t>ron elecciones cuando las ganó una mujer y donde una mujer a la que se había concedido el premio Nobel de La Paz había sido colocada bajo arresto domiciliario. Desea saber cuántas mujeres ocupan puestos de alto nivel en el Gobierno de Myanmar.</w:t>
      </w:r>
    </w:p>
    <w:p w:rsidR="00F54AD2" w:rsidRDefault="00F54AD2">
      <w:pPr>
        <w:pStyle w:val="DualTxt"/>
      </w:pPr>
      <w:r>
        <w:t>22.</w:t>
      </w:r>
      <w:r>
        <w:tab/>
      </w:r>
      <w:r>
        <w:rPr>
          <w:b/>
        </w:rPr>
        <w:t>La Sra. Hazelle</w:t>
      </w:r>
      <w:r>
        <w:t xml:space="preserve"> secunda las declaraciones y pr</w:t>
      </w:r>
      <w:r>
        <w:t>e</w:t>
      </w:r>
      <w:r>
        <w:t>guntas formuladas por la Sra. Corti y la Sra. Feng Cui.</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8</w:t>
      </w:r>
    </w:p>
    <w:p w:rsidR="00F54AD2" w:rsidRDefault="00F54AD2">
      <w:pPr>
        <w:spacing w:line="120" w:lineRule="exact"/>
        <w:jc w:val="both"/>
        <w:rPr>
          <w:sz w:val="10"/>
        </w:rPr>
      </w:pPr>
    </w:p>
    <w:p w:rsidR="00F54AD2" w:rsidRDefault="00F54AD2">
      <w:pPr>
        <w:pStyle w:val="DualTxt"/>
      </w:pPr>
      <w:r>
        <w:t>23.</w:t>
      </w:r>
      <w:r>
        <w:tab/>
      </w:r>
      <w:r>
        <w:rPr>
          <w:b/>
        </w:rPr>
        <w:t>La Sra. Regazzoli</w:t>
      </w:r>
      <w:r>
        <w:t xml:space="preserve"> solicita estadísticas sobre el número de mujeres nombradas al Ministerio de Rel</w:t>
      </w:r>
      <w:r>
        <w:t>a</w:t>
      </w:r>
      <w:r>
        <w:t>ciones Exteriores desde la conferencia de Beijing, ju</w:t>
      </w:r>
      <w:r>
        <w:t>n</w:t>
      </w:r>
      <w:r>
        <w:t>to con detalles relativos a sus puestos y ascensos, y s</w:t>
      </w:r>
      <w:r>
        <w:t>o</w:t>
      </w:r>
      <w:r>
        <w:t>bre el número de mujeres de Myanmar que prestan se</w:t>
      </w:r>
      <w:r>
        <w:t>r</w:t>
      </w:r>
      <w:r>
        <w:t>vicio en organizaciones y órganos internacionales</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9</w:t>
      </w:r>
    </w:p>
    <w:p w:rsidR="00F54AD2" w:rsidRDefault="00F54AD2">
      <w:pPr>
        <w:keepNext/>
        <w:keepLines/>
        <w:spacing w:line="120" w:lineRule="exact"/>
        <w:jc w:val="both"/>
        <w:rPr>
          <w:sz w:val="10"/>
        </w:rPr>
      </w:pPr>
    </w:p>
    <w:p w:rsidR="00F54AD2" w:rsidRDefault="00F54AD2">
      <w:pPr>
        <w:pStyle w:val="DualTxt"/>
        <w:keepNext/>
        <w:keepLines/>
      </w:pPr>
      <w:r>
        <w:t>24.</w:t>
      </w:r>
      <w:r>
        <w:tab/>
      </w:r>
      <w:r>
        <w:rPr>
          <w:b/>
        </w:rPr>
        <w:t>La Sra. Goonesekere</w:t>
      </w:r>
      <w:r>
        <w:t xml:space="preserve"> observa que en el informe no se aborda la sustancia del artículo 9, es decir, si la mujer goza en Myanmar de los mismos derechos que el hombre en lo que se refiere a transmitir su nacionalidad a sus hijos y obtener la nacionalidad para un cónyuge extranjero. Le agradaría obtener información del Est</w:t>
      </w:r>
      <w:r>
        <w:t>a</w:t>
      </w:r>
      <w:r>
        <w:t>do parte sobre ese tema.</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10</w:t>
      </w:r>
    </w:p>
    <w:p w:rsidR="00F54AD2" w:rsidRDefault="00F54AD2">
      <w:pPr>
        <w:spacing w:line="120" w:lineRule="exact"/>
        <w:jc w:val="both"/>
        <w:rPr>
          <w:sz w:val="10"/>
        </w:rPr>
      </w:pPr>
    </w:p>
    <w:p w:rsidR="00F54AD2" w:rsidRDefault="00F54AD2">
      <w:pPr>
        <w:pStyle w:val="DualTxt"/>
      </w:pPr>
      <w:r>
        <w:t>25.</w:t>
      </w:r>
      <w:r>
        <w:tab/>
      </w:r>
      <w:r>
        <w:rPr>
          <w:b/>
        </w:rPr>
        <w:t>La Sra. Schöpp-Schilling</w:t>
      </w:r>
      <w:r>
        <w:t xml:space="preserve"> declara que el derecho a la educación es un derecho humano fundamental y que las mujeres y las muchachas no deben ser discr</w:t>
      </w:r>
      <w:r>
        <w:t>i</w:t>
      </w:r>
      <w:r>
        <w:t>minadas en ese aspecto. En el informe y en la present</w:t>
      </w:r>
      <w:r>
        <w:t>a</w:t>
      </w:r>
      <w:r>
        <w:t>ción oral se han descrito algunos de los esfuerzos que lleva a cabo Myanmar y se ha mencionado la elevada tasa de alfabetización. No obstante, las estadísticas p</w:t>
      </w:r>
      <w:r>
        <w:t>a</w:t>
      </w:r>
      <w:r>
        <w:t>recen referirse principalmente a las ciudades. Pregunta cuál es la tasa de alfabetización de la mujer rural y la tasa de matriculación de las niñas en las escuelas pr</w:t>
      </w:r>
      <w:r>
        <w:t>i</w:t>
      </w:r>
      <w:r>
        <w:t>marias de la zona rurales.</w:t>
      </w:r>
    </w:p>
    <w:p w:rsidR="00F54AD2" w:rsidRDefault="00F54AD2">
      <w:pPr>
        <w:pStyle w:val="DualTxt"/>
      </w:pPr>
      <w:r>
        <w:t>26.</w:t>
      </w:r>
      <w:r>
        <w:tab/>
        <w:t>Pregunta si la enseñanza primaria es de hecho gratuita y, en caso contrario, cómo se asignan los fo</w:t>
      </w:r>
      <w:r>
        <w:t>n</w:t>
      </w:r>
      <w:r>
        <w:t>dos a los estudiantes necesitados, especialmente si se destinan más fondos para las niñas y sus padres a fin de contrarrestar la tendencia a conceder prioridad a la e</w:t>
      </w:r>
      <w:r>
        <w:t>n</w:t>
      </w:r>
      <w:r>
        <w:t>señanza de los niños.</w:t>
      </w:r>
    </w:p>
    <w:p w:rsidR="00F54AD2" w:rsidRDefault="00F54AD2">
      <w:pPr>
        <w:pStyle w:val="DualTxt"/>
      </w:pPr>
      <w:r>
        <w:t>27.</w:t>
      </w:r>
      <w:r>
        <w:tab/>
        <w:t>Sería interesante ver los resultados del estudio sobre la educación ulterior de las niñas que no concl</w:t>
      </w:r>
      <w:r>
        <w:t>u</w:t>
      </w:r>
      <w:r>
        <w:t>yeron la escuela primaria, y las medidas y políticas r</w:t>
      </w:r>
      <w:r>
        <w:t>e</w:t>
      </w:r>
      <w:r>
        <w:t>sultantes de ello. También convendría recibir inform</w:t>
      </w:r>
      <w:r>
        <w:t>a</w:t>
      </w:r>
      <w:r>
        <w:t>ción sobre las zonas rurales, así como sobre la prese</w:t>
      </w:r>
      <w:r>
        <w:t>n</w:t>
      </w:r>
      <w:r>
        <w:t>cia de la mujer en la universidad. Se pregunta si la s</w:t>
      </w:r>
      <w:r>
        <w:t>i</w:t>
      </w:r>
      <w:r>
        <w:t>tuación actual está ocasionando el cierre de escuelas y universidades y si esos cierres ejercen un efecto neg</w:t>
      </w:r>
      <w:r>
        <w:t>a</w:t>
      </w:r>
      <w:r>
        <w:t>tivo desproporcionado en las mujeres y las niñas. Pr</w:t>
      </w:r>
      <w:r>
        <w:t>e</w:t>
      </w:r>
      <w:r>
        <w:t>gunta si es cierto que algunas universidades, como la Universidad de Ingeniería, impone criterios de adm</w:t>
      </w:r>
      <w:r>
        <w:t>i</w:t>
      </w:r>
      <w:r>
        <w:t>sión más estrictos para las estudiantes femeninas y si la Universidad de Silvicultura no admite mujeres en absoluto.</w:t>
      </w:r>
    </w:p>
    <w:p w:rsidR="00F54AD2" w:rsidRDefault="00F54AD2">
      <w:pPr>
        <w:pStyle w:val="DualTxt"/>
      </w:pPr>
      <w:r>
        <w:t>28.</w:t>
      </w:r>
      <w:r>
        <w:tab/>
      </w:r>
      <w:r>
        <w:rPr>
          <w:b/>
        </w:rPr>
        <w:t>La Sra. Kim</w:t>
      </w:r>
      <w:r>
        <w:t xml:space="preserve"> Yung-Chung observa que de la pr</w:t>
      </w:r>
      <w:r>
        <w:t>e</w:t>
      </w:r>
      <w:r>
        <w:t>sentación oral y del informe se desprende que no hay discriminación en contra de la educación de la mujer. Sin embargo, el elevado coste de la educación, unido al concepto tradicional de que la mujer no necesita est</w:t>
      </w:r>
      <w:r>
        <w:t>u</w:t>
      </w:r>
      <w:r>
        <w:t>dios para dedicarse a sus labores, significa que las f</w:t>
      </w:r>
      <w:r>
        <w:t>a</w:t>
      </w:r>
      <w:r>
        <w:t>milias de bajos ingresos tienen menos probabilidades de enviar a las niñas a la escuela; hay también una tasa elevada de deserción escolar. Por lo tanto, le gustaría ver algunas estadísticas básicas, fidedignas y amplias sobre la educación.</w:t>
      </w:r>
    </w:p>
    <w:p w:rsidR="00F54AD2" w:rsidRDefault="00F54AD2">
      <w:pPr>
        <w:pStyle w:val="DualTxt"/>
      </w:pPr>
      <w:r>
        <w:t>29.</w:t>
      </w:r>
      <w:r>
        <w:tab/>
        <w:t>En virtud del proyecto "Educación para Todos", se proporcionan fondos gratuitos para libros de texto, ropa y objetos de escritorio con destino a los estudia</w:t>
      </w:r>
      <w:r>
        <w:t>n</w:t>
      </w:r>
      <w:r>
        <w:t>tes necesitados, así como para derechos de matrícula y estipendios. Pregunta cuántas niñas y estudiantes f</w:t>
      </w:r>
      <w:r>
        <w:t>e</w:t>
      </w:r>
      <w:r>
        <w:t>meninos se benefician de ese proyecto. Se deben pr</w:t>
      </w:r>
      <w:r>
        <w:t>e</w:t>
      </w:r>
      <w:r>
        <w:t>sentar datos correspondientes a ambos sexos que incl</w:t>
      </w:r>
      <w:r>
        <w:t>u</w:t>
      </w:r>
      <w:r>
        <w:t>yan estadísticas relativas a las zonas apartadas y las minorías étnicas.</w:t>
      </w:r>
    </w:p>
    <w:p w:rsidR="00F54AD2" w:rsidRDefault="00F54AD2">
      <w:pPr>
        <w:pStyle w:val="DualTxt"/>
      </w:pPr>
      <w:r>
        <w:t>30.</w:t>
      </w:r>
      <w:r>
        <w:tab/>
        <w:t>Los programas de formación profesional que se ofrecen como parte del programa de desarrollo humano parecen concentrarse en las labores tradicionales de la mujer, como coser y bordar. Le agradaría recibir i</w:t>
      </w:r>
      <w:r>
        <w:t>n</w:t>
      </w:r>
      <w:r>
        <w:t>formación sobre el acceso de la mujer a los estudios de las ciencias y la tecnología moderna. Se ha hecho ref</w:t>
      </w:r>
      <w:r>
        <w:t>e</w:t>
      </w:r>
      <w:r>
        <w:t>rencia a la creación de clases de informática y auditoría a precios asequibles para las muchachas. Le gustaría recibir información más minuciosa sobre el número de muchachas que han aprovechado sus clases y han s</w:t>
      </w:r>
      <w:r>
        <w:t>e</w:t>
      </w:r>
      <w:r>
        <w:t>guido luego carreras en esas especialidades.</w:t>
      </w:r>
    </w:p>
    <w:p w:rsidR="00F54AD2" w:rsidRDefault="00F54AD2">
      <w:pPr>
        <w:pStyle w:val="DualTxt"/>
      </w:pPr>
      <w:r>
        <w:t>31.</w:t>
      </w:r>
      <w:r>
        <w:tab/>
        <w:t>Aun en el caso de que se ofrezcan oportunidades por igual en la educación, el contenido de esa educ</w:t>
      </w:r>
      <w:r>
        <w:t>a</w:t>
      </w:r>
      <w:r>
        <w:t>ción sigue siendo decisivo. Pregunta si los libros de texto escolares se han revisado con miras a eliminar los estereotipos de género. Solicita estadísticas sobre la proporción de mujeres y de hombres que ocupan pue</w:t>
      </w:r>
      <w:r>
        <w:t>s</w:t>
      </w:r>
      <w:r>
        <w:t>tos docentes. Por lo general hay más mujeres que ho</w:t>
      </w:r>
      <w:r>
        <w:t>m</w:t>
      </w:r>
      <w:r>
        <w:t>bres en la enseñanza primaria, pero sería interesante ver las cifras correspondientes a la educación secund</w:t>
      </w:r>
      <w:r>
        <w:t>a</w:t>
      </w:r>
      <w:r>
        <w:t>ria y terciaria. Es también costumbre que la mujer tr</w:t>
      </w:r>
      <w:r>
        <w:t>a</w:t>
      </w:r>
      <w:r>
        <w:t>baje en medicina, pero le gustaría obtener información sobre otras profesiones, como arquitectura e ingeniería.</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11</w:t>
      </w:r>
    </w:p>
    <w:p w:rsidR="00F54AD2" w:rsidRDefault="00F54AD2">
      <w:pPr>
        <w:spacing w:line="120" w:lineRule="exact"/>
        <w:jc w:val="both"/>
        <w:rPr>
          <w:sz w:val="10"/>
        </w:rPr>
      </w:pPr>
    </w:p>
    <w:p w:rsidR="00F54AD2" w:rsidRDefault="00F54AD2">
      <w:pPr>
        <w:pStyle w:val="DualTxt"/>
      </w:pPr>
      <w:r>
        <w:t>32.</w:t>
      </w:r>
      <w:r>
        <w:tab/>
      </w:r>
      <w:r>
        <w:rPr>
          <w:b/>
        </w:rPr>
        <w:t>La Sra. Schöpp-Schilling</w:t>
      </w:r>
      <w:r>
        <w:t xml:space="preserve"> dice que si bien el i</w:t>
      </w:r>
      <w:r>
        <w:t>n</w:t>
      </w:r>
      <w:r>
        <w:t>forme reconoce con claridad la importancia del artículo 11, no ofrece ninguna estadística. Para empezar, sería conveniente obtener algunas cifras aproximadas sobre el número de mujeres y de hombres que trabajan en el sector no estructurado y en el estructurado de la ec</w:t>
      </w:r>
      <w:r>
        <w:t>o</w:t>
      </w:r>
      <w:r>
        <w:t>nomía. Si actualmente no se dispone de esas estadíst</w:t>
      </w:r>
      <w:r>
        <w:t>i</w:t>
      </w:r>
      <w:r>
        <w:t>cas deben incluirse en el próximo informe.</w:t>
      </w:r>
    </w:p>
    <w:p w:rsidR="00F54AD2" w:rsidRDefault="00F54AD2">
      <w:pPr>
        <w:pStyle w:val="DualTxt"/>
      </w:pPr>
      <w:r>
        <w:t>33.</w:t>
      </w:r>
      <w:r>
        <w:tab/>
        <w:t>Pregunta si la legislación sobre empleo se aplica únicamente al sector estructurado y si las mujeres que trabajan en el sector no estructurado tienen der</w:t>
      </w:r>
      <w:r>
        <w:t>e</w:t>
      </w:r>
      <w:r>
        <w:t>cho a licencia de maternidad y prestaciones de segur</w:t>
      </w:r>
      <w:r>
        <w:t>i</w:t>
      </w:r>
      <w:r>
        <w:t>dad s</w:t>
      </w:r>
      <w:r>
        <w:t>o</w:t>
      </w:r>
      <w:r>
        <w:t>cial.</w:t>
      </w:r>
    </w:p>
    <w:p w:rsidR="00F54AD2" w:rsidRDefault="00F54AD2">
      <w:pPr>
        <w:pStyle w:val="DualTxt"/>
      </w:pPr>
      <w:r>
        <w:t>34.</w:t>
      </w:r>
      <w:r>
        <w:tab/>
        <w:t>Puesto que en el sector estructurado se garantiza la misma paga, se pregunta de qué mecanismo de cu</w:t>
      </w:r>
      <w:r>
        <w:t>m</w:t>
      </w:r>
      <w:r>
        <w:t>plimiento se dispone y si las mujeres tienen que pr</w:t>
      </w:r>
      <w:r>
        <w:t>e</w:t>
      </w:r>
      <w:r>
        <w:t>sentar demanda judicial para obtener una paga igual o si tienen acceso a un mecanismo de cumplimiento en el lugar de trabajo. Pregunta cuántas quejas se han pr</w:t>
      </w:r>
      <w:r>
        <w:t>e</w:t>
      </w:r>
      <w:r>
        <w:t>sentado sobre desigualdad de salarios. Pide asimismo una descripción de las sanciones aplicables a las e</w:t>
      </w:r>
      <w:r>
        <w:t>m</w:t>
      </w:r>
      <w:r>
        <w:t>presas, o incluso a los organismos públicos, que di</w:t>
      </w:r>
      <w:r>
        <w:t>s</w:t>
      </w:r>
      <w:r>
        <w:t>criminen contra la mujer en lo que respecta a la paga, el ascenso o la contratación.</w:t>
      </w:r>
    </w:p>
    <w:p w:rsidR="00F54AD2" w:rsidRDefault="00F54AD2">
      <w:pPr>
        <w:pStyle w:val="DualTxt"/>
      </w:pPr>
      <w:r>
        <w:t>35.</w:t>
      </w:r>
      <w:r>
        <w:tab/>
        <w:t>Le preocupa mucho el hecho de que no se han llevado a cabo estudios sobre la utilización que hacen las mujeres de su tiempo, aunque se supone que trab</w:t>
      </w:r>
      <w:r>
        <w:t>a</w:t>
      </w:r>
      <w:r>
        <w:t>jan más horas a la semana que los hombres. Eso ta</w:t>
      </w:r>
      <w:r>
        <w:t>m</w:t>
      </w:r>
      <w:r>
        <w:t>bién significa discriminación con arreglo al artículo 12, ya que la salud de las mujeres puede sufrir por un e</w:t>
      </w:r>
      <w:r>
        <w:t>x</w:t>
      </w:r>
      <w:r>
        <w:t>ceso de trabajo. Las largas horas de trabajo de la mujer constituyen también una preocupación social que va más allá de sus efectos en mujeres concretas, puesto que pueden tener efectos perjudiciales a largo plazo en las funciones de procreación y maternidad de la mujer. Le agradaría conocer detalles sobre los planes que pu</w:t>
      </w:r>
      <w:r>
        <w:t>e</w:t>
      </w:r>
      <w:r>
        <w:t>dan tener el Gobierno o el mecanismo nacional para examinar el trabajo de la mujer y ver la forma en que se pueda reflejar en las cuentas nacionales la aport</w:t>
      </w:r>
      <w:r>
        <w:t>a</w:t>
      </w:r>
      <w:r>
        <w:t>ción económica de la mujer que trabaja en el sector no estructurado y en el hogar. La Organización de Coop</w:t>
      </w:r>
      <w:r>
        <w:t>e</w:t>
      </w:r>
      <w:r>
        <w:t xml:space="preserve">ración y Desarrollo Económicos (OCDE) ha efectuado varios estudios sobre la forma en que ese trabajo, cuyo valor es difícil de medir, puede reconocerse. Parece probable que ocurren muchos casos de discriminación, </w:t>
      </w:r>
      <w:r>
        <w:rPr>
          <w:spacing w:val="2"/>
          <w:w w:val="102"/>
        </w:rPr>
        <w:t>y sin duda es necesario promulgar legislación protect</w:t>
      </w:r>
      <w:r>
        <w:rPr>
          <w:spacing w:val="2"/>
          <w:w w:val="102"/>
        </w:rPr>
        <w:t>o</w:t>
      </w:r>
      <w:r>
        <w:t>ra.</w:t>
      </w:r>
    </w:p>
    <w:p w:rsidR="00F54AD2" w:rsidRDefault="00F54AD2">
      <w:pPr>
        <w:pStyle w:val="DualTxt"/>
      </w:pPr>
      <w:r>
        <w:t>36.</w:t>
      </w:r>
      <w:r>
        <w:tab/>
      </w:r>
      <w:r>
        <w:rPr>
          <w:b/>
        </w:rPr>
        <w:t>La Sra. Khan</w:t>
      </w:r>
      <w:r>
        <w:t xml:space="preserve"> pregunta si la legislación laboral del Myanmar está acorde con el artículo 11 de la Co</w:t>
      </w:r>
      <w:r>
        <w:t>n</w:t>
      </w:r>
      <w:r>
        <w:t>vención y con las normas de la Organización Intern</w:t>
      </w:r>
      <w:r>
        <w:t>a</w:t>
      </w:r>
      <w:r>
        <w:t>cional del Trabajo (OIT). Solicita datos sobre la cond</w:t>
      </w:r>
      <w:r>
        <w:t>i</w:t>
      </w:r>
      <w:r>
        <w:t>ción jurídica de la mujer en el empleo, incluido el n</w:t>
      </w:r>
      <w:r>
        <w:t>ú</w:t>
      </w:r>
      <w:r>
        <w:t>mero de mujeres trabajadoras y los sectores en los que trabajan. En el informe se afirma que más del 75% de la población habita en zonas rurales; supuestamente ese porcentaje se aplica tanto a las mujeres como a los hombres.</w:t>
      </w:r>
    </w:p>
    <w:p w:rsidR="00F54AD2" w:rsidRDefault="00F54AD2">
      <w:pPr>
        <w:pStyle w:val="DualTxt"/>
      </w:pPr>
      <w:r>
        <w:t>37.</w:t>
      </w:r>
      <w:r>
        <w:tab/>
        <w:t>Pregunta si la ley de salario mínimo de 1949, que es preciso actualizar, se aplica a las mujeres que trabajan en el sector no estructurado. Un gran número de mujeres que trabajan en el sector no estructurado no son asalariadas, por ejemplo las trabajadoras autón</w:t>
      </w:r>
      <w:r>
        <w:t>o</w:t>
      </w:r>
      <w:r>
        <w:t>mas y las que trabajan en un negocio familiar o en la agricultura. En vista de la situación de Myanmar, se pregunta si existen casos en los que hay mujeres, apa</w:t>
      </w:r>
      <w:r>
        <w:t>r</w:t>
      </w:r>
      <w:r>
        <w:t>te de las que trabajan en la familia sin paga, que trab</w:t>
      </w:r>
      <w:r>
        <w:t>a</w:t>
      </w:r>
      <w:r>
        <w:t>jan para sobrevivir sin que se les pague.</w:t>
      </w:r>
    </w:p>
    <w:p w:rsidR="00F54AD2" w:rsidRDefault="00F54AD2">
      <w:pPr>
        <w:pStyle w:val="DualTxt"/>
      </w:pPr>
      <w:r>
        <w:t>38.</w:t>
      </w:r>
      <w:r>
        <w:tab/>
        <w:t>El acceso por igual al empleo exige el acceso por igual a la capacitación, pero la mayor parte del adie</w:t>
      </w:r>
      <w:r>
        <w:t>s</w:t>
      </w:r>
      <w:r>
        <w:t>tramiento que se ofrece a las mujeres parece bastante anticuado, aunque se dispone de algunos cursos m</w:t>
      </w:r>
      <w:r>
        <w:t>o</w:t>
      </w:r>
      <w:r>
        <w:t>dernos de formación profesional. Pregunta el idioma de instrucción que se utiliza en los cursos de formación profesional; si únicamente se utiliza el idioma de la mayoría, eso excluiría a un gran número de grupos m</w:t>
      </w:r>
      <w:r>
        <w:t>i</w:t>
      </w:r>
      <w:r>
        <w:t>noritarios. Pregunta también cuál es el idioma de in</w:t>
      </w:r>
      <w:r>
        <w:t>s</w:t>
      </w:r>
      <w:r>
        <w:t>trucción a los niveles de enseñanza primaria y secund</w:t>
      </w:r>
      <w:r>
        <w:t>a</w:t>
      </w:r>
      <w:r>
        <w:t>ria y en las zonas rurales.</w:t>
      </w:r>
    </w:p>
    <w:p w:rsidR="00F54AD2" w:rsidRDefault="00F54AD2">
      <w:pPr>
        <w:pStyle w:val="DualTxt"/>
      </w:pPr>
      <w:r>
        <w:t>39.</w:t>
      </w:r>
      <w:r>
        <w:tab/>
        <w:t>Solicita información minuciosa sobre el trabajo asalariado y no asalariado, y sobre los trabajadores a</w:t>
      </w:r>
      <w:r>
        <w:t>u</w:t>
      </w:r>
      <w:r>
        <w:t>tónomos. Habida cuenta de los nuevos programas de desarrollo y reasentamiento que tiene en marcha el p</w:t>
      </w:r>
      <w:r>
        <w:t>a</w:t>
      </w:r>
      <w:r>
        <w:t>ís, pregunta también acerca de la política agraria, si las familias reciben indemnización financiera por las ti</w:t>
      </w:r>
      <w:r>
        <w:t>e</w:t>
      </w:r>
      <w:r>
        <w:t>rras agrícolas que se expropian y si en los municipios a los que se reasienta la población existe ya la infrae</w:t>
      </w:r>
      <w:r>
        <w:t>s</w:t>
      </w:r>
      <w:r>
        <w:t>tructura básica necesaria, de manera que las mujeres puedan encontrar empleo al llegar.</w:t>
      </w:r>
    </w:p>
    <w:p w:rsidR="00F54AD2" w:rsidRDefault="00F54AD2">
      <w:pPr>
        <w:pStyle w:val="DualTxt"/>
      </w:pPr>
      <w:r>
        <w:t>40.</w:t>
      </w:r>
      <w:r>
        <w:tab/>
      </w:r>
      <w:r>
        <w:rPr>
          <w:b/>
        </w:rPr>
        <w:t>La Sra. Taya</w:t>
      </w:r>
      <w:r>
        <w:t xml:space="preserve"> dice que se debe felicitar a Mya</w:t>
      </w:r>
      <w:r>
        <w:t>n</w:t>
      </w:r>
      <w:r>
        <w:t>mar por presentar su informe inicial tan poco tiempo después de haber ratificado la Convención. Las pregu</w:t>
      </w:r>
      <w:r>
        <w:t>n</w:t>
      </w:r>
      <w:r>
        <w:t>tas que quiere formular relativas al artículo 11 se refi</w:t>
      </w:r>
      <w:r>
        <w:t>e</w:t>
      </w:r>
      <w:r>
        <w:t>ren a la práctica de exigir trabajos forzosos como una forma de impuesto que se paga en especie. La justific</w:t>
      </w:r>
      <w:r>
        <w:t>a</w:t>
      </w:r>
      <w:r>
        <w:t>ción que se ofrece es la necesidad de construir infrae</w:t>
      </w:r>
      <w:r>
        <w:t>s</w:t>
      </w:r>
      <w:r>
        <w:t>tructura a pesar de las limitaciones presupuest</w:t>
      </w:r>
      <w:r>
        <w:t>a</w:t>
      </w:r>
      <w:r>
        <w:t>rias. Es pertinente a los intereses del Comité saber cuantas m</w:t>
      </w:r>
      <w:r>
        <w:t>u</w:t>
      </w:r>
      <w:r>
        <w:t>jeres están implicadas y en qué tipos de trabajo, cómo son reclutadas y cómo se asigna el trabajo. Le agrad</w:t>
      </w:r>
      <w:r>
        <w:t>a</w:t>
      </w:r>
      <w:r>
        <w:t>ría recibir información acerca de toda ley que regule las condiciones de los trabajos forzosos. Si bien Myanmar tiene un salario mínimo, seguridad social y otra legislación laboral, se pregunta con qué eficacia se aplican en la práctica, dado que corresponde a los ga</w:t>
      </w:r>
      <w:r>
        <w:t>s</w:t>
      </w:r>
      <w:r>
        <w:t>tos militares la mitad del presupuesto nacional y los trabajos forzosos están muy extendidos.</w:t>
      </w:r>
    </w:p>
    <w:p w:rsidR="00F54AD2" w:rsidRDefault="00F54AD2">
      <w:pPr>
        <w:pStyle w:val="DualTxt"/>
      </w:pPr>
      <w:r>
        <w:t>41.</w:t>
      </w:r>
      <w:r>
        <w:tab/>
      </w:r>
      <w:r>
        <w:rPr>
          <w:b/>
        </w:rPr>
        <w:t>La Sra. Cartwright</w:t>
      </w:r>
      <w:r>
        <w:t xml:space="preserve"> manifiesta que, puesto que la mayor parte de la legislación laboral aplicable al empleo de la mujer tiene de 40 a 50 años, es improb</w:t>
      </w:r>
      <w:r>
        <w:t>a</w:t>
      </w:r>
      <w:r>
        <w:t>ble que satisfaga las normas de la Convención. Desea saber si el Gobierno tiene planes para reexaminar su legislación y, en ese caso, cuando lo va a hacer. Los i</w:t>
      </w:r>
      <w:r>
        <w:t>n</w:t>
      </w:r>
      <w:r>
        <w:t>formes sobre los trabajos forzosos en Myanmar, inclu</w:t>
      </w:r>
      <w:r>
        <w:t>i</w:t>
      </w:r>
      <w:r>
        <w:t>do uno de la OIT de fecha 21 de mayo de 1999, indican que se obliga a muchas mujeres a trabajar para las fuerzas armadas sin paga en calidad de sirvientas, ca</w:t>
      </w:r>
      <w:r>
        <w:t>r</w:t>
      </w:r>
      <w:r>
        <w:t>gadoras de bultos y cultivadoras de plantas aliment</w:t>
      </w:r>
      <w:r>
        <w:t>i</w:t>
      </w:r>
      <w:r>
        <w:t>cias. Los trabajos forzosos constituyen una violación de los derechos humanos fundamentales y son contr</w:t>
      </w:r>
      <w:r>
        <w:t>a</w:t>
      </w:r>
      <w:r>
        <w:t>rios a la Convención. Dan lugar a otros abusos y pr</w:t>
      </w:r>
      <w:r>
        <w:t>o</w:t>
      </w:r>
      <w:r>
        <w:t>ducen efectos graves en el bienestar de los afectados y sus familias. El Estado parte debe decir al Comité qué medidas tiene intención de tomar para controlar esa práctica.</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12</w:t>
      </w:r>
    </w:p>
    <w:p w:rsidR="00F54AD2" w:rsidRDefault="00F54AD2">
      <w:pPr>
        <w:pStyle w:val="DualTxt"/>
        <w:spacing w:after="0" w:line="120" w:lineRule="exact"/>
        <w:rPr>
          <w:sz w:val="10"/>
        </w:rPr>
      </w:pPr>
    </w:p>
    <w:p w:rsidR="00F54AD2" w:rsidRDefault="00F54AD2">
      <w:pPr>
        <w:pStyle w:val="DualTxt"/>
      </w:pPr>
      <w:r>
        <w:t>42.</w:t>
      </w:r>
      <w:r>
        <w:tab/>
      </w:r>
      <w:r>
        <w:rPr>
          <w:b/>
        </w:rPr>
        <w:t>La Sra. Abaka</w:t>
      </w:r>
      <w:r>
        <w:t xml:space="preserve"> dice que le agrada saber que los médicos de Myanmar practican la medicina tradicional y también la occidental, y que se utilizan extensamente las comadronas; de esta forma se beneficia una propo</w:t>
      </w:r>
      <w:r>
        <w:t>r</w:t>
      </w:r>
      <w:r>
        <w:t>ción mayor de la población. Otra manera importante en que el Gobierno ha fomentado la salud de la mujer es la de negarse a tolerar el abuso de las esposas y cast</w:t>
      </w:r>
      <w:r>
        <w:t>i</w:t>
      </w:r>
      <w:r>
        <w:t>garlo severamente.</w:t>
      </w:r>
    </w:p>
    <w:p w:rsidR="00F54AD2" w:rsidRDefault="00F54AD2">
      <w:pPr>
        <w:pStyle w:val="DualTxt"/>
      </w:pPr>
      <w:r>
        <w:t>43.</w:t>
      </w:r>
      <w:r>
        <w:tab/>
        <w:t>Por el lado negativo, la tasa de mortalidad mate</w:t>
      </w:r>
      <w:r>
        <w:t>r</w:t>
      </w:r>
      <w:r>
        <w:t>na sigue siendo muy alta. Esto es especialmente trágico porque la mortalidad materna puede evitarse mediante una atención preventiva adecuada, que puede propo</w:t>
      </w:r>
      <w:r>
        <w:t>r</w:t>
      </w:r>
      <w:r>
        <w:t>cionarse aun cuando se disponga de recursos limitados. El Gobierno debe reexaminar sus numerosos progr</w:t>
      </w:r>
      <w:r>
        <w:t>a</w:t>
      </w:r>
      <w:r>
        <w:t>mas de salud materna a fin de determinar la razón de que no estén alcanzando su objetivo.</w:t>
      </w:r>
    </w:p>
    <w:p w:rsidR="00F54AD2" w:rsidRDefault="00F54AD2">
      <w:pPr>
        <w:pStyle w:val="DualTxt"/>
      </w:pPr>
      <w:r>
        <w:t>44.</w:t>
      </w:r>
      <w:r>
        <w:tab/>
        <w:t>La atención preventiva debe comprender métodos sin riesgo de resolver la cuestión de los embarazos no deseados. Algunas de las causas de la mortalidad m</w:t>
      </w:r>
      <w:r>
        <w:t>a</w:t>
      </w:r>
      <w:r>
        <w:t>terna que se mencionan, como septicemia, hemorragias y trauma obstétrico, pueden ser muy bien el resultado de abortos arriesgados. En vista de las rigurosas leyes antiaborto vigentes en el país, se pregunta si hay disp</w:t>
      </w:r>
      <w:r>
        <w:t>o</w:t>
      </w:r>
      <w:r>
        <w:t>siciones para los casos de embarazo de mujeres o m</w:t>
      </w:r>
      <w:r>
        <w:t>u</w:t>
      </w:r>
      <w:r>
        <w:t>chachas como consecuencia de violación o incesto. Aun cuando Myanmar no ha presentado apenas rese</w:t>
      </w:r>
      <w:r>
        <w:t>r</w:t>
      </w:r>
      <w:r>
        <w:t>vas a la Convención, tiene la impresión de que de h</w:t>
      </w:r>
      <w:r>
        <w:t>e</w:t>
      </w:r>
      <w:r>
        <w:t>cho tiene reservas tácitas, entre ellas algunas relativas a cuestiones de salud.</w:t>
      </w:r>
    </w:p>
    <w:p w:rsidR="00F54AD2" w:rsidRDefault="00F54AD2">
      <w:pPr>
        <w:pStyle w:val="DualTxt"/>
      </w:pPr>
      <w:r>
        <w:t>45.</w:t>
      </w:r>
      <w:r>
        <w:tab/>
        <w:t>La gran cantidad de información que se ofrece en el informe y en la presentación oral en relación con el artículo 12 se refiere casi exclusivamente a la salud materna. El próximo informe deberá contener inform</w:t>
      </w:r>
      <w:r>
        <w:t>a</w:t>
      </w:r>
      <w:r>
        <w:t>ción más completa, con inclusión de estadísticas, ace</w:t>
      </w:r>
      <w:r>
        <w:t>r</w:t>
      </w:r>
      <w:r>
        <w:t>ca de temas como la salud del adolescente, causas de fallecimiento aparte de la maternidad, programas de detección de cáncer, detección del virus de inmunod</w:t>
      </w:r>
      <w:r>
        <w:t>e</w:t>
      </w:r>
      <w:r>
        <w:t>ficiencia humana (VIH/SIDA) y análisis de sangre para detectar el VIH, salud mental de la mujer y abuso de drogas y otras sustancias. El Estado parte debe hacer referencia a la Recomendación General No. 24 del Comité para obtener una idea más clara de la inform</w:t>
      </w:r>
      <w:r>
        <w:t>a</w:t>
      </w:r>
      <w:r>
        <w:t>ción que el Comité trata de obtener.</w:t>
      </w:r>
    </w:p>
    <w:p w:rsidR="00F54AD2" w:rsidRDefault="00F54AD2">
      <w:pPr>
        <w:pStyle w:val="DualTxt"/>
      </w:pPr>
      <w:r>
        <w:t>46.</w:t>
      </w:r>
      <w:r>
        <w:tab/>
      </w:r>
      <w:r>
        <w:rPr>
          <w:b/>
        </w:rPr>
        <w:t>La Sra. Corti</w:t>
      </w:r>
      <w:r>
        <w:t xml:space="preserve"> secunda la solicitud de más info</w:t>
      </w:r>
      <w:r>
        <w:t>r</w:t>
      </w:r>
      <w:r>
        <w:t>mación con arreglo al artículo 12.</w:t>
      </w:r>
    </w:p>
    <w:p w:rsidR="00F54AD2" w:rsidRDefault="00F54AD2">
      <w:pPr>
        <w:pStyle w:val="DualTxt"/>
      </w:pPr>
      <w:r>
        <w:t>47.</w:t>
      </w:r>
      <w:r>
        <w:tab/>
      </w:r>
      <w:r>
        <w:rPr>
          <w:b/>
        </w:rPr>
        <w:t>La Sra. Schöpp-Schilling</w:t>
      </w:r>
      <w:r>
        <w:t xml:space="preserve"> declara que le agrad</w:t>
      </w:r>
      <w:r>
        <w:t>e</w:t>
      </w:r>
      <w:r>
        <w:t>cería obtener información específica acerca de la cua</w:t>
      </w:r>
      <w:r>
        <w:t>n</w:t>
      </w:r>
      <w:r>
        <w:t>tía del presupuesto de salud y el porcentaje que se de</w:t>
      </w:r>
      <w:r>
        <w:t>s</w:t>
      </w:r>
      <w:r>
        <w:t>tina a las necesidades de la mujer en comparación con las del hombre. Asimismo le gustaría saber si el pres</w:t>
      </w:r>
      <w:r>
        <w:t>u</w:t>
      </w:r>
      <w:r>
        <w:t>puesto de salud ha aumentado en proporción al crec</w:t>
      </w:r>
      <w:r>
        <w:t>i</w:t>
      </w:r>
      <w:r>
        <w:t>miento demográfico y qué parte de ese presupuesto se destina a la lucha contra el VIH/SIDA. Se une a otros miembros del Comité en hacer hincapié en que el artículo 12 tiene que ver con todas las etapas de la vida de la mujer y no solo sus años reproductivos.</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13</w:t>
      </w:r>
    </w:p>
    <w:p w:rsidR="00F54AD2" w:rsidRDefault="00F54AD2">
      <w:pPr>
        <w:spacing w:line="120" w:lineRule="exact"/>
        <w:jc w:val="both"/>
        <w:rPr>
          <w:sz w:val="10"/>
        </w:rPr>
      </w:pPr>
    </w:p>
    <w:p w:rsidR="00F54AD2" w:rsidRDefault="00F54AD2">
      <w:pPr>
        <w:pStyle w:val="DualTxt"/>
      </w:pPr>
      <w:r>
        <w:t>48.</w:t>
      </w:r>
      <w:r>
        <w:tab/>
      </w:r>
      <w:r>
        <w:rPr>
          <w:b/>
        </w:rPr>
        <w:t>La Sra. Regazzoli</w:t>
      </w:r>
      <w:r>
        <w:t xml:space="preserve"> observa que Myanmar ha de</w:t>
      </w:r>
      <w:r>
        <w:t>s</w:t>
      </w:r>
      <w:r>
        <w:t>plegado esfuerzos encomiables para estimular la part</w:t>
      </w:r>
      <w:r>
        <w:t>i</w:t>
      </w:r>
      <w:r>
        <w:t>cipación de la mujer en los deportes. Solicita estadíst</w:t>
      </w:r>
      <w:r>
        <w:t>i</w:t>
      </w:r>
      <w:r>
        <w:t>cas que indiquen si la mujer tiene verdadero acceso al crédito, cuentas bancarias, propiedad de la vivienda y otras cosas parecidas.</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14</w:t>
      </w:r>
    </w:p>
    <w:p w:rsidR="00F54AD2" w:rsidRDefault="00F54AD2">
      <w:pPr>
        <w:spacing w:line="120" w:lineRule="exact"/>
        <w:jc w:val="both"/>
        <w:rPr>
          <w:sz w:val="10"/>
        </w:rPr>
      </w:pPr>
    </w:p>
    <w:p w:rsidR="00F54AD2" w:rsidRDefault="00F54AD2">
      <w:pPr>
        <w:pStyle w:val="DualTxt"/>
      </w:pPr>
      <w:r>
        <w:t>49.</w:t>
      </w:r>
      <w:r>
        <w:tab/>
      </w:r>
      <w:r>
        <w:rPr>
          <w:b/>
        </w:rPr>
        <w:t>La Sra. Ouedraogo</w:t>
      </w:r>
      <w:r>
        <w:t xml:space="preserve"> manifiesta que si bien el i</w:t>
      </w:r>
      <w:r>
        <w:t>n</w:t>
      </w:r>
      <w:r>
        <w:t>forme alega que la mujer rural disfruta de derechos iguales que el hombre rural, siente el temor de que la alegación no se ajusta del todo a la realidad, dado que no está respaldada por estadísticas. El Comité no solo se interesa en las normas legales sino también en el a</w:t>
      </w:r>
      <w:r>
        <w:t>c</w:t>
      </w:r>
      <w:r>
        <w:t>ceso que de hecho tenga la mujer rural a la educación y capacitación, el crédito y la propiedad de bienes. Está interesada en obtener información sobre la tasa de analfabetismo de la mujer rural, el número de mujeres rurales que se han beneficiado de préstamos agrícolas a nombre propio y el número de mujeres rurales que son propietarias de su vivienda o granja. Se siente compla</w:t>
      </w:r>
      <w:r>
        <w:rPr>
          <w:spacing w:val="2"/>
        </w:rPr>
        <w:t>cida de que el informe se ocupa de la totalidad de las </w:t>
      </w:r>
      <w:r>
        <w:t>ocho esferas de interés que se mencionan en el artículo 14, pero quiere hacer algunas sugerencias acerca del tipo de información que desea recibir el Comité. Por ejemplo, el número de mujeres que se han beneficiado de proyectos de desarrollo rural es una e</w:t>
      </w:r>
      <w:r>
        <w:t>s</w:t>
      </w:r>
      <w:r>
        <w:t>tadística más significativa que la cantidad de dinero que se ha gastado en esos proyectos. En el informe se enumeran varios proyectos de desarrollo rural, pero no se indica su carácter o cómo han beneficiado específ</w:t>
      </w:r>
      <w:r>
        <w:t>i</w:t>
      </w:r>
      <w:r>
        <w:t>camente a la mujer.</w:t>
      </w:r>
    </w:p>
    <w:p w:rsidR="00F54AD2" w:rsidRDefault="00F54AD2">
      <w:pPr>
        <w:pStyle w:val="DualTxt"/>
      </w:pPr>
      <w:r>
        <w:t>50.</w:t>
      </w:r>
      <w:r>
        <w:tab/>
        <w:t>Celebra los esfuerzos que se han desplegado para extender la red de centros de salud rural y ve con sati</w:t>
      </w:r>
      <w:r>
        <w:t>s</w:t>
      </w:r>
      <w:r>
        <w:t>facción que se utilicen comadronas y visitantes de s</w:t>
      </w:r>
      <w:r>
        <w:t>a</w:t>
      </w:r>
      <w:r>
        <w:t>lud para ampliar la cobertura de los programas de s</w:t>
      </w:r>
      <w:r>
        <w:t>a</w:t>
      </w:r>
      <w:r>
        <w:t>lud. No obstante, le gustaría saber la razón de que el 30% de los nacimientos no son atendidos por personal adiestrado.</w:t>
      </w:r>
    </w:p>
    <w:p w:rsidR="00F54AD2" w:rsidRDefault="00F54AD2">
      <w:pPr>
        <w:pStyle w:val="DualTxt"/>
      </w:pPr>
      <w:r>
        <w:t>51.</w:t>
      </w:r>
      <w:r>
        <w:tab/>
        <w:t>En el informe se afirma que la mujer de Myanmar participa en la agricultura, el comercio y los asuntos sociales. El Comité está interesado en evaluar la cal</w:t>
      </w:r>
      <w:r>
        <w:t>i</w:t>
      </w:r>
      <w:r>
        <w:t>dad de esa participación.</w:t>
      </w:r>
    </w:p>
    <w:p w:rsidR="00F54AD2" w:rsidRDefault="00F54AD2">
      <w:pPr>
        <w:pStyle w:val="DualTxt"/>
      </w:pPr>
      <w:r>
        <w:t>52.</w:t>
      </w:r>
      <w:r>
        <w:tab/>
      </w:r>
      <w:r>
        <w:rPr>
          <w:b/>
        </w:rPr>
        <w:t>La Sra. Regazzoli</w:t>
      </w:r>
      <w:r>
        <w:t xml:space="preserve"> solicita que el Estado parte convierta todas las cifras monetarias a una moneda que le sea más familiar a los miembros del Comité, y que facilite estadísticas sobre el número de mujeres rurales que tienen acceso a los programas que se enumeran en el artículo 14. Agradecería también obtener inform</w:t>
      </w:r>
      <w:r>
        <w:t>a</w:t>
      </w:r>
      <w:r>
        <w:t>ción acerca de los tipos de trabajo que realiza la mujer rural en Myanmar y el porcentaje del producto nacional bruto que representan esos trabajos.</w:t>
      </w:r>
    </w:p>
    <w:p w:rsidR="00F54AD2" w:rsidRDefault="00F54AD2">
      <w:pPr>
        <w:pStyle w:val="DualTxt"/>
      </w:pPr>
      <w:r>
        <w:t>53.</w:t>
      </w:r>
      <w:r>
        <w:tab/>
      </w:r>
      <w:r>
        <w:rPr>
          <w:b/>
        </w:rPr>
        <w:t>La Sra. Feng</w:t>
      </w:r>
      <w:r>
        <w:t xml:space="preserve"> Cui manifiesta que le habría gust</w:t>
      </w:r>
      <w:r>
        <w:t>a</w:t>
      </w:r>
      <w:r>
        <w:t>do recibir más información sobre las medidas encam</w:t>
      </w:r>
      <w:r>
        <w:t>i</w:t>
      </w:r>
      <w:r>
        <w:t>nadas a aliviar la pobreza de la mujer rural. Desea e</w:t>
      </w:r>
      <w:r>
        <w:t>n</w:t>
      </w:r>
      <w:r>
        <w:t>comiar la labor llevada a cabo por la Asociación de Bienestar Maternoinfantil de Myanmar, organización no gubernamental voluntaria, en las zonas rurales.</w:t>
      </w:r>
    </w:p>
    <w:p w:rsidR="00F54AD2" w:rsidRDefault="00F54AD2">
      <w:pPr>
        <w:spacing w:line="120" w:lineRule="exact"/>
        <w:jc w:val="both"/>
        <w:rPr>
          <w:sz w:val="10"/>
        </w:rPr>
      </w:pPr>
    </w:p>
    <w:p w:rsidR="00F54AD2" w:rsidRDefault="00F54AD2">
      <w:pPr>
        <w:pStyle w:val="H4"/>
        <w:tabs>
          <w:tab w:val="right" w:pos="360"/>
          <w:tab w:val="left" w:pos="475"/>
          <w:tab w:val="left" w:pos="965"/>
          <w:tab w:val="left" w:pos="1440"/>
          <w:tab w:val="left" w:pos="1915"/>
          <w:tab w:val="left" w:pos="2405"/>
          <w:tab w:val="left" w:pos="2880"/>
          <w:tab w:val="left" w:pos="3355"/>
        </w:tabs>
        <w:ind w:left="475" w:hanging="475"/>
      </w:pPr>
      <w:r>
        <w:tab/>
        <w:t>Artículo 16</w:t>
      </w:r>
    </w:p>
    <w:p w:rsidR="00F54AD2" w:rsidRDefault="00F54AD2">
      <w:pPr>
        <w:spacing w:line="120" w:lineRule="exact"/>
        <w:jc w:val="both"/>
        <w:rPr>
          <w:sz w:val="10"/>
        </w:rPr>
      </w:pPr>
    </w:p>
    <w:p w:rsidR="00F54AD2" w:rsidRDefault="00F54AD2">
      <w:pPr>
        <w:pStyle w:val="DualTxt"/>
      </w:pPr>
      <w:r>
        <w:t>54.</w:t>
      </w:r>
      <w:r>
        <w:tab/>
      </w:r>
      <w:r>
        <w:rPr>
          <w:b/>
        </w:rPr>
        <w:t>La Sra. Cartwright</w:t>
      </w:r>
      <w:r>
        <w:t xml:space="preserve"> pregunta si la edad legal p</w:t>
      </w:r>
      <w:r>
        <w:t>a</w:t>
      </w:r>
      <w:r>
        <w:t>ra contraer matrimonio es de 20 años para el hombre y la mujer, y si se aplica en la práctica, ya que hay i</w:t>
      </w:r>
      <w:r>
        <w:t>n</w:t>
      </w:r>
      <w:r>
        <w:t>formes de que las mujeres por debajo de esa edad ya están casadas o se las trata como tal. A ese respecto, sugiere que las autoridades de Myanmar examinen la Recomendación General No. 21 del Comité, que hace hincapié en que la mujer debe haber alcanzado una edad suficientemente madura antes de casarse, no solo por razones de salud mental sino también para que pueda desempeñar debidamente sus obligaciones m</w:t>
      </w:r>
      <w:r>
        <w:t>a</w:t>
      </w:r>
      <w:r>
        <w:t>trimoniales. Ha oído que, en algunas ocasiones, a jóv</w:t>
      </w:r>
      <w:r>
        <w:t>e</w:t>
      </w:r>
      <w:r>
        <w:t>nes víctimas de violación se les exige que se casen con el ofensor, y se pregunta si el Gobierno está tomando medidas para disuadir o prohibir esas prácticas, que son contrarias a los principios fundamentales de los d</w:t>
      </w:r>
      <w:r>
        <w:t>e</w:t>
      </w:r>
      <w:r>
        <w:t>rechos humanos. Pregunta si existe legislación sobre la violación dentro del matrimonio. En general, le agrad</w:t>
      </w:r>
      <w:r>
        <w:t>a</w:t>
      </w:r>
      <w:r>
        <w:t>ría recibir información sobre las leyes relativas a la violación y en qué medida se aplican, especialmente contra miembros de las fuerzas armadas. Refiriéndose a la Recomendación General No. 19, pide información acerca de las medidas para prohibir la violencia contra la mujer, especialmente la violencia doméstica, y pr</w:t>
      </w:r>
      <w:r>
        <w:t>o</w:t>
      </w:r>
      <w:r>
        <w:t>cesar a quienes la practiquen. Sería útil saber la seri</w:t>
      </w:r>
      <w:r>
        <w:t>e</w:t>
      </w:r>
      <w:r>
        <w:t>dad con que el Gobierno adoptó esas medidas, si rec</w:t>
      </w:r>
      <w:r>
        <w:t>i</w:t>
      </w:r>
      <w:r>
        <w:t>ben amplia publicidad y si se insta a la policía a hace</w:t>
      </w:r>
      <w:r>
        <w:t>r</w:t>
      </w:r>
      <w:r>
        <w:t>las cumplir.</w:t>
      </w:r>
    </w:p>
    <w:p w:rsidR="00F54AD2" w:rsidRDefault="00F54AD2">
      <w:pPr>
        <w:pStyle w:val="DualTxt"/>
      </w:pPr>
      <w:r>
        <w:t>55.</w:t>
      </w:r>
      <w:r>
        <w:tab/>
      </w:r>
      <w:r>
        <w:rPr>
          <w:b/>
        </w:rPr>
        <w:t>La Sra. Aouij</w:t>
      </w:r>
      <w:r>
        <w:t xml:space="preserve"> dice que la información presentada en el informe conforme al artículo 16 es insuficiente. Desea saber si los diversos grupos étnicos de Myanmar aplican sus propias leyes consuetudinarias relativas al matrimonio y si las mujeres tienen algún recurso en el caso de que se quebrante esa legislación consuetudin</w:t>
      </w:r>
      <w:r>
        <w:t>a</w:t>
      </w:r>
      <w:r>
        <w:t>ria. El Estado parte debe indicar si hay juzgados en las zonas rurales y si las mujeres tienen acceso fácil a ellos; quién aplica la legislación sobre las relaciones familiares; si hay mujeres magistrados, y si el budismo permite la poligamia. Pregunta si las consecuencias del divorcio, incluidas la pensión alimenticia y la custodia, se determinan de acuerdo con la Constitución de 1974, ya que en el informe no se hace mención de ninguna legislación posterior en esa esfera. De hecho, desde que Myanmar se convirtió en Estado parte de la Co</w:t>
      </w:r>
      <w:r>
        <w:t>n</w:t>
      </w:r>
      <w:r>
        <w:t>vención en 1997, no ha tomado medida alguna para armonizar su legislación con la Convención o con los valores de la vida moderna y la democracia. Rec</w:t>
      </w:r>
      <w:r>
        <w:t>o</w:t>
      </w:r>
      <w:r>
        <w:t>mienda categóricamente una reforma legislativa, que incorpore el derecho consuetudinario cuando eso sea beneficioso; no obstante, es crucial que las leyes estén redactadas. Pregunta si la nueva Constitución incluirá un capítulo sobre los derechos de la mujer y la no di</w:t>
      </w:r>
      <w:r>
        <w:t>s</w:t>
      </w:r>
      <w:r>
        <w:t>criminación contra ella y si el Comité Nacional de Asuntos de la Mujer de Myanmar ha propuesto alguna enmienda o nueva legislación acerca de la condición jurídica de la mujer en el seno de la familia.</w:t>
      </w:r>
    </w:p>
    <w:p w:rsidR="00F54AD2" w:rsidRDefault="00F54AD2">
      <w:pPr>
        <w:pStyle w:val="DualTxt"/>
      </w:pPr>
      <w:r>
        <w:t>56.</w:t>
      </w:r>
      <w:r>
        <w:tab/>
      </w:r>
      <w:r>
        <w:rPr>
          <w:b/>
        </w:rPr>
        <w:t>La Sra. Goonesekere</w:t>
      </w:r>
      <w:r>
        <w:t xml:space="preserve"> solicita detalles sobre el funcionamiento en la práctica del sistema de propiedad mancomunada y sobre los derechos de herencia de la mujer con arreglo al derecho consuetudinario, que permite el divorcio por consentimiento mutuo y no exige la redacción de testamentos. Se pregunta si esos derechos están garantizados por los tribunales civiles.</w:t>
      </w:r>
    </w:p>
    <w:p w:rsidR="00F54AD2" w:rsidRDefault="00F54AD2">
      <w:pPr>
        <w:pStyle w:val="DualTxt"/>
      </w:pPr>
      <w:r>
        <w:t>57.</w:t>
      </w:r>
      <w:r>
        <w:tab/>
      </w:r>
      <w:r>
        <w:rPr>
          <w:b/>
        </w:rPr>
        <w:t>El Sr. Mra</w:t>
      </w:r>
      <w:r>
        <w:t xml:space="preserve"> (Myanmar) da las gracias a los mie</w:t>
      </w:r>
      <w:r>
        <w:t>m</w:t>
      </w:r>
      <w:r>
        <w:t>bros del Comité por su preguntas y les asegura que r</w:t>
      </w:r>
      <w:r>
        <w:t>e</w:t>
      </w:r>
      <w:r>
        <w:t>cibirán respuesta de las diversas mujeres expertas que forman parte de la delegación de Myanmar.</w:t>
      </w:r>
    </w:p>
    <w:p w:rsidR="00F54AD2" w:rsidRDefault="00F54AD2">
      <w:pPr>
        <w:pStyle w:val="DualTxt"/>
      </w:pPr>
      <w:r>
        <w:rPr>
          <w:i/>
        </w:rPr>
        <w:t>Se levanta la sesión a las 17.10 horas</w:t>
      </w:r>
      <w:r>
        <w:rPr>
          <w:sz w:val="24"/>
        </w:rPr>
        <w:t>.</w:t>
      </w:r>
    </w:p>
    <w:sectPr w:rsidR="00F54AD2">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8-18T17:16:00Z" w:initials="Start">
    <w:p w:rsidR="00745C1C" w:rsidRPr="00745C1C" w:rsidRDefault="00DC10DB">
      <w:pPr>
        <w:pStyle w:val="CommentText"/>
        <w:rPr>
          <w:lang w:val="en-US"/>
        </w:rPr>
      </w:pPr>
      <w:r>
        <w:fldChar w:fldCharType="begin"/>
      </w:r>
      <w:r w:rsidRPr="00137DAE">
        <w:rPr>
          <w:lang w:val="en-US"/>
        </w:rPr>
        <w:instrText>PAGE \# "'Page: '#'</w:instrText>
      </w:r>
      <w:r w:rsidRPr="00137DAE">
        <w:rPr>
          <w:lang w:val="en-US"/>
        </w:rPr>
        <w:br/>
        <w:instrText>'"</w:instrText>
      </w:r>
      <w:r w:rsidRPr="00137DAE">
        <w:rPr>
          <w:rStyle w:val="CommentReference"/>
          <w:lang w:val="en-US"/>
        </w:rPr>
        <w:instrText xml:space="preserve">  </w:instrText>
      </w:r>
      <w:r>
        <w:fldChar w:fldCharType="end"/>
      </w:r>
      <w:r>
        <w:rPr>
          <w:rStyle w:val="CommentReference"/>
        </w:rPr>
        <w:annotationRef/>
      </w:r>
      <w:r w:rsidR="00745C1C" w:rsidRPr="00745C1C">
        <w:rPr>
          <w:lang w:val="en-US"/>
        </w:rPr>
        <w:t>&lt;&lt;ODS JOB NO&gt;&gt;N0025397S&lt;&lt;ODS JOB NO&gt;&gt;</w:t>
      </w:r>
    </w:p>
    <w:p w:rsidR="00745C1C" w:rsidRPr="00745C1C" w:rsidRDefault="00745C1C">
      <w:pPr>
        <w:pStyle w:val="CommentText"/>
        <w:rPr>
          <w:lang w:val="en-US"/>
        </w:rPr>
      </w:pPr>
      <w:r w:rsidRPr="00745C1C">
        <w:rPr>
          <w:lang w:val="en-US"/>
        </w:rPr>
        <w:t>&lt;&lt;ODS DOC SYMBOL1&gt;&gt;CEDAW/C/SR.451&lt;&lt;ODS DOC SYMBOL1&gt;&gt;</w:t>
      </w:r>
    </w:p>
    <w:p w:rsidR="00DC10DB" w:rsidRPr="00137DAE" w:rsidRDefault="00745C1C">
      <w:pPr>
        <w:pStyle w:val="CommentText"/>
        <w:rPr>
          <w:lang w:val="en-US"/>
        </w:rPr>
      </w:pPr>
      <w:r w:rsidRPr="00745C1C">
        <w:rPr>
          <w:lang w:val="en-US"/>
        </w:rPr>
        <w:t>&lt;&lt;ODS DOC SYMBOL2&gt;&gt;&lt;&lt;ODS DOC SYMBOL2&gt;&gt;</w:t>
      </w:r>
    </w:p>
  </w:comment>
  <w:comment w:id="0" w:author="Rodríguez, Carmen" w:date="2006-08-14T08:37:00Z" w:initials="cr">
    <w:p w:rsidR="00DC10DB" w:rsidRPr="00F77E36" w:rsidRDefault="00DC10DB">
      <w:pPr>
        <w:pStyle w:val="CommentText"/>
        <w:rPr>
          <w:lang w:val="en-US"/>
        </w:rPr>
      </w:pPr>
      <w:r>
        <w:fldChar w:fldCharType="begin"/>
      </w:r>
      <w:r w:rsidRPr="00F77E36">
        <w:rPr>
          <w:rStyle w:val="CommentReference"/>
          <w:lang w:val="en-US"/>
        </w:rPr>
        <w:instrText xml:space="preserve"> </w:instrText>
      </w:r>
      <w:r w:rsidRPr="00F77E36">
        <w:rPr>
          <w:lang w:val="en-US"/>
        </w:rPr>
        <w:instrText>PAGE \# "'Page: '#'</w:instrText>
      </w:r>
      <w:r w:rsidRPr="00F77E36">
        <w:rPr>
          <w:lang w:val="en-US"/>
        </w:rPr>
        <w:br/>
        <w:instrText>'"</w:instrText>
      </w:r>
      <w:r w:rsidRPr="00F77E36">
        <w:rPr>
          <w:rStyle w:val="CommentReference"/>
          <w:lang w:val="en-US"/>
        </w:rPr>
        <w:instrText xml:space="preserve"> </w:instrText>
      </w:r>
      <w:r>
        <w:fldChar w:fldCharType="end"/>
      </w:r>
      <w:r>
        <w:rPr>
          <w:rStyle w:val="CommentReference"/>
        </w:rPr>
        <w:annotationRef/>
      </w:r>
      <w:r w:rsidRPr="00F77E36">
        <w:rPr>
          <w:lang w:val="en-US"/>
        </w:rPr>
        <w:t>&lt;&lt;ODS JOB NO&gt;&gt;N0525397S&lt;&lt;ODS JOB NO&gt;&gt;</w:t>
      </w:r>
    </w:p>
    <w:p w:rsidR="00DC10DB" w:rsidRPr="00F77E36" w:rsidRDefault="00DC10DB">
      <w:pPr>
        <w:pStyle w:val="CommentText"/>
        <w:rPr>
          <w:lang w:val="en-US"/>
        </w:rPr>
      </w:pPr>
      <w:r w:rsidRPr="00F77E36">
        <w:rPr>
          <w:lang w:val="en-US"/>
        </w:rPr>
        <w:t>&lt;&lt;ODS DOC SYMBOL1&gt;&gt;CEDAW/C/SR.451&lt;&lt;ODS DOC SYMBOL1&gt;&gt;</w:t>
      </w:r>
    </w:p>
    <w:p w:rsidR="00DC10DB" w:rsidRPr="00F77E36" w:rsidRDefault="00DC10DB">
      <w:pPr>
        <w:pStyle w:val="CommentText"/>
        <w:rPr>
          <w:lang w:val="en-US"/>
        </w:rPr>
      </w:pPr>
      <w:r w:rsidRPr="00F77E3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155" w:rsidRDefault="00863155">
      <w:r>
        <w:separator/>
      </w:r>
    </w:p>
  </w:endnote>
  <w:endnote w:type="continuationSeparator" w:id="0">
    <w:p w:rsidR="00863155" w:rsidRDefault="0086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10DB">
      <w:tblPrEx>
        <w:tblCellMar>
          <w:top w:w="0" w:type="dxa"/>
          <w:bottom w:w="0" w:type="dxa"/>
        </w:tblCellMar>
      </w:tblPrEx>
      <w:tc>
        <w:tcPr>
          <w:tcW w:w="5033" w:type="dxa"/>
          <w:vAlign w:val="bottom"/>
        </w:tcPr>
        <w:p w:rsidR="00DC10DB" w:rsidRDefault="00DC10DB">
          <w:pPr>
            <w:pStyle w:val="Footer"/>
          </w:pPr>
          <w:r>
            <w:fldChar w:fldCharType="begin"/>
          </w:r>
          <w:r>
            <w:instrText xml:space="preserve"> PAGE  \* MERGEFORMAT </w:instrText>
          </w:r>
          <w:r>
            <w:fldChar w:fldCharType="separate"/>
          </w:r>
          <w:r w:rsidR="00745C1C">
            <w:t>2</w:t>
          </w:r>
          <w:r>
            <w:fldChar w:fldCharType="end"/>
          </w:r>
        </w:p>
      </w:tc>
      <w:tc>
        <w:tcPr>
          <w:tcW w:w="5033" w:type="dxa"/>
          <w:vAlign w:val="bottom"/>
        </w:tcPr>
        <w:p w:rsidR="00DC10DB" w:rsidRDefault="00DC10DB">
          <w:pPr>
            <w:pStyle w:val="Footer"/>
            <w:jc w:val="right"/>
            <w:rPr>
              <w:b w:val="0"/>
              <w:sz w:val="14"/>
            </w:rPr>
          </w:pPr>
        </w:p>
      </w:tc>
    </w:tr>
  </w:tbl>
  <w:p w:rsidR="00DC10DB" w:rsidRDefault="00DC10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10DB">
      <w:tblPrEx>
        <w:tblCellMar>
          <w:top w:w="0" w:type="dxa"/>
          <w:bottom w:w="0" w:type="dxa"/>
        </w:tblCellMar>
      </w:tblPrEx>
      <w:tc>
        <w:tcPr>
          <w:tcW w:w="5033" w:type="dxa"/>
          <w:vAlign w:val="bottom"/>
        </w:tcPr>
        <w:p w:rsidR="00DC10DB" w:rsidRDefault="00DC10DB">
          <w:pPr>
            <w:pStyle w:val="Footer"/>
            <w:rPr>
              <w:b w:val="0"/>
              <w:sz w:val="14"/>
            </w:rPr>
          </w:pPr>
        </w:p>
      </w:tc>
      <w:tc>
        <w:tcPr>
          <w:tcW w:w="5033" w:type="dxa"/>
          <w:vAlign w:val="bottom"/>
        </w:tcPr>
        <w:p w:rsidR="00DC10DB" w:rsidRDefault="00DC10DB">
          <w:pPr>
            <w:pStyle w:val="Footer"/>
            <w:jc w:val="right"/>
          </w:pPr>
          <w:r>
            <w:fldChar w:fldCharType="begin"/>
          </w:r>
          <w:r>
            <w:instrText xml:space="preserve"> PAGE  \* MERGEFORMAT </w:instrText>
          </w:r>
          <w:r>
            <w:fldChar w:fldCharType="separate"/>
          </w:r>
          <w:r w:rsidR="00745C1C">
            <w:t>7</w:t>
          </w:r>
          <w:r>
            <w:fldChar w:fldCharType="end"/>
          </w:r>
        </w:p>
      </w:tc>
    </w:tr>
  </w:tbl>
  <w:p w:rsidR="00DC10DB" w:rsidRDefault="00DC10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0DB" w:rsidRDefault="00DC10DB">
    <w:pPr>
      <w:pStyle w:val="Footer"/>
      <w:pBdr>
        <w:top w:val="single" w:sz="2" w:space="1" w:color="auto"/>
      </w:pBdr>
      <w:rPr>
        <w:sz w:val="2"/>
      </w:rPr>
    </w:pPr>
  </w:p>
  <w:p w:rsidR="00DC10DB" w:rsidRDefault="00DC10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C10DB" w:rsidRDefault="00DC10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C10DB" w:rsidRDefault="00DC10D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C10DB" w:rsidRDefault="00DC10DB">
    <w:pPr>
      <w:pStyle w:val="FootnoteText"/>
      <w:spacing w:line="120" w:lineRule="exact"/>
      <w:ind w:left="1267" w:right="1267" w:firstLine="0"/>
      <w:rPr>
        <w:sz w:val="10"/>
      </w:rPr>
    </w:pPr>
  </w:p>
  <w:p w:rsidR="00DC10DB" w:rsidRDefault="00DC10DB">
    <w:pPr>
      <w:pStyle w:val="Footer"/>
      <w:rPr>
        <w:b w:val="0"/>
        <w:sz w:val="20"/>
      </w:rPr>
    </w:pPr>
    <w:r>
      <w:rPr>
        <w:b w:val="0"/>
        <w:sz w:val="20"/>
      </w:rPr>
      <w:t>00-25397 (S)</w:t>
    </w:r>
  </w:p>
  <w:p w:rsidR="00DC10DB" w:rsidRPr="00DC10DB" w:rsidRDefault="00DC10DB" w:rsidP="00DC10DB">
    <w:pPr>
      <w:pStyle w:val="Footer"/>
      <w:spacing w:before="120" w:line="240" w:lineRule="exact"/>
      <w:rPr>
        <w:rFonts w:ascii="Barcode 3 of 9 by request" w:hAnsi="Barcode 3 of 9 by request"/>
        <w:b w:val="0"/>
        <w:sz w:val="24"/>
      </w:rPr>
    </w:pPr>
    <w:r w:rsidRPr="00DC10DB">
      <w:rPr>
        <w:rFonts w:ascii="Barcode 3 of 9 by request" w:hAnsi="Barcode 3 of 9 by request"/>
        <w:b w:val="0"/>
        <w:sz w:val="24"/>
      </w:rPr>
      <w:t>*0025397*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155" w:rsidRDefault="00863155">
      <w:r>
        <w:separator/>
      </w:r>
    </w:p>
  </w:footnote>
  <w:footnote w:type="continuationSeparator" w:id="0">
    <w:p w:rsidR="00863155" w:rsidRDefault="00863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0DB" w:rsidRDefault="00DC10D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DC10DB">
                  <w:tblPrEx>
                    <w:tblCellMar>
                      <w:top w:w="0" w:type="dxa"/>
                      <w:left w:w="0" w:type="dxa"/>
                      <w:bottom w:w="0" w:type="dxa"/>
                      <w:right w:w="0" w:type="dxa"/>
                    </w:tblCellMar>
                  </w:tblPrEx>
                  <w:trPr>
                    <w:trHeight w:hRule="exact" w:val="864"/>
                  </w:trPr>
                  <w:tc>
                    <w:tcPr>
                      <w:tcW w:w="4838" w:type="dxa"/>
                      <w:vAlign w:val="bottom"/>
                    </w:tcPr>
                    <w:p w:rsidR="00DC10DB" w:rsidRDefault="00DC10DB">
                      <w:pPr>
                        <w:pStyle w:val="Header"/>
                        <w:spacing w:after="80"/>
                        <w:rPr>
                          <w:b/>
                        </w:rPr>
                      </w:pPr>
                      <w:r>
                        <w:rPr>
                          <w:b/>
                        </w:rPr>
                        <w:t>CEDAW/C/SR.451</w:t>
                      </w:r>
                    </w:p>
                  </w:tc>
                  <w:tc>
                    <w:tcPr>
                      <w:tcW w:w="5047" w:type="dxa"/>
                      <w:vAlign w:val="bottom"/>
                    </w:tcPr>
                    <w:p w:rsidR="00DC10DB" w:rsidRDefault="00DC10DB">
                      <w:pPr>
                        <w:pStyle w:val="Header"/>
                      </w:pPr>
                    </w:p>
                  </w:tc>
                </w:tr>
              </w:tbl>
              <w:p w:rsidR="00DC10DB" w:rsidRDefault="00DC10DB"/>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0DB" w:rsidRDefault="00DC10D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DC10DB">
                  <w:tblPrEx>
                    <w:tblCellMar>
                      <w:top w:w="0" w:type="dxa"/>
                      <w:left w:w="0" w:type="dxa"/>
                      <w:bottom w:w="0" w:type="dxa"/>
                      <w:right w:w="0" w:type="dxa"/>
                    </w:tblCellMar>
                  </w:tblPrEx>
                  <w:trPr>
                    <w:trHeight w:hRule="exact" w:val="864"/>
                  </w:trPr>
                  <w:tc>
                    <w:tcPr>
                      <w:tcW w:w="4838" w:type="dxa"/>
                      <w:vAlign w:val="bottom"/>
                    </w:tcPr>
                    <w:p w:rsidR="00DC10DB" w:rsidRDefault="00DC10DB">
                      <w:pPr>
                        <w:pStyle w:val="Header"/>
                      </w:pPr>
                    </w:p>
                  </w:tc>
                  <w:tc>
                    <w:tcPr>
                      <w:tcW w:w="5047" w:type="dxa"/>
                      <w:vAlign w:val="bottom"/>
                    </w:tcPr>
                    <w:p w:rsidR="00DC10DB" w:rsidRDefault="00DC10DB">
                      <w:pPr>
                        <w:pStyle w:val="Header"/>
                        <w:spacing w:after="80"/>
                        <w:jc w:val="right"/>
                        <w:rPr>
                          <w:b/>
                        </w:rPr>
                      </w:pPr>
                      <w:r>
                        <w:rPr>
                          <w:b/>
                        </w:rPr>
                        <w:t>CEDAW/C/SR.451</w:t>
                      </w:r>
                    </w:p>
                  </w:tc>
                </w:tr>
              </w:tbl>
              <w:p w:rsidR="00DC10DB" w:rsidRDefault="00DC10DB"/>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C10DB">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DC10DB" w:rsidRDefault="00DC10DB">
          <w:pPr>
            <w:pStyle w:val="Header"/>
            <w:spacing w:after="120"/>
          </w:pPr>
        </w:p>
      </w:tc>
      <w:tc>
        <w:tcPr>
          <w:tcW w:w="2059" w:type="dxa"/>
          <w:tcBorders>
            <w:top w:val="nil"/>
            <w:left w:val="nil"/>
            <w:bottom w:val="nil"/>
            <w:right w:val="nil"/>
          </w:tcBorders>
          <w:vAlign w:val="bottom"/>
        </w:tcPr>
        <w:p w:rsidR="00DC10DB" w:rsidRDefault="00DC10DB">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DC10DB" w:rsidRDefault="00DC10DB">
          <w:pPr>
            <w:pStyle w:val="Header"/>
            <w:spacing w:after="120"/>
          </w:pPr>
        </w:p>
      </w:tc>
      <w:tc>
        <w:tcPr>
          <w:tcW w:w="6523" w:type="dxa"/>
          <w:gridSpan w:val="3"/>
          <w:tcBorders>
            <w:top w:val="nil"/>
            <w:left w:val="nil"/>
            <w:bottom w:val="nil"/>
            <w:right w:val="nil"/>
          </w:tcBorders>
          <w:vAlign w:val="bottom"/>
        </w:tcPr>
        <w:p w:rsidR="00DC10DB" w:rsidRPr="00745C1C" w:rsidRDefault="00745C1C" w:rsidP="00745C1C">
          <w:pPr>
            <w:spacing w:line="240" w:lineRule="auto"/>
            <w:jc w:val="right"/>
            <w:rPr>
              <w:position w:val="-4"/>
            </w:rPr>
          </w:pPr>
          <w:r>
            <w:rPr>
              <w:position w:val="-4"/>
              <w:sz w:val="40"/>
            </w:rPr>
            <w:t>CEDAW</w:t>
          </w:r>
          <w:r>
            <w:rPr>
              <w:position w:val="-4"/>
            </w:rPr>
            <w:t>/C/SR.451</w:t>
          </w:r>
        </w:p>
      </w:tc>
    </w:tr>
    <w:tr w:rsidR="00DC10DB">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DC10DB" w:rsidRDefault="00DC10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C10DB" w:rsidRDefault="00DC10DB">
          <w:pPr>
            <w:pStyle w:val="Header"/>
            <w:spacing w:before="109"/>
          </w:pPr>
        </w:p>
      </w:tc>
      <w:tc>
        <w:tcPr>
          <w:tcW w:w="5227" w:type="dxa"/>
          <w:gridSpan w:val="3"/>
          <w:tcBorders>
            <w:left w:val="nil"/>
            <w:bottom w:val="single" w:sz="12" w:space="0" w:color="auto"/>
            <w:right w:val="nil"/>
          </w:tcBorders>
        </w:tcPr>
        <w:p w:rsidR="00DC10DB" w:rsidRDefault="00DC10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DC10DB" w:rsidRPr="00137DAE" w:rsidRDefault="00DC10DB">
          <w:pPr>
            <w:pStyle w:val="Header"/>
            <w:spacing w:before="109"/>
            <w:rPr>
              <w:lang w:val="es-CO"/>
            </w:rPr>
          </w:pPr>
        </w:p>
      </w:tc>
      <w:tc>
        <w:tcPr>
          <w:tcW w:w="3180" w:type="dxa"/>
          <w:gridSpan w:val="2"/>
          <w:tcBorders>
            <w:left w:val="nil"/>
            <w:bottom w:val="single" w:sz="12" w:space="0" w:color="auto"/>
            <w:right w:val="nil"/>
          </w:tcBorders>
        </w:tcPr>
        <w:p w:rsidR="00DC10DB" w:rsidRDefault="00DC10DB">
          <w:pPr>
            <w:spacing w:before="240"/>
          </w:pPr>
          <w:r>
            <w:t>Distr. general</w:t>
          </w:r>
        </w:p>
        <w:p w:rsidR="00DC10DB" w:rsidRDefault="00DC10DB">
          <w:r>
            <w:t>14 de agosto de 2006</w:t>
          </w:r>
        </w:p>
        <w:p w:rsidR="00DC10DB" w:rsidRDefault="00DC10DB">
          <w:r>
            <w:t>Español</w:t>
          </w:r>
        </w:p>
        <w:p w:rsidR="00DC10DB" w:rsidRDefault="00DC10DB">
          <w:r>
            <w:t>Original: inglés</w:t>
          </w:r>
        </w:p>
      </w:tc>
    </w:tr>
  </w:tbl>
  <w:p w:rsidR="00DC10DB" w:rsidRPr="00B82886" w:rsidRDefault="00DC10DB">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397*"/>
    <w:docVar w:name="CreationDt" w:val="7/23/2006 2:08: PM"/>
    <w:docVar w:name="DocCategory" w:val="SROthers"/>
    <w:docVar w:name="DocType" w:val="Final"/>
    <w:docVar w:name="FooterJN" w:val="00-25397"/>
    <w:docVar w:name="Jobn" w:val="00-25397 (S)"/>
    <w:docVar w:name="JobNo" w:val="0025397S"/>
    <w:docVar w:name="OandT" w:val="pl"/>
    <w:docVar w:name="sss1" w:val="CEDAW/C/SR.451"/>
    <w:docVar w:name="sss2" w:val="-"/>
    <w:docVar w:name="Symbol1" w:val="CEDAW/C/SR.451"/>
    <w:docVar w:name="Symbol2" w:val="-"/>
  </w:docVars>
  <w:rsids>
    <w:rsidRoot w:val="00137DAE"/>
    <w:rsid w:val="00137DAE"/>
    <w:rsid w:val="005D7401"/>
    <w:rsid w:val="00736D7C"/>
    <w:rsid w:val="00745C1C"/>
    <w:rsid w:val="00863155"/>
    <w:rsid w:val="00B82886"/>
    <w:rsid w:val="00DC10DB"/>
    <w:rsid w:val="00F00682"/>
    <w:rsid w:val="00F44D72"/>
    <w:rsid w:val="00F54AD2"/>
    <w:rsid w:val="00F77E36"/>
    <w:rsid w:val="00F922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137DAE"/>
    <w:rPr>
      <w:rFonts w:ascii="Tahoma" w:hAnsi="Tahoma" w:cs="Tahoma"/>
      <w:sz w:val="16"/>
      <w:szCs w:val="16"/>
    </w:rPr>
  </w:style>
  <w:style w:type="paragraph" w:styleId="CommentSubject">
    <w:name w:val="annotation subject"/>
    <w:basedOn w:val="CommentText"/>
    <w:next w:val="CommentText"/>
    <w:semiHidden/>
    <w:rsid w:val="00F922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4781</Words>
  <Characters>27252</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GACM User</cp:lastModifiedBy>
  <cp:revision>10</cp:revision>
  <cp:lastPrinted>2006-08-18T16:16:00Z</cp:lastPrinted>
  <dcterms:created xsi:type="dcterms:W3CDTF">2006-08-14T07:37:00Z</dcterms:created>
  <dcterms:modified xsi:type="dcterms:W3CDTF">2006-08-18T16:20:00Z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0025397S</vt:lpwstr>
  </property>
  <property fmtid="{D5CDD505-2E9C-101B-9397-08002B2CF9AE}" pid="5" name="Comment">
    <vt:lpwstr/>
  </property>
  <property fmtid="{D5CDD505-2E9C-101B-9397-08002B2CF9AE}" pid="6" name="DraftPages">
    <vt:lpwstr> </vt:lpwstr>
  </property>
  <property fmtid="{D5CDD505-2E9C-101B-9397-08002B2CF9AE}" pid="7" name="Operator">
    <vt:lpwstr>pl/cr</vt:lpwstr>
  </property>
  <property fmtid="{D5CDD505-2E9C-101B-9397-08002B2CF9AE}" pid="8" name="Symbol1">
    <vt:lpwstr>CEDAW/C/SR.451</vt:lpwstr>
  </property>
  <property fmtid="{D5CDD505-2E9C-101B-9397-08002B2CF9AE}" pid="9" name="sss1">
    <vt:lpwstr>CEDAW/C/SR.451</vt:lpwstr>
  </property>
</Properties>
</file>