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406" w:rsidRDefault="00713406">
      <w:pPr>
        <w:spacing w:after="0" w:line="60" w:lineRule="exact"/>
        <w:rPr>
          <w:sz w:val="6"/>
        </w:rPr>
        <w:sectPr w:rsidR="0071340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713406" w:rsidRDefault="00713406">
      <w:pPr>
        <w:pStyle w:val="H1"/>
        <w:spacing w:after="0" w:line="340" w:lineRule="exact"/>
        <w:rPr>
          <w:rFonts w:hint="eastAsia"/>
        </w:rPr>
      </w:pPr>
      <w:r>
        <w:rPr>
          <w:rFonts w:hint="eastAsia"/>
        </w:rPr>
        <w:t>消除对妇女歧视委员会</w:t>
      </w:r>
    </w:p>
    <w:p w:rsidR="00713406" w:rsidRDefault="00713406">
      <w:pPr>
        <w:pStyle w:val="DualTxt"/>
        <w:spacing w:afterLines="50" w:after="156"/>
        <w:rPr>
          <w:rFonts w:ascii="SimHei" w:eastAsia="SimHei" w:hint="eastAsia"/>
          <w:color w:val="FF0000"/>
        </w:rPr>
      </w:pPr>
      <w:r>
        <w:rPr>
          <w:rFonts w:ascii="SimHei" w:eastAsia="SimHei" w:hint="eastAsia"/>
          <w:color w:val="FF0000"/>
        </w:rPr>
        <w:t>第三十九届会议</w:t>
      </w:r>
    </w:p>
    <w:p w:rsidR="00713406" w:rsidRDefault="00713406">
      <w:pPr>
        <w:pStyle w:val="DualTxt"/>
        <w:spacing w:after="0"/>
        <w:rPr>
          <w:rFonts w:ascii="SimHei" w:eastAsia="SimHei" w:hint="eastAsia"/>
          <w:color w:val="FF0000"/>
        </w:rPr>
      </w:pPr>
      <w:r>
        <w:rPr>
          <w:rFonts w:ascii="SimHei" w:eastAsia="SimHei" w:hint="eastAsia"/>
          <w:color w:val="FF0000"/>
        </w:rPr>
        <w:t>第79</w:t>
      </w:r>
      <w:r>
        <w:rPr>
          <w:rFonts w:ascii="SimHei" w:eastAsia="SimHei"/>
          <w:color w:val="FF0000"/>
        </w:rPr>
        <w:t>3</w:t>
      </w:r>
      <w:r>
        <w:rPr>
          <w:rFonts w:ascii="SimHei" w:eastAsia="SimHei" w:hint="eastAsia"/>
          <w:color w:val="FF0000"/>
        </w:rPr>
        <w:t>次会议简要记录（B室）</w:t>
      </w:r>
    </w:p>
    <w:p w:rsidR="00713406" w:rsidRDefault="00713406">
      <w:pPr>
        <w:spacing w:afterLines="50" w:after="156"/>
        <w:rPr>
          <w:rFonts w:hint="eastAsia"/>
        </w:rPr>
      </w:pPr>
      <w:r>
        <w:rPr>
          <w:rFonts w:hint="eastAsia"/>
        </w:rPr>
        <w:t>2007</w:t>
      </w:r>
      <w:r>
        <w:rPr>
          <w:rFonts w:hint="eastAsia"/>
        </w:rPr>
        <w:t>年</w:t>
      </w:r>
      <w:r>
        <w:rPr>
          <w:rFonts w:hint="eastAsia"/>
        </w:rPr>
        <w:t>7</w:t>
      </w:r>
      <w:r>
        <w:rPr>
          <w:rFonts w:hint="eastAsia"/>
        </w:rPr>
        <w:t>月</w:t>
      </w:r>
      <w:r>
        <w:rPr>
          <w:rFonts w:hint="eastAsia"/>
        </w:rPr>
        <w:t>24</w:t>
      </w:r>
      <w:r>
        <w:rPr>
          <w:rFonts w:hint="eastAsia"/>
        </w:rPr>
        <w:t>日，星期二，上午</w:t>
      </w:r>
      <w:r>
        <w:rPr>
          <w:rFonts w:hint="eastAsia"/>
        </w:rPr>
        <w:t>10</w:t>
      </w:r>
      <w:r>
        <w:rPr>
          <w:rFonts w:hint="eastAsia"/>
        </w:rPr>
        <w:t>时在纽约总部举行</w:t>
      </w:r>
    </w:p>
    <w:p w:rsidR="00713406" w:rsidRDefault="00713406">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szCs w:val="24"/>
        </w:rPr>
        <w:t>达伊里姆女士（报告员）</w:t>
      </w:r>
    </w:p>
    <w:p w:rsidR="00713406" w:rsidRDefault="00713406">
      <w:pPr>
        <w:tabs>
          <w:tab w:val="left" w:pos="1267"/>
          <w:tab w:val="right" w:leader="dot" w:pos="8568"/>
        </w:tabs>
        <w:spacing w:line="120" w:lineRule="exact"/>
        <w:ind w:right="1267"/>
        <w:rPr>
          <w:sz w:val="10"/>
        </w:rPr>
      </w:pPr>
    </w:p>
    <w:p w:rsidR="00713406" w:rsidRDefault="00713406">
      <w:pPr>
        <w:tabs>
          <w:tab w:val="left" w:pos="1267"/>
          <w:tab w:val="right" w:leader="dot" w:pos="8568"/>
        </w:tabs>
        <w:spacing w:line="120" w:lineRule="exact"/>
        <w:ind w:right="1267"/>
        <w:rPr>
          <w:sz w:val="10"/>
        </w:rPr>
      </w:pPr>
    </w:p>
    <w:p w:rsidR="00713406" w:rsidRDefault="00713406">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13406" w:rsidRDefault="00713406">
      <w:pPr>
        <w:pStyle w:val="SingleTxt"/>
        <w:jc w:val="left"/>
        <w:rPr>
          <w:rFonts w:hAnsi="SimSun" w:hint="eastAsia"/>
          <w:color w:val="000000"/>
        </w:rPr>
      </w:pPr>
      <w:r>
        <w:rPr>
          <w:rFonts w:hAnsi="SimSun" w:hint="eastAsia"/>
          <w:color w:val="000000"/>
        </w:rPr>
        <w:t xml:space="preserve">审议缔约国根据《公约》第18条提交的报告 </w:t>
      </w:r>
    </w:p>
    <w:p w:rsidR="00713406" w:rsidRDefault="00713406">
      <w:pPr>
        <w:pStyle w:val="SingleTxt"/>
        <w:jc w:val="left"/>
        <w:rPr>
          <w:rFonts w:ascii="KaiTi_GB2312" w:eastAsia="KaiTi_GB2312" w:hAnsi="SimSun"/>
          <w:color w:val="0000FF"/>
        </w:rPr>
      </w:pPr>
      <w:r>
        <w:rPr>
          <w:rFonts w:ascii="KaiTi_GB2312" w:eastAsia="KaiTi_GB2312" w:hAnsi="SimSun"/>
          <w:color w:val="0000FF"/>
        </w:rPr>
        <w:tab/>
      </w:r>
      <w:r>
        <w:rPr>
          <w:rFonts w:ascii="KaiTi_GB2312" w:eastAsia="KaiTi_GB2312" w:hAnsi="SimSun" w:hint="eastAsia"/>
          <w:color w:val="0000FF"/>
        </w:rPr>
        <w:t>爱沙尼亚的第四次定期报告</w:t>
      </w:r>
    </w:p>
    <w:p w:rsidR="00713406" w:rsidRDefault="00713406" w:rsidP="00777E47">
      <w:pPr>
        <w:pStyle w:val="SingleTxt"/>
        <w:spacing w:after="180"/>
        <w:ind w:leftChars="807" w:left="31680" w:rightChars="602" w:right="31680"/>
        <w:rPr>
          <w:rFonts w:ascii="Times New Roman"/>
        </w:rPr>
      </w:pPr>
    </w:p>
    <w:p w:rsidR="00713406" w:rsidRDefault="00713406">
      <w:pPr>
        <w:pStyle w:val="SingleTxt"/>
        <w:spacing w:after="0" w:line="240" w:lineRule="exact"/>
        <w:rPr>
          <w:rFonts w:ascii="Times New Roman"/>
        </w:rPr>
      </w:pPr>
    </w:p>
    <w:p w:rsidR="00713406" w:rsidRDefault="00713406">
      <w:pPr>
        <w:pStyle w:val="SingleTxt"/>
        <w:spacing w:after="0" w:line="240" w:lineRule="exact"/>
        <w:rPr>
          <w:rFonts w:ascii="Times New Roman"/>
        </w:rPr>
        <w:sectPr w:rsidR="00713406">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713406" w:rsidRDefault="00713406">
      <w:pPr>
        <w:pStyle w:val="SingleTxt"/>
        <w:spacing w:after="0" w:line="20" w:lineRule="exact"/>
        <w:rPr>
          <w:rFonts w:ascii="Times New Roman"/>
        </w:rPr>
        <w:sectPr w:rsidR="00713406">
          <w:endnotePr>
            <w:numFmt w:val="decimal"/>
          </w:endnotePr>
          <w:pgSz w:w="12242" w:h="15842" w:code="1"/>
          <w:pgMar w:top="1742" w:right="1195" w:bottom="1898" w:left="1195" w:header="576" w:footer="1030" w:gutter="0"/>
          <w:cols w:space="425"/>
          <w:noEndnote/>
          <w:docGrid w:type="lines" w:linePitch="312"/>
        </w:sectPr>
      </w:pPr>
    </w:p>
    <w:p w:rsidR="00713406" w:rsidRDefault="00713406">
      <w:pPr>
        <w:rPr>
          <w:rFonts w:ascii="KaiTi_GB2312" w:eastAsia="KaiTi_GB2312" w:hint="eastAsia"/>
          <w:color w:val="0000FF"/>
        </w:rPr>
      </w:pPr>
      <w:r>
        <w:rPr>
          <w:rFonts w:ascii="KaiTi_GB2312" w:eastAsia="KaiTi_GB2312" w:hint="eastAsia"/>
          <w:color w:val="0000FF"/>
        </w:rPr>
        <w:t>因</w:t>
      </w:r>
      <w:bookmarkStart w:id="1" w:name="OLE_LINK1"/>
      <w:bookmarkStart w:id="2" w:name="OLE_LINK2"/>
      <w:r>
        <w:rPr>
          <w:rFonts w:ascii="KaiTi_GB2312" w:eastAsia="KaiTi_GB2312" w:hint="eastAsia"/>
          <w:color w:val="0000FF"/>
        </w:rPr>
        <w:t>西蒙诺维奇</w:t>
      </w:r>
      <w:bookmarkEnd w:id="1"/>
      <w:bookmarkEnd w:id="2"/>
      <w:r>
        <w:rPr>
          <w:rFonts w:ascii="KaiTi_GB2312" w:eastAsia="KaiTi_GB2312" w:hint="eastAsia"/>
          <w:color w:val="0000FF"/>
        </w:rPr>
        <w:t>女士缺席，报告员达伊里姆女士代行主席职务。</w:t>
      </w:r>
    </w:p>
    <w:p w:rsidR="00713406" w:rsidRDefault="00713406">
      <w:pPr>
        <w:ind w:firstLine="424"/>
        <w:rPr>
          <w:rFonts w:ascii="KaiTi_GB2312" w:eastAsia="KaiTi_GB2312" w:hint="eastAsia"/>
          <w:color w:val="0000FF"/>
        </w:rPr>
      </w:pPr>
      <w:r>
        <w:rPr>
          <w:rFonts w:ascii="KaiTi_GB2312" w:eastAsia="KaiTi_GB2312" w:hint="eastAsia"/>
          <w:color w:val="0000FF"/>
        </w:rPr>
        <w:t>上午10时零5分宣布开会</w:t>
      </w:r>
    </w:p>
    <w:p w:rsidR="00713406" w:rsidRDefault="00713406">
      <w:pPr>
        <w:rPr>
          <w:rFonts w:ascii="SimHei" w:eastAsia="SimHei"/>
          <w:color w:val="FF0000"/>
        </w:rPr>
      </w:pPr>
      <w:r>
        <w:rPr>
          <w:rFonts w:ascii="SimHei" w:eastAsia="SimHei" w:hint="eastAsia"/>
          <w:color w:val="FF0000"/>
        </w:rPr>
        <w:t>审议缔约国根据《公约》第18条提交的报告</w:t>
      </w:r>
    </w:p>
    <w:p w:rsidR="00713406" w:rsidRDefault="00713406">
      <w:r>
        <w:tab/>
      </w:r>
      <w:r>
        <w:rPr>
          <w:rFonts w:eastAsia="KaiTi_GB2312" w:hint="eastAsia"/>
          <w:color w:val="0000FF"/>
        </w:rPr>
        <w:t>爱沙尼亚的第四次定期报告</w:t>
      </w:r>
      <w:r>
        <w:rPr>
          <w:rFonts w:hint="eastAsia"/>
        </w:rPr>
        <w:t>（</w:t>
      </w:r>
      <w:r>
        <w:t>CEDAW/C/EST/4</w:t>
      </w:r>
      <w:r>
        <w:rPr>
          <w:rFonts w:hint="eastAsia"/>
        </w:rPr>
        <w:t>；</w:t>
      </w:r>
      <w:r>
        <w:t xml:space="preserve">CEDAW/C/EST/Q/4 </w:t>
      </w:r>
      <w:r>
        <w:rPr>
          <w:rFonts w:hint="eastAsia"/>
        </w:rPr>
        <w:t>和</w:t>
      </w:r>
      <w:r>
        <w:t xml:space="preserve"> Add.1)</w:t>
      </w:r>
    </w:p>
    <w:p w:rsidR="00713406" w:rsidRDefault="00713406">
      <w:r>
        <w:t>1.</w:t>
      </w:r>
      <w:r>
        <w:tab/>
      </w:r>
      <w:r>
        <w:rPr>
          <w:rFonts w:eastAsia="KaiTi_GB2312" w:hint="eastAsia"/>
          <w:color w:val="0000FF"/>
        </w:rPr>
        <w:t>应主席邀请，爱沙尼亚代表团成员在委员会议席就座</w:t>
      </w:r>
      <w:r>
        <w:rPr>
          <w:rFonts w:hint="eastAsia"/>
        </w:rPr>
        <w:t>。</w:t>
      </w:r>
    </w:p>
    <w:p w:rsidR="00713406" w:rsidRDefault="00713406">
      <w:pPr>
        <w:spacing w:line="334" w:lineRule="exact"/>
        <w:rPr>
          <w:rFonts w:hint="eastAsia"/>
        </w:rPr>
      </w:pPr>
      <w:r>
        <w:t>2.</w:t>
      </w:r>
      <w:r>
        <w:tab/>
      </w:r>
      <w:r>
        <w:rPr>
          <w:rFonts w:ascii="SimHei" w:eastAsia="SimHei"/>
          <w:color w:val="FF0000"/>
        </w:rPr>
        <w:t>Kaljurand</w:t>
      </w:r>
      <w:r>
        <w:rPr>
          <w:rFonts w:ascii="SimHei" w:eastAsia="SimHei" w:hint="eastAsia"/>
          <w:color w:val="FF0000"/>
        </w:rPr>
        <w:t>女士</w:t>
      </w:r>
      <w:r>
        <w:rPr>
          <w:rFonts w:hint="eastAsia"/>
        </w:rPr>
        <w:t>（爱沙尼亚），介绍了爱沙尼亚第四次定期报告（</w:t>
      </w:r>
      <w:r>
        <w:t>CEDAW/C/EST/4</w:t>
      </w:r>
      <w:r>
        <w:rPr>
          <w:rFonts w:hint="eastAsia"/>
        </w:rPr>
        <w:t>）。她说自初次、第二次和第三次合并定期报告（</w:t>
      </w:r>
      <w:r>
        <w:t>CEDAW/C/EST/1-3</w:t>
      </w:r>
      <w:r>
        <w:rPr>
          <w:rFonts w:hint="eastAsia"/>
        </w:rPr>
        <w:t>）提交以来所取得的最重要进展之一就是于</w:t>
      </w:r>
      <w:r>
        <w:rPr>
          <w:rFonts w:hint="eastAsia"/>
        </w:rPr>
        <w:t>2004</w:t>
      </w:r>
      <w:r>
        <w:rPr>
          <w:rFonts w:hint="eastAsia"/>
        </w:rPr>
        <w:t>年</w:t>
      </w:r>
      <w:r>
        <w:rPr>
          <w:rFonts w:hint="eastAsia"/>
        </w:rPr>
        <w:t>5</w:t>
      </w:r>
      <w:r>
        <w:rPr>
          <w:rFonts w:hint="eastAsia"/>
        </w:rPr>
        <w:t>月</w:t>
      </w:r>
      <w:r>
        <w:rPr>
          <w:rFonts w:hint="eastAsia"/>
        </w:rPr>
        <w:t>1</w:t>
      </w:r>
      <w:r>
        <w:rPr>
          <w:rFonts w:hint="eastAsia"/>
        </w:rPr>
        <w:t>日生效的《性别平等法》。该法禁止私营部门和公共部门里基于性别的歧视，并赋予受歧视者要求损害赔偿的权利。该法还责成中央和地方所有政府机构引入性别主流化战略。</w:t>
      </w:r>
    </w:p>
    <w:p w:rsidR="00713406" w:rsidRDefault="00713406">
      <w:pPr>
        <w:spacing w:line="334" w:lineRule="exact"/>
        <w:rPr>
          <w:rFonts w:hint="eastAsia"/>
        </w:rPr>
      </w:pPr>
      <w:r>
        <w:t>3.</w:t>
      </w:r>
      <w:r>
        <w:tab/>
      </w:r>
      <w:r>
        <w:rPr>
          <w:rFonts w:hint="eastAsia"/>
        </w:rPr>
        <w:t>虽然政府没有为促进性别平等制定单一和统一的行动计划，但相关措施已纳入许多具体的政策文件中，包括社会事务部的战略行动计划和国家预算战略。此外，为执行性别主流化战略还开展了多种多样的活动：公务员和地方政府官员得到了适当的培训，并创建了一个专门知识的在线数据库。政府公布了年度数据公告板，分析各领域的男女状况并开展有关性别平等的调查，分析和调查的结果可在互联网上浏览。为提高公众对与性别有关的问题的认识，出版并发行了宣传材料，阐述了基本术语和相关问题。</w:t>
      </w:r>
    </w:p>
    <w:p w:rsidR="00713406" w:rsidRDefault="00713406">
      <w:pPr>
        <w:rPr>
          <w:rFonts w:hint="eastAsia"/>
        </w:rPr>
      </w:pPr>
      <w:r>
        <w:t>4.</w:t>
      </w:r>
      <w:r>
        <w:tab/>
      </w:r>
      <w:r>
        <w:rPr>
          <w:rFonts w:hint="eastAsia"/>
        </w:rPr>
        <w:t>关于爱沙尼亚促进妇女进步的国家机构，她说性别平等部（前性别平等局）负责处理与性别平等相关的全部事宜。该部门由</w:t>
      </w:r>
      <w:r>
        <w:rPr>
          <w:rFonts w:hint="eastAsia"/>
        </w:rPr>
        <w:t>7</w:t>
      </w:r>
      <w:r>
        <w:rPr>
          <w:rFonts w:hint="eastAsia"/>
        </w:rPr>
        <w:t>名公务员组成，并由社会事务部的社会和劳动政策信息与分析部提供支持。根据委员会初次、第二次和第三次合并定期报告结论性评论中所表达的关切，爱沙尼亚已付出了巨大努力以强化国家机构，尽管仍有许多不足之处。相关专门知识的欠缺导致了特别的困难。</w:t>
      </w:r>
    </w:p>
    <w:p w:rsidR="00713406" w:rsidRDefault="00713406">
      <w:pPr>
        <w:rPr>
          <w:rFonts w:hint="eastAsia"/>
        </w:rPr>
      </w:pPr>
      <w:r>
        <w:t>5.</w:t>
      </w:r>
      <w:r>
        <w:tab/>
      </w:r>
      <w:r>
        <w:rPr>
          <w:rFonts w:hint="eastAsia"/>
        </w:rPr>
        <w:t>2005</w:t>
      </w:r>
      <w:r>
        <w:rPr>
          <w:rFonts w:hint="eastAsia"/>
        </w:rPr>
        <w:t>年</w:t>
      </w:r>
      <w:r>
        <w:rPr>
          <w:rFonts w:hint="eastAsia"/>
        </w:rPr>
        <w:t>10</w:t>
      </w:r>
      <w:r>
        <w:rPr>
          <w:rFonts w:hint="eastAsia"/>
        </w:rPr>
        <w:t>月，任命了一名性别平等专员以监测《性别平等法》的遵守情况，处理相关投诉并发表专家意见。此外，性别歧视的受害者有权向司法总监提出诉状，司法总监可酌情启动调解程序。到目前为止，尚未启动此类涉及性别歧视的程序。《性别平等法》还规定设立一个性别平等理事会，作为政府的一个咨询机构。但是，由于缺乏合格职员，该理事会尚未投入运作。多个机构正进行有关性别问题的研究，还有两个国家非政府组织也在积极促进性别平等。社会事务部作为与欧盟结构资金有关的试点项目的一部分，正计划成立一家性别平等信息中心。</w:t>
      </w:r>
    </w:p>
    <w:p w:rsidR="00713406" w:rsidRDefault="00713406">
      <w:pPr>
        <w:spacing w:line="346" w:lineRule="exact"/>
        <w:rPr>
          <w:rFonts w:hint="eastAsia"/>
        </w:rPr>
      </w:pPr>
      <w:r>
        <w:t>6.</w:t>
      </w:r>
      <w:r>
        <w:tab/>
      </w:r>
      <w:r>
        <w:rPr>
          <w:rFonts w:hint="eastAsia"/>
        </w:rPr>
        <w:t>自</w:t>
      </w:r>
      <w:r>
        <w:rPr>
          <w:rFonts w:hint="eastAsia"/>
        </w:rPr>
        <w:t>2002</w:t>
      </w:r>
      <w:r>
        <w:rPr>
          <w:rFonts w:hint="eastAsia"/>
        </w:rPr>
        <w:t>年以来，爱沙尼亚在打击人口贩运方面取得了显著进步。随着经济的繁荣，卖淫和贩运的水平有所下降，通过引入立法加强了执法力度以惩治宣扬卖淫的活动。启动了若干提高认识活动，社会事务部和非政府组织为社会工作者、教师和青年工作者举行了定期的培训课程。政府还通过了一项国家发展计划，在</w:t>
      </w:r>
      <w:r>
        <w:rPr>
          <w:rFonts w:hint="eastAsia"/>
        </w:rPr>
        <w:t>2006</w:t>
      </w:r>
      <w:r>
        <w:rPr>
          <w:rFonts w:hint="eastAsia"/>
        </w:rPr>
        <w:t>年至</w:t>
      </w:r>
      <w:r>
        <w:rPr>
          <w:rFonts w:hint="eastAsia"/>
        </w:rPr>
        <w:t>2009</w:t>
      </w:r>
      <w:r>
        <w:rPr>
          <w:rFonts w:hint="eastAsia"/>
        </w:rPr>
        <w:t>年期间打击人口贩运。</w:t>
      </w:r>
    </w:p>
    <w:p w:rsidR="00713406" w:rsidRDefault="00713406">
      <w:pPr>
        <w:spacing w:line="346" w:lineRule="exact"/>
        <w:rPr>
          <w:rFonts w:hint="eastAsia"/>
        </w:rPr>
      </w:pPr>
      <w:r>
        <w:t>7.</w:t>
      </w:r>
      <w:r>
        <w:tab/>
      </w:r>
      <w:r>
        <w:rPr>
          <w:rFonts w:hint="eastAsia"/>
        </w:rPr>
        <w:t>在受害者支助方面，爱沙尼亚开设了一条热线，并与其他北欧国家和波罗的海国家一道参与了一个帮助为性剥削目的而遭贩运的妇女安全回返和重返社会的试点项目。</w:t>
      </w:r>
      <w:r>
        <w:rPr>
          <w:rFonts w:hint="eastAsia"/>
        </w:rPr>
        <w:t>2007</w:t>
      </w:r>
      <w:r>
        <w:rPr>
          <w:rFonts w:hint="eastAsia"/>
        </w:rPr>
        <w:t>年建立了三家贩运妇女受害者收容所。</w:t>
      </w:r>
      <w:r>
        <w:rPr>
          <w:rFonts w:hint="eastAsia"/>
        </w:rPr>
        <w:t>2004</w:t>
      </w:r>
      <w:r>
        <w:rPr>
          <w:rFonts w:hint="eastAsia"/>
        </w:rPr>
        <w:t>年，爱沙尼亚批准了《联合国打击跨国有组织犯罪公约关于预防、禁止和惩治贩运人口特别是妇女和儿童行为的补充议定书》。</w:t>
      </w:r>
    </w:p>
    <w:p w:rsidR="00713406" w:rsidRDefault="00713406">
      <w:pPr>
        <w:rPr>
          <w:rFonts w:hint="eastAsia"/>
        </w:rPr>
      </w:pPr>
      <w:r>
        <w:t>8.</w:t>
      </w:r>
      <w:r>
        <w:tab/>
      </w:r>
      <w:r>
        <w:rPr>
          <w:rFonts w:hint="eastAsia"/>
        </w:rPr>
        <w:t>关于对妇女的暴力问题，她强调有必要就家庭暴力的流行情况、原因和结果开展进一步定性和定量研究。首家妇女收容所于</w:t>
      </w:r>
      <w:r>
        <w:rPr>
          <w:rFonts w:hint="eastAsia"/>
        </w:rPr>
        <w:t>2002</w:t>
      </w:r>
      <w:r>
        <w:rPr>
          <w:rFonts w:hint="eastAsia"/>
        </w:rPr>
        <w:t>年</w:t>
      </w:r>
      <w:r>
        <w:rPr>
          <w:rFonts w:hint="eastAsia"/>
        </w:rPr>
        <w:t>12</w:t>
      </w:r>
      <w:r>
        <w:rPr>
          <w:rFonts w:hint="eastAsia"/>
        </w:rPr>
        <w:t>月成立，但是亟需额外设施。目前尚无对犯罪者的支助服务。</w:t>
      </w:r>
      <w:r>
        <w:rPr>
          <w:rFonts w:hint="eastAsia"/>
        </w:rPr>
        <w:t>2005</w:t>
      </w:r>
      <w:r>
        <w:rPr>
          <w:rFonts w:hint="eastAsia"/>
        </w:rPr>
        <w:t>年发起了一场名为“如果爱使人受伤”的大规模公众认识活动，爱沙尼亚社会项目中心为受害者组织了每周一次的支助组。</w:t>
      </w:r>
      <w:r>
        <w:rPr>
          <w:rFonts w:hint="eastAsia"/>
        </w:rPr>
        <w:t>2005</w:t>
      </w:r>
      <w:r>
        <w:rPr>
          <w:rFonts w:hint="eastAsia"/>
        </w:rPr>
        <w:t>年设立了针对暴力男性的试点组。制定了一项由许多领域的各种活动构成的家庭暴力国家行动计划，并将于</w:t>
      </w:r>
      <w:r>
        <w:rPr>
          <w:rFonts w:hint="eastAsia"/>
        </w:rPr>
        <w:t>2008</w:t>
      </w:r>
      <w:r>
        <w:rPr>
          <w:rFonts w:hint="eastAsia"/>
        </w:rPr>
        <w:t>年执行。根据《民事诉讼法》和《刑事诉讼法》，现在授权法院可以对犯罪者发出各种禁止令。</w:t>
      </w:r>
    </w:p>
    <w:p w:rsidR="00713406" w:rsidRDefault="00713406">
      <w:pPr>
        <w:rPr>
          <w:rFonts w:hint="eastAsia"/>
        </w:rPr>
      </w:pPr>
      <w:r>
        <w:t>9.</w:t>
      </w:r>
      <w:r>
        <w:tab/>
      </w:r>
      <w:r>
        <w:rPr>
          <w:rFonts w:hint="eastAsia"/>
        </w:rPr>
        <w:t>关于妇女参与决策的问题，她指出新议会的议长和一位副议长都是女性，目前政府内有三位妇女担任部长职务。但是，正如最近一项关于妇女和施政的调查所表明的，在国家和地方一级的选举中，妇女当选的可能性仍然要低于男子。大众媒体持续一贯地强化政治领域基于性别的定型观念，身处高层的女政治家时常感到与其男性对应方相比，她们的地位很不利。为改进这种局面，各种非政府组织已得到社会事务部的资助，以执行旨在增加妇女参与政治生活的项目。</w:t>
      </w:r>
    </w:p>
    <w:p w:rsidR="00713406" w:rsidRDefault="00713406">
      <w:pPr>
        <w:rPr>
          <w:rFonts w:hint="eastAsia"/>
        </w:rPr>
      </w:pPr>
      <w:r>
        <w:t>10.</w:t>
      </w:r>
      <w:r>
        <w:tab/>
      </w:r>
      <w:r>
        <w:rPr>
          <w:rFonts w:hint="eastAsia"/>
        </w:rPr>
        <w:t>爱沙尼亚经济的快速增长大幅度降低了失业率，而且的确自</w:t>
      </w:r>
      <w:r>
        <w:rPr>
          <w:rFonts w:hint="eastAsia"/>
        </w:rPr>
        <w:t>1995</w:t>
      </w:r>
      <w:r>
        <w:rPr>
          <w:rFonts w:hint="eastAsia"/>
        </w:rPr>
        <w:t>年以来，与妇女相比有更多的男子处于失业状态。最近的劳动力短缺意味着较大数目的妇女，特别是老年妇女开始就业。为了提高人们对目前男女薪资差距的认识并尝试改变大众的态度，媒体对这一问题进行了充分的报道。作为欧盟成员国，爱沙尼亚在欧洲共同体性别平等框架战略（</w:t>
      </w:r>
      <w:r>
        <w:t>2001-2005</w:t>
      </w:r>
      <w:r>
        <w:rPr>
          <w:rFonts w:hint="eastAsia"/>
        </w:rPr>
        <w:t>年）的背景下实施了许多项目，包括一项旨在支持妇女从事私营部门职业的倡议。</w:t>
      </w:r>
    </w:p>
    <w:p w:rsidR="00713406" w:rsidRDefault="00713406">
      <w:pPr>
        <w:rPr>
          <w:rFonts w:hint="eastAsia"/>
        </w:rPr>
      </w:pPr>
      <w:r>
        <w:t>11.</w:t>
      </w:r>
      <w:r>
        <w:tab/>
      </w:r>
      <w:r>
        <w:rPr>
          <w:rFonts w:hint="eastAsia"/>
        </w:rPr>
        <w:t>此外，一个包括爱沙尼亚和非洲在内并由欧盟共同供资、关于私营部门平等机会的结对项目将在</w:t>
      </w:r>
      <w:r>
        <w:rPr>
          <w:rFonts w:hint="eastAsia"/>
        </w:rPr>
        <w:t>2007-2008</w:t>
      </w:r>
      <w:r>
        <w:rPr>
          <w:rFonts w:hint="eastAsia"/>
        </w:rPr>
        <w:t>年期间执行，目的是在私营部门内提高对工作场所性别平等法律标准、政策和最佳做法的认识。已发行了一些宣传材料，其中包括国际劳工组织出版的题为《女性工作者权利和性别平等入门》的手册和一本英语</w:t>
      </w:r>
      <w:r>
        <w:rPr>
          <w:rFonts w:hint="eastAsia"/>
        </w:rPr>
        <w:t>-</w:t>
      </w:r>
      <w:r>
        <w:rPr>
          <w:rFonts w:hint="eastAsia"/>
        </w:rPr>
        <w:t>爱沙尼亚语平等术语词典。</w:t>
      </w:r>
    </w:p>
    <w:p w:rsidR="00713406" w:rsidRDefault="00713406">
      <w:pPr>
        <w:rPr>
          <w:rFonts w:hint="eastAsia"/>
        </w:rPr>
      </w:pPr>
      <w:r>
        <w:t>12.</w:t>
      </w:r>
      <w:r>
        <w:tab/>
        <w:t>2004</w:t>
      </w:r>
      <w:r>
        <w:rPr>
          <w:rFonts w:hint="eastAsia"/>
        </w:rPr>
        <w:t>年的《父母津贴法》旨在补偿在孩子出生第一年内留在家中的父母的收入损失。津贴由国家预算支付，选择休假的父母有权得到相当于其薪水全额的补偿。在孩子出生前未就业的父母也有权得到每月固定的津贴。父亲在要求得到父母津贴的人中仅占</w:t>
      </w:r>
      <w:r>
        <w:rPr>
          <w:rFonts w:hint="eastAsia"/>
        </w:rPr>
        <w:t>1%</w:t>
      </w:r>
      <w:r>
        <w:rPr>
          <w:rFonts w:hint="eastAsia"/>
        </w:rPr>
        <w:t>，因此必须进一步努力以在总体上促使他们更多地参与子女抚养和家庭生活。此外还必须采取措施改变雇主对育儿假的态度。</w:t>
      </w:r>
    </w:p>
    <w:p w:rsidR="00713406" w:rsidRDefault="00713406">
      <w:pPr>
        <w:spacing w:line="334" w:lineRule="exact"/>
        <w:rPr>
          <w:rFonts w:hint="eastAsia"/>
        </w:rPr>
      </w:pPr>
      <w:r>
        <w:t>13.</w:t>
      </w:r>
      <w:r>
        <w:tab/>
      </w:r>
      <w:r>
        <w:rPr>
          <w:rFonts w:hint="eastAsia"/>
        </w:rPr>
        <w:t>最后再回到妇女健康问题上时，她回顾说委员会在关于初次、第二次和第三次合并定期报告的结论性评论中表示了对爱沙尼亚艾滋病毒</w:t>
      </w:r>
      <w:r>
        <w:rPr>
          <w:rFonts w:hint="eastAsia"/>
        </w:rPr>
        <w:t>/</w:t>
      </w:r>
      <w:r>
        <w:rPr>
          <w:rFonts w:hint="eastAsia"/>
        </w:rPr>
        <w:t>艾滋病日益流行的关切。虽然这一流行病不断地引出问题，但是政府致力于防止其进一步蔓延，并因此通过了一项新的</w:t>
      </w:r>
      <w:r>
        <w:rPr>
          <w:rFonts w:hint="eastAsia"/>
        </w:rPr>
        <w:t>2006-2015</w:t>
      </w:r>
      <w:r>
        <w:rPr>
          <w:rFonts w:hint="eastAsia"/>
        </w:rPr>
        <w:t>年国家艾滋病毒</w:t>
      </w:r>
      <w:r>
        <w:rPr>
          <w:rFonts w:hint="eastAsia"/>
        </w:rPr>
        <w:t>/</w:t>
      </w:r>
      <w:r>
        <w:rPr>
          <w:rFonts w:hint="eastAsia"/>
        </w:rPr>
        <w:t>艾滋病战略及与之相关的</w:t>
      </w:r>
      <w:r>
        <w:rPr>
          <w:rFonts w:hint="eastAsia"/>
        </w:rPr>
        <w:t>2006-2009</w:t>
      </w:r>
      <w:r>
        <w:rPr>
          <w:rFonts w:hint="eastAsia"/>
        </w:rPr>
        <w:t>年行动计划。一个最近成立的多部门咨询机构将协调此战略的执行。战略由一系列有针对性的措施组成，旨在防止艾滋病在更广泛的人群中蔓延，特别是诸如妓女和静脉注射吸毒者等弱势群体。</w:t>
      </w:r>
    </w:p>
    <w:p w:rsidR="00713406" w:rsidRDefault="00713406">
      <w:pPr>
        <w:rPr>
          <w:rFonts w:ascii="KaiTi_GB2312" w:eastAsia="KaiTi_GB2312" w:hint="eastAsia"/>
          <w:color w:val="0000FF"/>
        </w:rPr>
      </w:pPr>
      <w:r>
        <w:rPr>
          <w:rFonts w:ascii="KaiTi_GB2312" w:eastAsia="KaiTi_GB2312" w:hint="eastAsia"/>
          <w:color w:val="0000FF"/>
        </w:rPr>
        <w:t xml:space="preserve">第1条至第6条 </w:t>
      </w:r>
    </w:p>
    <w:p w:rsidR="00713406" w:rsidRDefault="00713406">
      <w:pPr>
        <w:spacing w:line="334" w:lineRule="exact"/>
        <w:rPr>
          <w:rFonts w:hint="eastAsia"/>
        </w:rPr>
      </w:pPr>
      <w:r>
        <w:t>14.</w:t>
      </w:r>
      <w:r>
        <w:tab/>
      </w:r>
      <w:r>
        <w:rPr>
          <w:rFonts w:ascii="SimHei" w:eastAsia="SimHei"/>
          <w:color w:val="FF0000"/>
        </w:rPr>
        <w:t>Flinterman</w:t>
      </w:r>
      <w:r>
        <w:rPr>
          <w:rFonts w:ascii="SimHei" w:eastAsia="SimHei" w:hint="eastAsia"/>
          <w:color w:val="FF0000"/>
        </w:rPr>
        <w:t>先生</w:t>
      </w:r>
      <w:r>
        <w:rPr>
          <w:rFonts w:hint="eastAsia"/>
        </w:rPr>
        <w:t>在提及新的《性别平等法》时询问该法是否已有英文译本，其对歧视的定义是否与《公约》第</w:t>
      </w:r>
      <w:r>
        <w:rPr>
          <w:rFonts w:hint="eastAsia"/>
        </w:rPr>
        <w:t>1</w:t>
      </w:r>
      <w:r>
        <w:rPr>
          <w:rFonts w:hint="eastAsia"/>
        </w:rPr>
        <w:t>条一致以及定义是否涵盖了性骚扰和对妇女的暴力。尽管《公约》高于爱沙尼亚本国法律，但法官在法律诉讼中并未援用《公约》。因此，他想了解政府是否采取了措施以提高司法部成员对《公约》的认识。根据本报告，性别平等专员被要求在对可能的歧视案例发表意见时须考虑到《公约》。如能了解到援引《公约》的意见的具体事例，委员会将非常感谢。</w:t>
      </w:r>
    </w:p>
    <w:p w:rsidR="00713406" w:rsidRDefault="00713406">
      <w:pPr>
        <w:rPr>
          <w:rFonts w:hint="eastAsia"/>
        </w:rPr>
      </w:pPr>
      <w:r>
        <w:t>15.</w:t>
      </w:r>
      <w:r>
        <w:tab/>
      </w:r>
      <w:r>
        <w:rPr>
          <w:rFonts w:hint="eastAsia"/>
        </w:rPr>
        <w:t>关于侵犯妇女权利的法律补救方法对确保性别平等政策的有效执行而言至关重要。虽然根据《性别平等法》有可能就基于性别的歧视要求赔偿，但是缔约国报告显示并非所有居住在爱沙尼亚的妇女都能够利用这个机会。而且，至今没人求助于由司法总监确定的调解程序。政府正在采取怎样的措施以保证这些补救方法能得到实际的应用？最后，他强调了《任择议定书》的重要性，认为它是在国内法律秩序范围内提高对《公约》整体认识的手段。他还询问缔约国计划何时批准该议定书。</w:t>
      </w:r>
    </w:p>
    <w:p w:rsidR="00713406" w:rsidRDefault="00713406">
      <w:pPr>
        <w:rPr>
          <w:rFonts w:hint="eastAsia"/>
        </w:rPr>
      </w:pPr>
      <w:r>
        <w:t>16.</w:t>
      </w:r>
      <w:r>
        <w:rPr>
          <w:rFonts w:ascii="SimHei" w:eastAsia="SimHei"/>
          <w:color w:val="FF0000"/>
        </w:rPr>
        <w:t xml:space="preserve"> Halperin-Kaddari</w:t>
      </w:r>
      <w:r>
        <w:rPr>
          <w:rFonts w:ascii="SimHei" w:eastAsia="SimHei" w:hint="eastAsia"/>
          <w:color w:val="FF0000"/>
        </w:rPr>
        <w:t>女士</w:t>
      </w:r>
      <w:r>
        <w:rPr>
          <w:rFonts w:hint="eastAsia"/>
        </w:rPr>
        <w:t>说，虽然为确保性别平等而建立的法律框架和国家机构给她留下了深刻印象，但是由于缺乏能够胜任的人员，它们似乎并未发挥出应有作用。书面资料介绍了性别平等专员的权利和任务，但却没有说明专员实际取得的业绩或有多少人为她工作。委员会将感谢所提供的信息，特别是关于专员参与拟议法律的性别分析以及性别平等理事会预计成立日期的信息。更多地了解赋予专员职责以监测一切形式歧视而不仅是基于性别的歧视的提案是有益的；这不一定是积极的进步。最后，她询问自愿调解程序是否只对妇女开放，或对所有歧视受害者开放，并要求提供一份在介绍性发言中提及的于</w:t>
      </w:r>
      <w:r>
        <w:rPr>
          <w:rFonts w:hint="eastAsia"/>
        </w:rPr>
        <w:t>2006</w:t>
      </w:r>
      <w:r>
        <w:rPr>
          <w:rFonts w:hint="eastAsia"/>
        </w:rPr>
        <w:t>年底公布的统计资料，内容是关于爱沙尼亚的妇女情况。</w:t>
      </w:r>
    </w:p>
    <w:p w:rsidR="00713406" w:rsidRDefault="00713406">
      <w:pPr>
        <w:spacing w:line="334" w:lineRule="exact"/>
        <w:rPr>
          <w:rFonts w:hint="eastAsia"/>
        </w:rPr>
      </w:pPr>
      <w:r>
        <w:t>17.</w:t>
      </w:r>
      <w: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hint="eastAsia"/>
        </w:rPr>
        <w:t>说，几乎所有其他的欧洲联盟成员国都已通过了《任择议定书》，她想知道是什么阻碍了爱沙尼亚采取同样的做法。委员会还想知道议会是否参与了报告的编制，以及其结论性意见是否转交给适当政府部门以开展后续工作。以前的结论性意见呼吁制定措施以提高司法部成员、律师和警官对《公约》的认识：已经为此筹备任何具体方案了吗？鉴于一些非政府组织对性别平等专员缺乏独立性的批评，她想知道专员的任期以及这是否取决于负责部长的决定。了解采取了怎样的行动以回应专员所提意见以及是否有寻求补偿的案例是有帮助的。</w:t>
      </w:r>
    </w:p>
    <w:p w:rsidR="00713406" w:rsidRDefault="00713406">
      <w:pPr>
        <w:rPr>
          <w:rFonts w:hint="eastAsia"/>
        </w:rPr>
      </w:pPr>
      <w:r>
        <w:t>18.</w:t>
      </w:r>
      <w:r>
        <w:tab/>
      </w:r>
      <w:r>
        <w:rPr>
          <w:rFonts w:ascii="SimHei" w:eastAsia="SimHei"/>
          <w:color w:val="FF0000"/>
        </w:rPr>
        <w:t>Kaljurand</w:t>
      </w:r>
      <w:r>
        <w:rPr>
          <w:rFonts w:ascii="SimHei" w:eastAsia="SimHei" w:hint="eastAsia"/>
          <w:color w:val="FF0000"/>
        </w:rPr>
        <w:t>女士</w:t>
      </w:r>
      <w:r>
        <w:rPr>
          <w:rFonts w:hint="eastAsia"/>
        </w:rPr>
        <w:t>（爱沙尼亚）说，尽管在《公约》所涉及的各个层面和各个领域，爱沙尼亚的妇女状况尚不理想，但自上次定期报告以来已有所改善，而且预计这种趋势将会继续下去。</w:t>
      </w:r>
    </w:p>
    <w:p w:rsidR="00713406" w:rsidRDefault="00713406">
      <w:pPr>
        <w:spacing w:line="346" w:lineRule="exact"/>
        <w:rPr>
          <w:rFonts w:hint="eastAsia"/>
        </w:rPr>
      </w:pPr>
      <w:r>
        <w:t>19.</w:t>
      </w:r>
      <w:r>
        <w:tab/>
      </w:r>
      <w:r>
        <w:rPr>
          <w:rFonts w:ascii="SimHei" w:eastAsia="SimHei"/>
          <w:color w:val="FF0000"/>
        </w:rPr>
        <w:t>Papp</w:t>
      </w:r>
      <w:r>
        <w:rPr>
          <w:rFonts w:ascii="SimHei" w:eastAsia="SimHei" w:hint="eastAsia"/>
          <w:color w:val="FF0000"/>
        </w:rPr>
        <w:t>女士</w:t>
      </w:r>
      <w:r>
        <w:rPr>
          <w:rFonts w:hint="eastAsia"/>
        </w:rPr>
        <w:t>（爱沙尼亚）说，《性别平等法》包含性别平等的定义，规定男女在社会生活的各个方面有平等的权利、义务和机会，该法案涵盖了《公约》的所有条款。由于法案是在爱沙尼亚成为欧洲联盟成员国之前起草的，因此并未考虑到欧盟的指令。政府计划根据从属关系和扶养关系改进有关性骚扰的法律定义。至于对妇女的暴力，在《性别平等法》中没有涉及，可将其视为歧视并根据《刑法典》和《刑事诉讼法》提起法律诉讼。</w:t>
      </w:r>
    </w:p>
    <w:p w:rsidR="00713406" w:rsidRDefault="00713406">
      <w:pPr>
        <w:rPr>
          <w:rFonts w:hint="eastAsia"/>
        </w:rPr>
      </w:pPr>
      <w:r>
        <w:t>20.</w:t>
      </w:r>
      <w:r>
        <w:tab/>
      </w:r>
      <w:r>
        <w:rPr>
          <w:rFonts w:ascii="SimHei" w:eastAsia="SimHei"/>
          <w:color w:val="FF0000"/>
        </w:rPr>
        <w:t>Kaljurand</w:t>
      </w:r>
      <w:r>
        <w:rPr>
          <w:rFonts w:ascii="SimHei" w:eastAsia="SimHei" w:hint="eastAsia"/>
          <w:color w:val="FF0000"/>
        </w:rPr>
        <w:t>女士</w:t>
      </w:r>
      <w:r>
        <w:rPr>
          <w:rFonts w:hint="eastAsia"/>
        </w:rPr>
        <w:t>（爱沙尼亚）说，法庭诉讼中缺乏对《公约》的参阅属于一个更广泛问题的一部分：在法庭上爱沙尼亚批准的所有国际人权条约都具有法律效力。法官熟悉《公约》，他们接受过这方面的培训，但仍不习惯援用国际条约。提高认识方案对此给予了特别关注。</w:t>
      </w:r>
    </w:p>
    <w:p w:rsidR="00713406" w:rsidRDefault="00713406">
      <w:pPr>
        <w:spacing w:line="346" w:lineRule="exact"/>
        <w:rPr>
          <w:rFonts w:hint="eastAsia"/>
        </w:rPr>
      </w:pPr>
      <w:r>
        <w:t>21.</w:t>
      </w:r>
      <w:r>
        <w:tab/>
      </w:r>
      <w:r>
        <w:rPr>
          <w:rFonts w:ascii="SimHei" w:eastAsia="SimHei"/>
          <w:color w:val="FF0000"/>
        </w:rPr>
        <w:t>Hion</w:t>
      </w:r>
      <w:r>
        <w:rPr>
          <w:rFonts w:ascii="SimHei" w:eastAsia="SimHei" w:hint="eastAsia"/>
          <w:color w:val="FF0000"/>
        </w:rPr>
        <w:t>女士</w:t>
      </w:r>
      <w:r>
        <w:rPr>
          <w:rFonts w:hint="eastAsia"/>
        </w:rPr>
        <w:t>（爱沙尼亚）说，自国家独立以来，已起草并颁布了许多新的法律，而这些法律仍在不断改进当中。爱沙尼亚每批准一项国际条约，就需要通过新的规定以涵盖所有因此而产生的新义务，特别是由于法官偏好援用国内法律。他们确实在接受必要的培训，但是提高认识是一个持续的过程。在报告编制过程中，政府与非政府组织开展了良好合作，其中一些非政府组织对报告编制做出了积极的贡献，而另外的非政府组织则更倾向于起草他们自己的影子报告。委员会</w:t>
      </w:r>
      <w:r>
        <w:rPr>
          <w:rFonts w:hint="eastAsia"/>
        </w:rPr>
        <w:t>2002</w:t>
      </w:r>
      <w:r>
        <w:rPr>
          <w:rFonts w:hint="eastAsia"/>
        </w:rPr>
        <w:t>年的结论性意见已经翻译完成并转交给包括性别平等专员在内的所有相关部门和管理当局以及议会。对于即将提出的结论性意见也将沿袭相同做法。</w:t>
      </w:r>
    </w:p>
    <w:p w:rsidR="00713406" w:rsidRDefault="00713406">
      <w:pPr>
        <w:rPr>
          <w:rFonts w:hint="eastAsia"/>
        </w:rPr>
      </w:pPr>
      <w:r>
        <w:t>22.</w:t>
      </w:r>
      <w:r>
        <w:tab/>
      </w:r>
      <w:r>
        <w:rPr>
          <w:rFonts w:ascii="SimHei" w:eastAsia="SimHei"/>
          <w:color w:val="FF0000"/>
        </w:rPr>
        <w:t>Kaljurand</w:t>
      </w:r>
      <w:r>
        <w:rPr>
          <w:rFonts w:ascii="SimHei" w:eastAsia="SimHei" w:hint="eastAsia"/>
          <w:color w:val="FF0000"/>
        </w:rPr>
        <w:t>女士</w:t>
      </w:r>
      <w:r>
        <w:rPr>
          <w:rFonts w:hint="eastAsia"/>
        </w:rPr>
        <w:t>（爱沙尼亚）强调性别平等专员是一位独立、公正的专家，在社会事务部的预算内拥有自己的预算拨款。</w:t>
      </w:r>
    </w:p>
    <w:p w:rsidR="00713406" w:rsidRDefault="00713406">
      <w:pPr>
        <w:rPr>
          <w:rFonts w:hint="eastAsia"/>
        </w:rPr>
      </w:pPr>
      <w:r>
        <w:t>23.</w:t>
      </w:r>
      <w:r>
        <w:tab/>
      </w:r>
      <w:r>
        <w:rPr>
          <w:rFonts w:ascii="SimHei" w:eastAsia="SimHei"/>
          <w:color w:val="FF0000"/>
        </w:rPr>
        <w:t>Viik</w:t>
      </w:r>
      <w:r>
        <w:rPr>
          <w:rFonts w:ascii="SimHei" w:eastAsia="SimHei" w:hint="eastAsia"/>
          <w:color w:val="FF0000"/>
        </w:rPr>
        <w:t>女士</w:t>
      </w:r>
      <w:r>
        <w:rPr>
          <w:rFonts w:hint="eastAsia"/>
        </w:rPr>
        <w:t>（爱沙尼亚）说，专员由社会事务部任命，任期五年，而任期中止的原因只能是逝世、辞职或不胜任。现任专员在任命的第一年处理了许多关于歧视的个人投诉，并根据请求澄清了法律上的观点。其中许多请求是由包括地方政府在内的雇主提出的，由此显示了对遵守生效法律的关注，这是值得称赞的。</w:t>
      </w:r>
    </w:p>
    <w:p w:rsidR="00713406" w:rsidRDefault="00713406">
      <w:pPr>
        <w:rPr>
          <w:rFonts w:hint="eastAsia"/>
        </w:rPr>
      </w:pPr>
      <w:r>
        <w:t>24.</w:t>
      </w:r>
      <w:r>
        <w:tab/>
      </w:r>
      <w:r>
        <w:rPr>
          <w:rFonts w:hint="eastAsia"/>
        </w:rPr>
        <w:t>专员还积极地发表演讲、参加讲习班以及使公众普遍了解她和她的办公室。她帮助分析《家庭法》草案和《保险法》草案，旨在确保在本领域与欧洲联盟反歧视法律相一致；她参与了关于目前正在接受议会审查的《性别平等法》影响的讨论。还计划了另一部反歧视法律，所针对的不是基于性别的歧视，而是在宗教、年龄及其他方面的歧视；该法的执行也委托给了性别平等专员，因为爱沙尼亚仅有</w:t>
      </w:r>
      <w:r>
        <w:rPr>
          <w:rFonts w:hint="eastAsia"/>
        </w:rPr>
        <w:t>130</w:t>
      </w:r>
      <w:r>
        <w:rPr>
          <w:rFonts w:hint="eastAsia"/>
        </w:rPr>
        <w:t>万人口，所以一个机构足以在任何情况下应对所有的歧视案件。而且，根据预计于</w:t>
      </w:r>
      <w:r>
        <w:rPr>
          <w:rFonts w:hint="eastAsia"/>
        </w:rPr>
        <w:t>2007</w:t>
      </w:r>
      <w:r>
        <w:rPr>
          <w:rFonts w:hint="eastAsia"/>
        </w:rPr>
        <w:t>年年底通过的新法，专员办公室的人力资源将得到适当的加强。</w:t>
      </w:r>
    </w:p>
    <w:p w:rsidR="00713406" w:rsidRDefault="00713406">
      <w:pPr>
        <w:rPr>
          <w:rFonts w:hint="eastAsia"/>
        </w:rPr>
      </w:pPr>
      <w:r>
        <w:t>25.</w:t>
      </w:r>
      <w:r>
        <w:tab/>
      </w:r>
      <w:r>
        <w:rPr>
          <w:rFonts w:hint="eastAsia"/>
        </w:rPr>
        <w:t>自愿调解程序没有得到充分利用；正在开展提高认识活动以鼓励公民求助于该调解程序。至于性别平等理事会的设立，认为更重要的是首先设立一个处理投诉的机制；理事会组成也是一个关注点，它不仅要包括有关组织的代表，还需要有性别专家，而爱沙尼亚恰恰缺少性别专家。但是希望能实现一种合适的搭配并在</w:t>
      </w:r>
      <w:r>
        <w:rPr>
          <w:rFonts w:hint="eastAsia"/>
        </w:rPr>
        <w:t>2008</w:t>
      </w:r>
      <w:r>
        <w:rPr>
          <w:rFonts w:hint="eastAsia"/>
        </w:rPr>
        <w:t>年初组建理事会。</w:t>
      </w:r>
    </w:p>
    <w:p w:rsidR="00713406" w:rsidRDefault="00713406">
      <w:pPr>
        <w:spacing w:line="346" w:lineRule="exact"/>
        <w:rPr>
          <w:rFonts w:hint="eastAsia"/>
        </w:rPr>
      </w:pPr>
      <w:r>
        <w:t>26.</w:t>
      </w:r>
      <w:r>
        <w:tab/>
      </w:r>
      <w:r>
        <w:rPr>
          <w:rFonts w:ascii="SimHei" w:eastAsia="SimHei"/>
          <w:color w:val="FF0000"/>
        </w:rPr>
        <w:t>Kaljurand</w:t>
      </w:r>
      <w:r>
        <w:rPr>
          <w:rFonts w:ascii="SimHei" w:eastAsia="SimHei" w:hint="eastAsia"/>
          <w:color w:val="FF0000"/>
        </w:rPr>
        <w:t>女士</w:t>
      </w:r>
      <w:r>
        <w:rPr>
          <w:rFonts w:hint="eastAsia"/>
        </w:rPr>
        <w:t>（爱沙尼亚）说，爱沙尼亚认识到了《任择议定书》的重要性，为此在</w:t>
      </w:r>
      <w:r>
        <w:rPr>
          <w:rFonts w:hint="eastAsia"/>
        </w:rPr>
        <w:t>2006</w:t>
      </w:r>
      <w:r>
        <w:rPr>
          <w:rFonts w:hint="eastAsia"/>
        </w:rPr>
        <w:t>年做出了翻译上的安排。目前它是内部司法程序的问题，很快将被提交到政府和议会。她不能给出日期，但是向委员会保证政府正对此问题进行认真审议，并且预计将尽快批准《任择议定书》。</w:t>
      </w:r>
      <w:r>
        <w:rPr>
          <w:rFonts w:hint="eastAsia"/>
        </w:rPr>
        <w:t xml:space="preserve"> </w:t>
      </w:r>
    </w:p>
    <w:p w:rsidR="00713406" w:rsidRDefault="00713406">
      <w:pPr>
        <w:rPr>
          <w:rFonts w:hint="eastAsia"/>
        </w:rPr>
      </w:pPr>
      <w:r>
        <w:t>27.</w:t>
      </w:r>
      <w:r>
        <w:tab/>
      </w:r>
      <w:r>
        <w:rPr>
          <w:rFonts w:ascii="SimHei" w:eastAsia="SimHei"/>
          <w:color w:val="FF0000"/>
        </w:rPr>
        <w:t>Pikhof</w:t>
      </w:r>
      <w:r>
        <w:rPr>
          <w:rFonts w:ascii="SimHei" w:eastAsia="SimHei" w:hint="eastAsia"/>
          <w:color w:val="FF0000"/>
        </w:rPr>
        <w:t>女士</w:t>
      </w:r>
      <w:r>
        <w:rPr>
          <w:rFonts w:hint="eastAsia"/>
        </w:rPr>
        <w:t>（爱沙尼亚）回应了关于议会参与妇女事务的问题。她说依据传统在议会成立了妇女联盟以解决这些问题。</w:t>
      </w:r>
      <w:r>
        <w:rPr>
          <w:rFonts w:hint="eastAsia"/>
        </w:rPr>
        <w:t>2002</w:t>
      </w:r>
      <w:r>
        <w:rPr>
          <w:rFonts w:hint="eastAsia"/>
        </w:rPr>
        <w:t>年，妇女联盟分析了委员会建议。</w:t>
      </w:r>
      <w:r>
        <w:rPr>
          <w:rFonts w:hint="eastAsia"/>
        </w:rPr>
        <w:t>2007</w:t>
      </w:r>
      <w:r>
        <w:rPr>
          <w:rFonts w:hint="eastAsia"/>
        </w:rPr>
        <w:t>年秋，在新一届议会会议开始时将重新设立妇女联盟。</w:t>
      </w:r>
    </w:p>
    <w:p w:rsidR="00713406" w:rsidRDefault="00713406">
      <w:pPr>
        <w:rPr>
          <w:rFonts w:hint="eastAsia"/>
        </w:rPr>
      </w:pPr>
      <w:r>
        <w:t>28.</w:t>
      </w:r>
      <w:r>
        <w:tab/>
      </w:r>
      <w:r>
        <w:rPr>
          <w:rFonts w:ascii="SimHei" w:eastAsia="SimHei"/>
          <w:color w:val="FF0000"/>
        </w:rPr>
        <w:t>Kaljurand</w:t>
      </w:r>
      <w:r>
        <w:rPr>
          <w:rFonts w:ascii="SimHei" w:eastAsia="SimHei" w:hint="eastAsia"/>
          <w:color w:val="FF0000"/>
        </w:rPr>
        <w:t>女士</w:t>
      </w:r>
      <w:r>
        <w:rPr>
          <w:rFonts w:hint="eastAsia"/>
        </w:rPr>
        <w:t>（爱沙尼亚）告知委员会她将提供自己在介绍性发言中所提及统计资料的更多副本。她强调直到性别平等专员提交其第一份报告后，才能对她的工作做出全面评价。</w:t>
      </w:r>
    </w:p>
    <w:p w:rsidR="00713406" w:rsidRDefault="00713406">
      <w:pPr>
        <w:spacing w:line="348" w:lineRule="exact"/>
        <w:rPr>
          <w:rFonts w:hint="eastAsia"/>
        </w:rPr>
      </w:pPr>
      <w:r>
        <w:t>29.</w:t>
      </w:r>
      <w:r>
        <w:tab/>
      </w:r>
      <w:r>
        <w:rPr>
          <w:rFonts w:ascii="SimHei" w:eastAsia="SimHei"/>
          <w:color w:val="FF0000"/>
        </w:rPr>
        <w:t>Saiga</w:t>
      </w:r>
      <w:r>
        <w:rPr>
          <w:rFonts w:ascii="SimHei" w:eastAsia="SimHei" w:hint="eastAsia"/>
          <w:color w:val="FF0000"/>
        </w:rPr>
        <w:t>女士</w:t>
      </w:r>
      <w:r>
        <w:rPr>
          <w:rFonts w:hint="eastAsia"/>
        </w:rPr>
        <w:t>说，她希望了解性别平等专员是否建议遭受歧视的个人将其案件提交法庭，政府机构及其他有关当局是否必须遵从专员的意见。此外，她还希望知道司法总监是否履行了监察员的职责。应当提供有关性别平等理事会的筹资和召集以及有关社会事务部性别平等司的具体方案和咨询职能的额外信息。</w:t>
      </w:r>
      <w:r>
        <w:rPr>
          <w:rFonts w:hint="eastAsia"/>
        </w:rPr>
        <w:t xml:space="preserve"> </w:t>
      </w:r>
    </w:p>
    <w:p w:rsidR="00713406" w:rsidRDefault="00713406">
      <w:pPr>
        <w:spacing w:line="348" w:lineRule="exact"/>
        <w:rPr>
          <w:rFonts w:hint="eastAsia"/>
        </w:rPr>
      </w:pPr>
      <w:r>
        <w:t>30.</w:t>
      </w:r>
      <w:r>
        <w:tab/>
      </w:r>
      <w:r>
        <w:rPr>
          <w:rFonts w:ascii="SimHei" w:eastAsia="SimHei"/>
          <w:color w:val="FF0000"/>
        </w:rPr>
        <w:t>Arocha Dom</w:t>
      </w:r>
      <w:r>
        <w:rPr>
          <w:rFonts w:ascii="SimHei" w:eastAsia="SimHei"/>
          <w:color w:val="FF0000"/>
        </w:rPr>
        <w:t>í</w:t>
      </w:r>
      <w:r>
        <w:rPr>
          <w:rFonts w:ascii="SimHei" w:eastAsia="SimHei"/>
          <w:color w:val="FF0000"/>
        </w:rPr>
        <w:t>nguez</w:t>
      </w:r>
      <w:r>
        <w:rPr>
          <w:rFonts w:ascii="SimHei" w:eastAsia="SimHei" w:hint="eastAsia"/>
          <w:color w:val="FF0000"/>
        </w:rPr>
        <w:t>女士</w:t>
      </w:r>
      <w:r>
        <w:rPr>
          <w:rFonts w:hint="eastAsia"/>
        </w:rPr>
        <w:t>说，仍然不清楚性别平等司怎么可能协调部门政策，因为其职责似乎是技术性而非管理性的。此外，她有兴趣更多地了解该司在向政府提供信息方面的作用和在地方一级的政策执行作用。应当说明推迟成立性别平等理事会的原因。缔约国应解释政府采取了哪些措施以确保由联合国和欧盟资助的项目的可持续性。</w:t>
      </w:r>
    </w:p>
    <w:p w:rsidR="00713406" w:rsidRDefault="00713406">
      <w:pPr>
        <w:spacing w:line="348" w:lineRule="exact"/>
        <w:rPr>
          <w:rFonts w:hint="eastAsia"/>
        </w:rPr>
      </w:pPr>
      <w:r>
        <w:t>31.</w:t>
      </w:r>
      <w:r>
        <w:tab/>
      </w:r>
      <w:r>
        <w:rPr>
          <w:rFonts w:ascii="SimHei" w:eastAsia="SimHei"/>
          <w:color w:val="FF0000"/>
        </w:rPr>
        <w:t>Tavares da Silva</w:t>
      </w:r>
      <w:r>
        <w:rPr>
          <w:rFonts w:ascii="SimHei" w:eastAsia="SimHei" w:hint="eastAsia"/>
          <w:color w:val="FF0000"/>
        </w:rPr>
        <w:t>女士</w:t>
      </w:r>
      <w:r>
        <w:rPr>
          <w:rFonts w:hint="eastAsia"/>
        </w:rPr>
        <w:t>说，她希望了解采取了哪些措施以确保性别平等机制能够促进与性别角色和定型观念有关的文化和结构改革。应当注意到《公约》第</w:t>
      </w:r>
      <w:r>
        <w:rPr>
          <w:rFonts w:hint="eastAsia"/>
        </w:rPr>
        <w:t>5</w:t>
      </w:r>
      <w:r>
        <w:rPr>
          <w:rFonts w:hint="eastAsia"/>
        </w:rPr>
        <w:t>条要求缔约国采用积极主动的方法以改变文化态度。应当澄清《性别平等法》是否设想了任何暂行特别措施以改变性别定型观念。</w:t>
      </w:r>
    </w:p>
    <w:p w:rsidR="00713406" w:rsidRDefault="00713406">
      <w:pPr>
        <w:spacing w:line="348" w:lineRule="exact"/>
        <w:rPr>
          <w:rFonts w:hint="eastAsia"/>
        </w:rPr>
      </w:pPr>
      <w:r>
        <w:t>32.</w:t>
      </w:r>
      <w:r>
        <w:tab/>
      </w:r>
      <w:r>
        <w:rPr>
          <w:rFonts w:hint="eastAsia"/>
        </w:rPr>
        <w:t>委员会欲更多地了解性别平等理事会和为促进性别平等而设立的部际委员会之间的关系，还想知道是否已制定了全面的计划。关于性别平等专员对《性别平等法》的监测，应当说明该法案成效是否正在接受评估。</w:t>
      </w:r>
    </w:p>
    <w:p w:rsidR="00713406" w:rsidRDefault="00713406">
      <w:pPr>
        <w:rPr>
          <w:rFonts w:hint="eastAsia"/>
        </w:rPr>
      </w:pPr>
      <w:r>
        <w:t>33.</w:t>
      </w:r>
      <w:r>
        <w:tab/>
      </w:r>
      <w:r>
        <w:rPr>
          <w:rFonts w:ascii="SimHei" w:eastAsia="SimHei" w:hint="eastAsia"/>
          <w:color w:val="FF0000"/>
        </w:rPr>
        <w:t>主席</w:t>
      </w:r>
      <w:r>
        <w:rPr>
          <w:rFonts w:hint="eastAsia"/>
        </w:rPr>
        <w:t>作为委员会成员发言时说，考虑到缺少国家行动计划，她希望了解政府如何确保性别平等定义方式的一致。而且，关于用以保证负责执行性别项目的机构的问责制，还应提供额外信息。</w:t>
      </w:r>
    </w:p>
    <w:p w:rsidR="00713406" w:rsidRDefault="00713406">
      <w:r>
        <w:t>34.</w:t>
      </w:r>
      <w:r>
        <w:tab/>
      </w:r>
      <w:r>
        <w:rPr>
          <w:rFonts w:ascii="SimHei" w:eastAsia="SimHei"/>
          <w:color w:val="FF0000"/>
        </w:rPr>
        <w:t>Kaljurand</w:t>
      </w:r>
      <w:r>
        <w:rPr>
          <w:rFonts w:ascii="SimHei" w:eastAsia="SimHei" w:hint="eastAsia"/>
          <w:color w:val="FF0000"/>
        </w:rPr>
        <w:t>女士</w:t>
      </w:r>
      <w:r>
        <w:rPr>
          <w:rFonts w:hint="eastAsia"/>
        </w:rPr>
        <w:t>（爱沙尼亚）在提及由联合国和欧盟资助的项目的可持续性时说，该国履行了确保项目长期可行性的职责。虽然国家行动计划尚未制定，但是性别平等已纳入了政府各种战略和政策之中。</w:t>
      </w:r>
      <w:r>
        <w:t xml:space="preserve"> </w:t>
      </w:r>
    </w:p>
    <w:p w:rsidR="00713406" w:rsidRDefault="00713406">
      <w:pPr>
        <w:rPr>
          <w:rFonts w:hint="eastAsia"/>
        </w:rPr>
      </w:pPr>
      <w:r>
        <w:t>35.</w:t>
      </w:r>
      <w:r>
        <w:tab/>
      </w:r>
      <w:r>
        <w:rPr>
          <w:rFonts w:ascii="SimHei" w:eastAsia="SimHei"/>
          <w:color w:val="FF0000"/>
        </w:rPr>
        <w:t>Sander</w:t>
      </w:r>
      <w:r>
        <w:rPr>
          <w:rFonts w:ascii="SimHei" w:eastAsia="SimHei" w:hint="eastAsia"/>
          <w:color w:val="FF0000"/>
        </w:rPr>
        <w:t>女士</w:t>
      </w:r>
      <w:r>
        <w:rPr>
          <w:rFonts w:hint="eastAsia"/>
        </w:rPr>
        <w:t>（爱沙尼亚）说，性别平等专员是一个咨询性质的职位，帮助那些希望将其案件提交法庭的个人；由个人决定是否将案件提交法庭。关于司法总监在解决歧视争端中的作用，调解程序适用于自然人和法人，与国家机构无关。如果双方商定继续提出诉讼，则司法总监拟议的解决方法具有法律约束力。</w:t>
      </w:r>
      <w:r>
        <w:rPr>
          <w:rFonts w:hint="eastAsia"/>
        </w:rPr>
        <w:t xml:space="preserve"> </w:t>
      </w:r>
    </w:p>
    <w:p w:rsidR="00713406" w:rsidRDefault="00713406">
      <w:pPr>
        <w:rPr>
          <w:rFonts w:hint="eastAsia"/>
        </w:rPr>
      </w:pPr>
      <w:r>
        <w:t>36.</w:t>
      </w:r>
      <w:r>
        <w:tab/>
      </w:r>
      <w:r>
        <w:rPr>
          <w:rFonts w:ascii="SimHei" w:eastAsia="SimHei"/>
          <w:color w:val="FF0000"/>
        </w:rPr>
        <w:t>Hion</w:t>
      </w:r>
      <w:r>
        <w:rPr>
          <w:rFonts w:ascii="SimHei" w:eastAsia="SimHei" w:hint="eastAsia"/>
          <w:color w:val="FF0000"/>
        </w:rPr>
        <w:t>女士</w:t>
      </w:r>
      <w:r>
        <w:rPr>
          <w:rFonts w:hint="eastAsia"/>
        </w:rPr>
        <w:t>（爱沙尼亚）说，依据爱沙尼亚法律有多种解决程序，而且调解程序是自愿的，要求双方都同意遵守结果。关于司法总监作为监察员的职责，他可以审查投诉，并向政府机构提出具体提议。政府机构在自愿基础上遵从这些提议。</w:t>
      </w:r>
    </w:p>
    <w:p w:rsidR="00713406" w:rsidRDefault="00713406">
      <w:pPr>
        <w:spacing w:line="346" w:lineRule="exact"/>
        <w:rPr>
          <w:rFonts w:hint="eastAsia"/>
        </w:rPr>
      </w:pPr>
      <w:r>
        <w:t>37.</w:t>
      </w:r>
      <w:r>
        <w:tab/>
      </w:r>
      <w:r>
        <w:rPr>
          <w:rFonts w:ascii="SimHei" w:eastAsia="SimHei"/>
          <w:color w:val="FF0000"/>
        </w:rPr>
        <w:t>Viik</w:t>
      </w:r>
      <w:r>
        <w:rPr>
          <w:rFonts w:ascii="SimHei" w:eastAsia="SimHei" w:hint="eastAsia"/>
          <w:color w:val="FF0000"/>
        </w:rPr>
        <w:t>女士</w:t>
      </w:r>
      <w:r>
        <w:rPr>
          <w:rFonts w:hint="eastAsia"/>
        </w:rPr>
        <w:t>（爱沙尼亚）说，</w:t>
      </w:r>
      <w:r>
        <w:rPr>
          <w:rFonts w:hint="eastAsia"/>
        </w:rPr>
        <w:t>2004</w:t>
      </w:r>
      <w:r>
        <w:rPr>
          <w:rFonts w:hint="eastAsia"/>
        </w:rPr>
        <w:t>年</w:t>
      </w:r>
      <w:r>
        <w:rPr>
          <w:rFonts w:hint="eastAsia"/>
        </w:rPr>
        <w:t>1</w:t>
      </w:r>
      <w:r>
        <w:rPr>
          <w:rFonts w:hint="eastAsia"/>
        </w:rPr>
        <w:t>月性别平等局被重组为性别平等部。在性别平等领域有五名工作人员，还有其他两名职员负责家庭政策的工作。当有需要时将有更多工作人员被派往该司从事具体项目的工作。该司是一个咨询性质的机构，在编制法律草案时会接受其他部门的咨询。媒体也会咨询该司，因为对于性别平等的文化态度发生了明显的变化，媒体给予性别问题以更多的关注。</w:t>
      </w:r>
    </w:p>
    <w:p w:rsidR="00713406" w:rsidRDefault="00713406">
      <w:r>
        <w:t>38.</w:t>
      </w:r>
      <w:r>
        <w:tab/>
      </w:r>
      <w:r>
        <w:rPr>
          <w:rFonts w:ascii="SimHei" w:eastAsia="SimHei"/>
          <w:color w:val="FF0000"/>
        </w:rPr>
        <w:t>Kaljurand</w:t>
      </w:r>
      <w:r>
        <w:rPr>
          <w:rFonts w:ascii="SimHei" w:eastAsia="SimHei" w:hint="eastAsia"/>
          <w:color w:val="FF0000"/>
        </w:rPr>
        <w:t>女士</w:t>
      </w:r>
      <w:r>
        <w:rPr>
          <w:rFonts w:hint="eastAsia"/>
        </w:rPr>
        <w:t>（爱沙尼亚）说，对性别作用的态度正在改变，政府已采取了一种积极主动的方法来解决性别定型观念问题。</w:t>
      </w:r>
      <w:r>
        <w:t xml:space="preserve"> </w:t>
      </w:r>
    </w:p>
    <w:p w:rsidR="00713406" w:rsidRDefault="00713406">
      <w:pPr>
        <w:rPr>
          <w:rFonts w:hint="eastAsia"/>
        </w:rPr>
      </w:pPr>
      <w:r>
        <w:t>39.</w:t>
      </w:r>
      <w:r>
        <w:tab/>
      </w:r>
      <w:r>
        <w:rPr>
          <w:rFonts w:ascii="SimHei" w:eastAsia="SimHei"/>
          <w:color w:val="FF0000"/>
        </w:rPr>
        <w:t>Papp</w:t>
      </w:r>
      <w:r>
        <w:rPr>
          <w:rFonts w:ascii="SimHei" w:eastAsia="SimHei" w:hint="eastAsia"/>
          <w:color w:val="FF0000"/>
        </w:rPr>
        <w:t>女士</w:t>
      </w:r>
      <w:r>
        <w:rPr>
          <w:rFonts w:hint="eastAsia"/>
        </w:rPr>
        <w:t>（爱沙尼亚）说，爱沙尼亚正在从社会主义经济向市场经济转变，在此背景下对于性别作用的态度也在迅速地发生变化。重要的是实施项目以确定正在出现的新定型观念，政府已启动计划活动来告知公众已经存在和正在形成的定型观念，非政府组织和工会也都参与了这些活动。关于部际委员会和性别平等理事会之间的关系，应当指出部际委员会是一个侧重于具体专题的工作组。</w:t>
      </w:r>
    </w:p>
    <w:p w:rsidR="00713406" w:rsidRDefault="00713406">
      <w:pPr>
        <w:spacing w:line="346" w:lineRule="exact"/>
        <w:rPr>
          <w:rFonts w:hint="eastAsia"/>
        </w:rPr>
      </w:pPr>
      <w:r>
        <w:t>40.</w:t>
      </w:r>
      <w:r>
        <w:tab/>
      </w:r>
      <w:r>
        <w:rPr>
          <w:rFonts w:hint="eastAsia"/>
        </w:rPr>
        <w:t>为了保证性别项目的可持续性，政府制定了一项直到</w:t>
      </w:r>
      <w:r>
        <w:rPr>
          <w:rFonts w:hint="eastAsia"/>
        </w:rPr>
        <w:t>2013</w:t>
      </w:r>
      <w:r>
        <w:rPr>
          <w:rFonts w:hint="eastAsia"/>
        </w:rPr>
        <w:t>年的预算战略，其中包括了具体指标以确保妇女平等参与政治和经济生活、解决薪资差距、确保经济独立性、防止对妇女的暴力以及把性别主流化内容纳入所有的部门政策。为地方当局提供了性别平等政策的培训，关于如何批准《男女地方生活平等欧洲宪章》的讨论正在进行当中。根据《宪章》，要求地方当局把性别平等纳入他们的行动计划当中，这将保证性别政策在地方一级的可持续性。</w:t>
      </w:r>
    </w:p>
    <w:p w:rsidR="00713406" w:rsidRDefault="00713406">
      <w:pPr>
        <w:spacing w:line="346" w:lineRule="exact"/>
        <w:rPr>
          <w:rFonts w:hint="eastAsia"/>
        </w:rPr>
      </w:pPr>
      <w:r>
        <w:t>41.</w:t>
      </w:r>
      <w:r>
        <w:tab/>
      </w:r>
      <w:r>
        <w:rPr>
          <w:rFonts w:ascii="SimHei" w:eastAsia="SimHei"/>
          <w:color w:val="FF0000"/>
        </w:rPr>
        <w:t>Kaljurand</w:t>
      </w:r>
      <w:r>
        <w:rPr>
          <w:rFonts w:ascii="SimHei" w:eastAsia="SimHei" w:hint="eastAsia"/>
          <w:color w:val="FF0000"/>
        </w:rPr>
        <w:t>女士</w:t>
      </w:r>
      <w:r>
        <w:rPr>
          <w:rFonts w:hint="eastAsia"/>
        </w:rPr>
        <w:t>（爱沙尼亚）说，教育部于</w:t>
      </w:r>
      <w:r>
        <w:rPr>
          <w:rFonts w:hint="eastAsia"/>
        </w:rPr>
        <w:t>2007</w:t>
      </w:r>
      <w:r>
        <w:rPr>
          <w:rFonts w:hint="eastAsia"/>
        </w:rPr>
        <w:t>年</w:t>
      </w:r>
      <w:r>
        <w:rPr>
          <w:rFonts w:hint="eastAsia"/>
        </w:rPr>
        <w:t>3</w:t>
      </w:r>
      <w:r>
        <w:rPr>
          <w:rFonts w:hint="eastAsia"/>
        </w:rPr>
        <w:t>月通过了一项规定，禁止基于性别、国家、文化、种族及其他偏见的定型观念。</w:t>
      </w:r>
    </w:p>
    <w:p w:rsidR="00713406" w:rsidRDefault="00713406">
      <w:pPr>
        <w:spacing w:line="346" w:lineRule="exact"/>
        <w:rPr>
          <w:rFonts w:hint="eastAsia"/>
        </w:rPr>
      </w:pPr>
      <w:r>
        <w:t>42.</w:t>
      </w:r>
      <w:r>
        <w:tab/>
      </w:r>
      <w:r>
        <w:rPr>
          <w:rFonts w:ascii="SimHei" w:eastAsia="SimHei"/>
          <w:color w:val="FF0000"/>
        </w:rPr>
        <w:t>Flinterman</w:t>
      </w:r>
      <w:r>
        <w:rPr>
          <w:rFonts w:ascii="SimHei" w:eastAsia="SimHei" w:hint="eastAsia"/>
          <w:color w:val="FF0000"/>
        </w:rPr>
        <w:t>先生</w:t>
      </w:r>
      <w:r>
        <w:rPr>
          <w:rFonts w:hint="eastAsia"/>
        </w:rPr>
        <w:t>注意到报告称民意测验结果显示大多数爱沙尼亚人反对利用配额制来提高妇女在议会和地方政府议会中的比例。他说尽管民意测验是有价值的，但不应作为违反缔约国根据《公约》所应承担义务的理由。《公约》规定缔约国有义务采取暂行特别措施以克服歧视妇女这一根深蒂固的历史模式。报告还称《性别平等法》规定要采取措施给予任职人数偏低的性别以特别的有利条件并帮助减少不平等。他想知道这些措施是否已得到执行，如果没有，政府是否打算引入某些措施。在对委员会议题和问题清单（</w:t>
      </w:r>
      <w:r>
        <w:t>CEDAW/C/EST/Q/4/Add.1</w:t>
      </w:r>
      <w:r>
        <w:rPr>
          <w:rFonts w:hint="eastAsia"/>
        </w:rPr>
        <w:t>）问题</w:t>
      </w:r>
      <w:r>
        <w:rPr>
          <w:rFonts w:hint="eastAsia"/>
        </w:rPr>
        <w:t>6</w:t>
      </w:r>
      <w:r>
        <w:rPr>
          <w:rFonts w:hint="eastAsia"/>
        </w:rPr>
        <w:t>的答复中提到的暂行特别措施，他要求举出具体事例。</w:t>
      </w:r>
    </w:p>
    <w:p w:rsidR="00713406" w:rsidRDefault="00713406">
      <w:pPr>
        <w:rPr>
          <w:rFonts w:hint="eastAsia"/>
        </w:rPr>
      </w:pPr>
      <w:r>
        <w:t>43.</w:t>
      </w:r>
      <w:r>
        <w:tab/>
      </w:r>
      <w:r>
        <w:rPr>
          <w:rFonts w:ascii="SimHei" w:eastAsia="SimHei"/>
          <w:color w:val="FF0000"/>
        </w:rPr>
        <w:t>Kaljurand</w:t>
      </w:r>
      <w:r>
        <w:rPr>
          <w:rFonts w:ascii="SimHei" w:eastAsia="SimHei" w:hint="eastAsia"/>
          <w:color w:val="FF0000"/>
        </w:rPr>
        <w:t>女士</w:t>
      </w:r>
      <w:r>
        <w:rPr>
          <w:rFonts w:hint="eastAsia"/>
        </w:rPr>
        <w:t>（爱沙尼亚）回应了</w:t>
      </w:r>
      <w:r>
        <w:t xml:space="preserve">Flinterman </w:t>
      </w:r>
      <w:r>
        <w:rPr>
          <w:rFonts w:hint="eastAsia"/>
        </w:rPr>
        <w:t>先生关于民意调查的评论，认为法律、政府行动和政策必须反映其在制定时的社会发展状况，因此公开提出问题是很重要的。在爱沙尼亚，民意有分歧的并不只是配额这一件事。卖淫是另一个存在严重分歧的问题。</w:t>
      </w:r>
    </w:p>
    <w:p w:rsidR="00713406" w:rsidRDefault="00713406">
      <w:pPr>
        <w:rPr>
          <w:rFonts w:hint="eastAsia"/>
        </w:rPr>
      </w:pPr>
      <w:r>
        <w:t>44.</w:t>
      </w:r>
      <w:r>
        <w:tab/>
      </w:r>
      <w:r>
        <w:rPr>
          <w:rFonts w:ascii="SimHei" w:eastAsia="SimHei"/>
          <w:color w:val="FF0000"/>
        </w:rPr>
        <w:t>Papp</w:t>
      </w:r>
      <w:r>
        <w:rPr>
          <w:rFonts w:ascii="SimHei" w:eastAsia="SimHei" w:hint="eastAsia"/>
          <w:color w:val="FF0000"/>
        </w:rPr>
        <w:t>女士</w:t>
      </w:r>
      <w:r>
        <w:rPr>
          <w:rFonts w:hint="eastAsia"/>
        </w:rPr>
        <w:t>（爱沙尼亚）说，配额在爱沙尼亚的各种论坛中都有所论及，现在爱沙尼亚人更多地认识到审议中的配额并非苏联时期适用的配额。尽管法律没有规定任何配额，但是妇女在国家和地方一级决策机构的代表性正在提高。例如现在议会的各个委员会都不缺少女性成员。关于解决具体问题的特别措施，为打击对妇女的暴力并协助受害者而采取行动就是一例。关于解决当前经济状况对妇女的过度影响的措施，政府正在劳动政策范围内采取行动。</w:t>
      </w:r>
    </w:p>
    <w:p w:rsidR="00713406" w:rsidRDefault="00713406">
      <w:pPr>
        <w:rPr>
          <w:rFonts w:hint="eastAsia"/>
        </w:rPr>
      </w:pPr>
      <w:r>
        <w:t>45.</w:t>
      </w:r>
      <w:r>
        <w:tab/>
      </w:r>
      <w:r>
        <w:rPr>
          <w:rFonts w:ascii="SimHei" w:eastAsia="SimHei"/>
          <w:color w:val="FF0000"/>
        </w:rPr>
        <w:t>Coker-Appiah</w:t>
      </w:r>
      <w:r>
        <w:rPr>
          <w:rFonts w:ascii="SimHei" w:eastAsia="SimHei" w:hint="eastAsia"/>
          <w:color w:val="FF0000"/>
        </w:rPr>
        <w:t>女士</w:t>
      </w:r>
      <w:r>
        <w:rPr>
          <w:rFonts w:hint="eastAsia"/>
        </w:rPr>
        <w:t>询问了代表团先前提到的教科书修订是否已经开始。关于家庭暴力，开场发言中提到了在这方面的一些研究，但是指出还需要更进一步的研究。这些研究何时开始？关于三所家庭暴力受害者收容所，她想知道政府是否向运作这些收容所的非政府组织提供支助，特别是使他们能够在爱沙尼亚其他区域开设额外的收容所。如果政府没有提供支助，那么是否有计划这样做。</w:t>
      </w:r>
    </w:p>
    <w:p w:rsidR="00713406" w:rsidRDefault="00713406">
      <w:pPr>
        <w:rPr>
          <w:rFonts w:hint="eastAsia"/>
        </w:rPr>
      </w:pPr>
      <w:r>
        <w:t>46.</w:t>
      </w:r>
      <w:r>
        <w:tab/>
      </w:r>
      <w:r>
        <w:rPr>
          <w:rFonts w:hint="eastAsia"/>
        </w:rPr>
        <w:t>尽管贩运妇女大量减少，但爱沙尼亚仍有许多应对此问题的方案，她为此深受鼓舞。这表明政府真正致力于解决此问题。但是，目前许多方案都是由欧盟国家支助的。她询问政府是否准备在外部支助结束后接管这些项目的供资，此外她还想得到有关获得援助以促使她们安全回返和重返社会的妇女贩运受害者数目。</w:t>
      </w:r>
    </w:p>
    <w:p w:rsidR="00713406" w:rsidRDefault="00713406">
      <w:pPr>
        <w:rPr>
          <w:rFonts w:hint="eastAsia"/>
        </w:rPr>
      </w:pPr>
      <w:r>
        <w:t>47.</w:t>
      </w:r>
      <w:r>
        <w:tab/>
      </w:r>
      <w:r>
        <w:rPr>
          <w:rFonts w:ascii="SimHei" w:eastAsia="SimHei"/>
          <w:color w:val="FF0000"/>
          <w:spacing w:val="4"/>
        </w:rPr>
        <w:t>Š</w:t>
      </w:r>
      <w:r>
        <w:rPr>
          <w:rFonts w:ascii="SimHei" w:eastAsia="SimHei"/>
          <w:color w:val="FF0000"/>
          <w:spacing w:val="4"/>
        </w:rPr>
        <w:t>imonovi</w:t>
      </w:r>
      <w:r>
        <w:rPr>
          <w:rFonts w:ascii="SimHei" w:eastAsia="SimHei"/>
          <w:color w:val="FF0000"/>
          <w:spacing w:val="4"/>
        </w:rPr>
        <w:t>ć</w:t>
      </w:r>
      <w:r>
        <w:rPr>
          <w:rFonts w:ascii="SimHei" w:eastAsia="SimHei" w:hint="eastAsia"/>
          <w:color w:val="FF0000"/>
          <w:spacing w:val="4"/>
        </w:rPr>
        <w:t>女士</w:t>
      </w:r>
      <w:r>
        <w:rPr>
          <w:rFonts w:hint="eastAsia"/>
          <w:spacing w:val="4"/>
        </w:rPr>
        <w:t>回顾说，</w:t>
      </w:r>
      <w:r>
        <w:rPr>
          <w:rFonts w:hint="eastAsia"/>
          <w:spacing w:val="4"/>
        </w:rPr>
        <w:t xml:space="preserve"> 2002</w:t>
      </w:r>
      <w:r>
        <w:rPr>
          <w:rFonts w:hint="eastAsia"/>
          <w:spacing w:val="4"/>
        </w:rPr>
        <w:t>年委员会建议爱沙尼亚通过一项禁止对妇女的家庭暴力的特别法律，该法规定了保护、驱逐令以及获取法律援助的途径。报告指出爱沙尼亚选择不采纳该法，但是家庭暴力案件可以根据《刑法典》起诉。但是，没有关于实际起诉案件数目的统计数据。她询问缔约方提议如何改进有关家庭暴力案件数据的收集以及是否有关于每年在此类案件中被谋杀妇女的数目的信息。</w:t>
      </w:r>
    </w:p>
    <w:p w:rsidR="00713406" w:rsidRDefault="00713406">
      <w:pPr>
        <w:rPr>
          <w:rFonts w:hint="eastAsia"/>
        </w:rPr>
      </w:pPr>
      <w:r>
        <w:t>48.</w:t>
      </w:r>
      <w:r>
        <w:tab/>
      </w:r>
      <w:r>
        <w:rPr>
          <w:rFonts w:hint="eastAsia"/>
          <w:spacing w:val="-2"/>
        </w:rPr>
        <w:t>代表团在开场发言中指出政府正在制定一项关于家庭暴力的国家行动计划，该计划将于</w:t>
      </w:r>
      <w:r>
        <w:rPr>
          <w:rFonts w:hint="eastAsia"/>
          <w:spacing w:val="-2"/>
        </w:rPr>
        <w:t>2008</w:t>
      </w:r>
      <w:r>
        <w:rPr>
          <w:rFonts w:hint="eastAsia"/>
          <w:spacing w:val="-2"/>
        </w:rPr>
        <w:t>年生效。她想知道为何花费了多年时间来起草计划，谁将负责计划的协调并监测其执行。此外，委员会想知道为那些居住在家庭暴力受害者收容所里的妇女提供了哪些服务，具体来说，这些服务是否包括免费法律援助。最后，她希望澄清根据《民事诉讼法》和《刑事诉讼法》发布的禁止令之间的差异，并询问有什么程序可以保护不同意强制执行禁止的妇女。</w:t>
      </w:r>
    </w:p>
    <w:p w:rsidR="00713406" w:rsidRDefault="00713406">
      <w:pPr>
        <w:rPr>
          <w:rFonts w:hint="eastAsia"/>
        </w:rPr>
      </w:pPr>
      <w:r>
        <w:t>49.</w:t>
      </w:r>
      <w:r>
        <w:tab/>
      </w:r>
      <w:r>
        <w:rPr>
          <w:rFonts w:ascii="SimHei" w:eastAsia="SimHei"/>
          <w:color w:val="FF0000"/>
        </w:rPr>
        <w:t>Flinterman</w:t>
      </w:r>
      <w:r>
        <w:rPr>
          <w:rFonts w:ascii="SimHei" w:eastAsia="SimHei" w:hint="eastAsia"/>
          <w:color w:val="FF0000"/>
        </w:rPr>
        <w:t>先生</w:t>
      </w:r>
      <w:r>
        <w:rPr>
          <w:rFonts w:hint="eastAsia"/>
        </w:rPr>
        <w:t>说，他同</w:t>
      </w:r>
      <w:r>
        <w:t>Šimonović</w:t>
      </w:r>
      <w:r>
        <w:rPr>
          <w:rFonts w:hint="eastAsia"/>
        </w:rPr>
        <w:t>女士一样也关注缺少有关对妇女的暴力的专门法律，并建议缔约国或许应重新考虑是否需要这方面的法律。关于在对委员会议题和问题清单的答复中提及的为性剥削目的而遭贩运的妇女的安全回返和康复试点项目，他询问通过该项目提供的援助是否取代了在《受害者援助法》下可获得的援助，还是成为后者的补充。他还想知道有多少贩运受害者根据该法寻求援助，以及在此类案件中受害者一般都获得了多少赔偿。</w:t>
      </w:r>
    </w:p>
    <w:p w:rsidR="00713406" w:rsidRDefault="00713406">
      <w:pPr>
        <w:rPr>
          <w:rFonts w:hint="eastAsia"/>
        </w:rPr>
      </w:pPr>
      <w:r>
        <w:t>50.</w:t>
      </w:r>
      <w:r>
        <w:tab/>
      </w:r>
      <w:r>
        <w:rPr>
          <w:rFonts w:ascii="SimHei" w:eastAsia="SimHei"/>
          <w:color w:val="FF0000"/>
        </w:rPr>
        <w:t>Hion</w:t>
      </w:r>
      <w:r>
        <w:rPr>
          <w:rFonts w:ascii="SimHei" w:eastAsia="SimHei" w:hint="eastAsia"/>
          <w:color w:val="FF0000"/>
        </w:rPr>
        <w:t>女士</w:t>
      </w:r>
      <w:r>
        <w:rPr>
          <w:rFonts w:hint="eastAsia"/>
        </w:rPr>
        <w:t>（爱沙尼亚）说，旨在消除性别定型观念的学校教科书修订确实已经开始。关于继续供资消除贩运妇女和援助受害者项目的问题，反对人口贩运国家行动计划草案的预算包括了这方面活动的规定。政府也做好了准备接管贩运和家庭暴力受害者收容所的财务责任。</w:t>
      </w:r>
    </w:p>
    <w:p w:rsidR="00713406" w:rsidRDefault="00713406">
      <w:pPr>
        <w:rPr>
          <w:rFonts w:hint="eastAsia"/>
        </w:rPr>
      </w:pPr>
      <w:r>
        <w:t>51.</w:t>
      </w:r>
      <w:r>
        <w:tab/>
      </w:r>
      <w:r>
        <w:rPr>
          <w:rFonts w:ascii="SimHei" w:eastAsia="SimHei"/>
          <w:color w:val="FF0000"/>
        </w:rPr>
        <w:t>Kaljurand</w:t>
      </w:r>
      <w:r>
        <w:rPr>
          <w:rFonts w:ascii="SimHei" w:eastAsia="SimHei" w:hint="eastAsia"/>
          <w:color w:val="FF0000"/>
        </w:rPr>
        <w:t>女士</w:t>
      </w:r>
      <w:r>
        <w:rPr>
          <w:rFonts w:hint="eastAsia"/>
        </w:rPr>
        <w:t>（爱沙尼亚）补充说，给予收容所的资金将分配给社会事务部。妇女贩运的确不是爱沙尼亚面临的主要问题，但它仍然是贩运的起源、转运和目的国，政府认为与北欧国家及其东边邻国合作共同打击贩运是十分重要的。</w:t>
      </w:r>
    </w:p>
    <w:p w:rsidR="00713406" w:rsidRDefault="00713406">
      <w:pPr>
        <w:rPr>
          <w:rFonts w:hint="eastAsia"/>
        </w:rPr>
      </w:pPr>
      <w:r>
        <w:t>52.</w:t>
      </w:r>
      <w:r>
        <w:tab/>
      </w:r>
      <w:r>
        <w:rPr>
          <w:rFonts w:ascii="SimHei" w:eastAsia="SimHei"/>
          <w:color w:val="FF0000"/>
        </w:rPr>
        <w:t>Viik</w:t>
      </w:r>
      <w:r>
        <w:rPr>
          <w:rFonts w:ascii="SimHei" w:eastAsia="SimHei" w:hint="eastAsia"/>
          <w:color w:val="FF0000"/>
        </w:rPr>
        <w:t>女士</w:t>
      </w:r>
      <w:r>
        <w:rPr>
          <w:rFonts w:hint="eastAsia"/>
        </w:rPr>
        <w:t>（爱沙尼亚）在回应有关家庭暴力的研究的问题时说，</w:t>
      </w:r>
      <w:r>
        <w:rPr>
          <w:rFonts w:hint="eastAsia"/>
        </w:rPr>
        <w:t>2007</w:t>
      </w:r>
      <w:r>
        <w:rPr>
          <w:rFonts w:hint="eastAsia"/>
        </w:rPr>
        <w:t>年初就开展了一项对暴力行为人的定性研究，研究结果将于年底公布。研究目的是认识人们实施暴力行为的原因并确定政府所能够采取的打破暴力循环的措施。此外，家庭暴力问题将被纳入国家统计办公室定期开展的全国犯罪受害者调查中，为此正在培训研究人员。</w:t>
      </w:r>
      <w:r>
        <w:rPr>
          <w:rFonts w:hint="eastAsia"/>
        </w:rPr>
        <w:t>2008</w:t>
      </w:r>
      <w:r>
        <w:rPr>
          <w:rFonts w:hint="eastAsia"/>
        </w:rPr>
        <w:t>年将开展一项试点调查，随后很快会开展全面调查。</w:t>
      </w:r>
    </w:p>
    <w:p w:rsidR="00713406" w:rsidRDefault="00713406">
      <w:pPr>
        <w:rPr>
          <w:rFonts w:hint="eastAsia"/>
        </w:rPr>
      </w:pPr>
      <w:r>
        <w:t>53.</w:t>
      </w:r>
      <w:r>
        <w:tab/>
      </w:r>
      <w:r>
        <w:rPr>
          <w:rFonts w:hint="eastAsia"/>
        </w:rPr>
        <w:t>由于受害者调查属于定期调查，所以预计关于家庭暴力的可靠数据将会增加。有关家庭暴力的国家行动计划草案也规定了要开展研究，特别是关于家庭暴力代价的研究。国家行动计划也提到有必要改进家庭暴力相关数据的收集。具体来说，它提倡采纳爱沙尼亚四个警务区之一所采用的方法来收集数据，跟进案件进程。警察数据显示每年约有</w:t>
      </w:r>
      <w:r>
        <w:rPr>
          <w:rFonts w:hint="eastAsia"/>
        </w:rPr>
        <w:t>40</w:t>
      </w:r>
      <w:r>
        <w:rPr>
          <w:rFonts w:hint="eastAsia"/>
        </w:rPr>
        <w:t>名妇女被谋杀，其中一半谋杀案件与家庭暴力有关联。</w:t>
      </w:r>
    </w:p>
    <w:p w:rsidR="00713406" w:rsidRDefault="00713406">
      <w:pPr>
        <w:rPr>
          <w:rFonts w:hint="eastAsia"/>
        </w:rPr>
      </w:pPr>
      <w:r>
        <w:t>54.</w:t>
      </w:r>
      <w:r>
        <w:tab/>
      </w:r>
      <w:r>
        <w:rPr>
          <w:rFonts w:hint="eastAsia"/>
        </w:rPr>
        <w:t>政府的确向运作家庭暴力受害者收容所的非政府组织提供了支助。现正向位于塔林的收容所提供援助，而且从</w:t>
      </w:r>
      <w:r>
        <w:rPr>
          <w:rFonts w:hint="eastAsia"/>
        </w:rPr>
        <w:t>2008</w:t>
      </w:r>
      <w:r>
        <w:rPr>
          <w:rFonts w:hint="eastAsia"/>
        </w:rPr>
        <w:t>年起，所有收容所将根据有关家庭暴力的行动计划获得政府援助。计划这些援助部分来自地方政府，部分来自国家政府。但是，有必要提高地方政府官员对援助家庭暴力受害者并为援助付款供资之重要性的认识。</w:t>
      </w:r>
    </w:p>
    <w:p w:rsidR="00713406" w:rsidRDefault="00713406">
      <w:pPr>
        <w:rPr>
          <w:rFonts w:hint="eastAsia"/>
        </w:rPr>
      </w:pPr>
      <w:r>
        <w:t>55.</w:t>
      </w:r>
      <w:r>
        <w:tab/>
      </w:r>
      <w:r>
        <w:rPr>
          <w:rFonts w:hint="eastAsia"/>
        </w:rPr>
        <w:t>到目前为止，有三名妇女向贩运受害者收容所寻求援助。这一数字很小部分是由于单独的贩运受害者收容所直到最近才开设（一家在</w:t>
      </w:r>
      <w:r>
        <w:rPr>
          <w:rFonts w:hint="eastAsia"/>
        </w:rPr>
        <w:t>2006</w:t>
      </w:r>
      <w:r>
        <w:rPr>
          <w:rFonts w:hint="eastAsia"/>
        </w:rPr>
        <w:t>年底，两家在</w:t>
      </w:r>
      <w:r>
        <w:rPr>
          <w:rFonts w:hint="eastAsia"/>
        </w:rPr>
        <w:t>2007</w:t>
      </w:r>
      <w:r>
        <w:rPr>
          <w:rFonts w:hint="eastAsia"/>
        </w:rPr>
        <w:t>年）。这些收容所与家庭暴力受害者收容所相关，但为贩运受害者提供单独的设施。至于为什么花费了比预计更长的时间来制定反贩运行动计划，部分原因是政府力争使广泛的利益攸关方参与到此进程中。预计计划将很快完成。社会事务部将负责协调并监测其执行。</w:t>
      </w:r>
    </w:p>
    <w:p w:rsidR="00713406" w:rsidRDefault="00713406">
      <w:pPr>
        <w:rPr>
          <w:rFonts w:hint="eastAsia"/>
        </w:rPr>
      </w:pPr>
      <w:r>
        <w:t>56.</w:t>
      </w:r>
      <w:r>
        <w:tab/>
      </w:r>
      <w:r>
        <w:rPr>
          <w:rFonts w:ascii="SimHei" w:eastAsia="SimHei"/>
          <w:color w:val="FF0000"/>
        </w:rPr>
        <w:t>Kaljurand</w:t>
      </w:r>
      <w:r>
        <w:rPr>
          <w:rFonts w:ascii="SimHei" w:eastAsia="SimHei" w:hint="eastAsia"/>
          <w:color w:val="FF0000"/>
        </w:rPr>
        <w:t>女士</w:t>
      </w:r>
      <w:r>
        <w:rPr>
          <w:rFonts w:hint="eastAsia"/>
        </w:rPr>
        <w:t>（爱沙尼亚）在回应援助贩运受害者问题时指出，爱沙尼亚正在参与欧盟平等项目“参与卖淫妇女重返劳动力市场”，根据此项目成立了康复中心为参与卖淫的妇女和贩运受害妇女服务。中心免费提供综合援助和咨询，包括身体康复以及必要时的精神保健服务。目的是帮助这些妇女找到工作并重返社会。关于《受害者援助法》为受害者提供的补偿数额，最高是</w:t>
      </w:r>
      <w:r>
        <w:rPr>
          <w:rFonts w:hint="eastAsia"/>
        </w:rPr>
        <w:t>50 000</w:t>
      </w:r>
      <w:r>
        <w:rPr>
          <w:rFonts w:hint="eastAsia"/>
        </w:rPr>
        <w:t>爱沙尼亚克伦尼（约合</w:t>
      </w:r>
      <w:r>
        <w:rPr>
          <w:rFonts w:hint="eastAsia"/>
        </w:rPr>
        <w:t>4 400</w:t>
      </w:r>
      <w:r>
        <w:rPr>
          <w:rFonts w:hint="eastAsia"/>
        </w:rPr>
        <w:t>美元），当然每个案件中提供的实际数额要视情况而定。</w:t>
      </w:r>
    </w:p>
    <w:p w:rsidR="00713406" w:rsidRDefault="00713406">
      <w:pPr>
        <w:rPr>
          <w:rFonts w:hint="eastAsia"/>
        </w:rPr>
      </w:pPr>
      <w:r>
        <w:t>57.</w:t>
      </w:r>
      <w:r>
        <w:tab/>
      </w:r>
      <w:r>
        <w:rPr>
          <w:rFonts w:ascii="SimHei" w:eastAsia="SimHei"/>
          <w:color w:val="FF0000"/>
        </w:rPr>
        <w:t>Sander</w:t>
      </w:r>
      <w:r>
        <w:rPr>
          <w:rFonts w:ascii="SimHei" w:eastAsia="SimHei" w:hint="eastAsia"/>
          <w:color w:val="FF0000"/>
        </w:rPr>
        <w:t>女士</w:t>
      </w:r>
      <w:r>
        <w:rPr>
          <w:rFonts w:hint="eastAsia"/>
        </w:rPr>
        <w:t>（爱沙尼亚）在回答有关禁止令的问题时解释说，根据《刑事诉讼法》，检察官可以请求法院对被告人施加禁止令，以保护受害者生命和捍卫受害者的其他权利。而根据《民事诉讼法》，只有在犯罪人被定罪之后才能申请禁止令。</w:t>
      </w:r>
    </w:p>
    <w:p w:rsidR="00713406" w:rsidRDefault="00713406">
      <w:pPr>
        <w:ind w:firstLine="424"/>
        <w:rPr>
          <w:rFonts w:ascii="KaiTi_GB2312" w:eastAsia="KaiTi_GB2312"/>
          <w:color w:val="0000FF"/>
        </w:rPr>
        <w:sectPr w:rsidR="00713406">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下午1时散会</w:t>
      </w:r>
    </w:p>
    <w:p w:rsidR="00713406" w:rsidRPr="00713406" w:rsidRDefault="00713406">
      <w:pPr>
        <w:tabs>
          <w:tab w:val="left" w:pos="420"/>
        </w:tabs>
        <w:rPr>
          <w:rFonts w:eastAsia="KaiTi_GB2312"/>
          <w:color w:val="0000FF"/>
        </w:rPr>
      </w:pPr>
    </w:p>
    <w:sectPr w:rsidR="00713406" w:rsidRPr="00713406">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9T12:33:00Z" w:initials="Start">
    <w:p w:rsidR="00627D6F" w:rsidRDefault="00627D6F">
      <w:pPr>
        <w:pStyle w:val="CommentText"/>
        <w:spacing w:after="0"/>
      </w:pPr>
      <w:r>
        <w:rPr>
          <w:rStyle w:val="CommentReference"/>
          <w:rFonts w:hint="eastAsia"/>
        </w:rPr>
        <w:annotationRef/>
      </w:r>
      <w:r>
        <w:t>&lt;&lt;ODS JOB NO&gt;&gt;N07</w:t>
      </w:r>
      <w:r>
        <w:rPr>
          <w:rFonts w:hint="eastAsia"/>
        </w:rPr>
        <w:t>43</w:t>
      </w:r>
      <w:r>
        <w:t>586C&lt;&lt;ODS JOB NO&gt;&gt;</w:t>
      </w:r>
    </w:p>
    <w:p w:rsidR="00627D6F" w:rsidRDefault="00627D6F">
      <w:pPr>
        <w:pStyle w:val="CommentText"/>
        <w:spacing w:after="0"/>
      </w:pPr>
      <w:r>
        <w:t>&lt;&lt;ODS DOC SYMBOL1&gt;&gt;</w:t>
      </w:r>
      <w:r>
        <w:rPr>
          <w:bCs/>
        </w:rPr>
        <w:t>CEDAW/C/SR.7</w:t>
      </w:r>
      <w:r>
        <w:rPr>
          <w:rFonts w:hint="eastAsia"/>
          <w:bCs/>
        </w:rPr>
        <w:t>9</w:t>
      </w:r>
      <w:r>
        <w:rPr>
          <w:bCs/>
        </w:rPr>
        <w:t>3 (B)</w:t>
      </w:r>
      <w:r>
        <w:t>&lt;&lt;ODS DOC SYMBOL1&gt;&gt;</w:t>
      </w:r>
    </w:p>
    <w:p w:rsidR="00627D6F" w:rsidRDefault="00627D6F">
      <w:pPr>
        <w:pStyle w:val="CommentText"/>
        <w:spacing w:after="0"/>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2DD" w:rsidRDefault="008262DD">
      <w:r>
        <w:separator/>
      </w:r>
    </w:p>
  </w:endnote>
  <w:endnote w:type="continuationSeparator" w:id="0">
    <w:p w:rsidR="008262DD" w:rsidRDefault="00826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27D6F">
      <w:tblPrEx>
        <w:tblCellMar>
          <w:top w:w="0" w:type="dxa"/>
          <w:bottom w:w="0" w:type="dxa"/>
        </w:tblCellMar>
      </w:tblPrEx>
      <w:tc>
        <w:tcPr>
          <w:tcW w:w="5034" w:type="dxa"/>
          <w:vAlign w:val="bottom"/>
        </w:tcPr>
        <w:p w:rsidR="00627D6F" w:rsidRDefault="00627D6F">
          <w:pPr>
            <w:pStyle w:val="Footer"/>
            <w:rPr>
              <w:sz w:val="18"/>
            </w:rPr>
          </w:pPr>
          <w:r>
            <w:rPr>
              <w:sz w:val="18"/>
            </w:rPr>
            <w:fldChar w:fldCharType="begin"/>
          </w:r>
          <w:r>
            <w:rPr>
              <w:sz w:val="18"/>
            </w:rPr>
            <w:instrText xml:space="preserve"> PAGE  \* MERGEFORMAT </w:instrText>
          </w:r>
          <w:r>
            <w:rPr>
              <w:sz w:val="18"/>
            </w:rPr>
            <w:fldChar w:fldCharType="separate"/>
          </w:r>
          <w:r w:rsidR="0047017D">
            <w:rPr>
              <w:sz w:val="18"/>
            </w:rPr>
            <w:t>8</w:t>
          </w:r>
          <w:r>
            <w:rPr>
              <w:sz w:val="18"/>
            </w:rPr>
            <w:fldChar w:fldCharType="end"/>
          </w:r>
        </w:p>
      </w:tc>
      <w:tc>
        <w:tcPr>
          <w:tcW w:w="5034" w:type="dxa"/>
          <w:vAlign w:val="bottom"/>
        </w:tcPr>
        <w:p w:rsidR="00627D6F" w:rsidRDefault="00627D6F">
          <w:pPr>
            <w:pStyle w:val="Footer"/>
            <w:jc w:val="right"/>
          </w:pPr>
        </w:p>
      </w:tc>
    </w:tr>
  </w:tbl>
  <w:p w:rsidR="00627D6F" w:rsidRDefault="00627D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27D6F">
      <w:tblPrEx>
        <w:tblCellMar>
          <w:top w:w="0" w:type="dxa"/>
          <w:bottom w:w="0" w:type="dxa"/>
        </w:tblCellMar>
      </w:tblPrEx>
      <w:tc>
        <w:tcPr>
          <w:tcW w:w="5034" w:type="dxa"/>
          <w:vAlign w:val="bottom"/>
        </w:tcPr>
        <w:p w:rsidR="00627D6F" w:rsidRDefault="00627D6F">
          <w:pPr>
            <w:pStyle w:val="Footer"/>
          </w:pPr>
        </w:p>
      </w:tc>
      <w:tc>
        <w:tcPr>
          <w:tcW w:w="5034" w:type="dxa"/>
          <w:vAlign w:val="bottom"/>
        </w:tcPr>
        <w:p w:rsidR="00627D6F" w:rsidRDefault="00627D6F">
          <w:pPr>
            <w:pStyle w:val="Footer"/>
            <w:jc w:val="right"/>
            <w:rPr>
              <w:sz w:val="18"/>
            </w:rPr>
          </w:pPr>
          <w:r>
            <w:rPr>
              <w:sz w:val="18"/>
            </w:rPr>
            <w:fldChar w:fldCharType="begin"/>
          </w:r>
          <w:r>
            <w:rPr>
              <w:sz w:val="18"/>
            </w:rPr>
            <w:instrText xml:space="preserve"> PAGE  \* MERGEFORMAT </w:instrText>
          </w:r>
          <w:r>
            <w:rPr>
              <w:sz w:val="18"/>
            </w:rPr>
            <w:fldChar w:fldCharType="separate"/>
          </w:r>
          <w:r w:rsidR="0047017D">
            <w:rPr>
              <w:sz w:val="18"/>
            </w:rPr>
            <w:t>7</w:t>
          </w:r>
          <w:r>
            <w:rPr>
              <w:sz w:val="18"/>
            </w:rPr>
            <w:fldChar w:fldCharType="end"/>
          </w:r>
        </w:p>
      </w:tc>
    </w:tr>
  </w:tbl>
  <w:p w:rsidR="00627D6F" w:rsidRDefault="00627D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6F" w:rsidRDefault="00627D6F">
    <w:pPr>
      <w:pStyle w:val="Footer"/>
    </w:pPr>
  </w:p>
  <w:p w:rsidR="00627D6F" w:rsidRDefault="00627D6F">
    <w:pPr>
      <w:pStyle w:val="Footer"/>
      <w:pBdr>
        <w:top w:val="single" w:sz="2" w:space="0" w:color="000000"/>
      </w:pBdr>
      <w:rPr>
        <w:sz w:val="2"/>
      </w:rPr>
    </w:pPr>
  </w:p>
  <w:p w:rsidR="00627D6F" w:rsidRDefault="00627D6F">
    <w:pPr>
      <w:spacing w:before="60" w:after="120" w:line="240" w:lineRule="auto"/>
      <w:ind w:left="1264" w:right="1264"/>
      <w:rPr>
        <w:snapToGrid w:val="0"/>
        <w:spacing w:val="5"/>
        <w:w w:val="104"/>
        <w:sz w:val="18"/>
      </w:rPr>
    </w:pPr>
    <w:r>
      <w:rPr>
        <w:rFonts w:hint="eastAsia"/>
        <w:snapToGrid w:val="0"/>
        <w:spacing w:val="5"/>
        <w:w w:val="104"/>
        <w:sz w:val="18"/>
      </w:rPr>
      <w:t>本记录可以更正。</w:t>
    </w:r>
  </w:p>
  <w:p w:rsidR="00627D6F" w:rsidRDefault="00627D6F">
    <w:pPr>
      <w:spacing w:before="60" w:after="120" w:line="240" w:lineRule="auto"/>
      <w:ind w:left="1264" w:right="1264"/>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本记录的各项更正应以一种工作语文提出。各项更正应在一份备忘录内列明，并填写在一份记录上。各项更正应在本文件</w:t>
    </w:r>
    <w:r>
      <w:rPr>
        <w:rFonts w:eastAsia="KaiTi_GB2312" w:hint="eastAsia"/>
        <w:snapToGrid w:val="0"/>
        <w:color w:val="0000FF"/>
        <w:spacing w:val="5"/>
        <w:w w:val="104"/>
        <w:sz w:val="18"/>
      </w:rPr>
      <w:t>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627D6F" w:rsidRDefault="00627D6F">
    <w:pPr>
      <w:spacing w:before="60" w:after="120" w:line="240" w:lineRule="auto"/>
      <w:ind w:left="1264" w:right="1264"/>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627D6F" w:rsidRDefault="00627D6F">
    <w:pPr>
      <w:pStyle w:val="Footer"/>
      <w:rPr>
        <w:b w:val="0"/>
        <w:snapToGrid w:val="0"/>
        <w:sz w:val="21"/>
      </w:rPr>
    </w:pPr>
    <w:r>
      <w:rPr>
        <w:b w:val="0"/>
        <w:snapToGrid w:val="0"/>
        <w:sz w:val="21"/>
      </w:rPr>
      <w:t>07-43</w:t>
    </w:r>
    <w:r>
      <w:rPr>
        <w:rFonts w:hint="eastAsia"/>
        <w:b w:val="0"/>
        <w:snapToGrid w:val="0"/>
        <w:sz w:val="21"/>
      </w:rPr>
      <w:t>586</w:t>
    </w:r>
    <w:r>
      <w:rPr>
        <w:b w:val="0"/>
        <w:snapToGrid w:val="0"/>
        <w:sz w:val="21"/>
      </w:rPr>
      <w:t xml:space="preserve"> (C)</w:t>
    </w:r>
  </w:p>
  <w:p w:rsidR="00627D6F" w:rsidRPr="00AA1730" w:rsidRDefault="00627D6F">
    <w:pPr>
      <w:pStyle w:val="Footer"/>
      <w:rPr>
        <w:rFonts w:ascii="Barcode 3 of 9 by request" w:hAnsi="Barcode 3 of 9 by request"/>
        <w:bCs/>
        <w:snapToGrid w:val="0"/>
        <w:sz w:val="21"/>
      </w:rPr>
    </w:pPr>
    <w:r w:rsidRPr="00AA1730">
      <w:rPr>
        <w:rFonts w:ascii="Barcode 3 of 9 by request" w:hAnsi="Barcode 3 of 9 by request"/>
        <w:bCs/>
        <w:snapToGrid w:val="0"/>
        <w:sz w:val="21"/>
      </w:rPr>
      <w:t>*0743586*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2DD" w:rsidRDefault="008262DD">
      <w:r>
        <w:separator/>
      </w:r>
    </w:p>
  </w:footnote>
  <w:footnote w:type="continuationSeparator" w:id="0">
    <w:p w:rsidR="008262DD" w:rsidRDefault="00826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6F" w:rsidRDefault="00627D6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27D6F">
                  <w:tblPrEx>
                    <w:tblCellMar>
                      <w:top w:w="0" w:type="dxa"/>
                      <w:bottom w:w="0" w:type="dxa"/>
                    </w:tblCellMar>
                  </w:tblPrEx>
                  <w:trPr>
                    <w:trHeight w:hRule="exact" w:val="864"/>
                  </w:trPr>
                  <w:tc>
                    <w:tcPr>
                      <w:tcW w:w="4838" w:type="dxa"/>
                      <w:vAlign w:val="bottom"/>
                    </w:tcPr>
                    <w:p w:rsidR="00627D6F" w:rsidRDefault="00627D6F">
                      <w:pPr>
                        <w:pStyle w:val="Header"/>
                        <w:spacing w:after="80"/>
                        <w:rPr>
                          <w:rFonts w:hint="eastAsia"/>
                          <w:b/>
                        </w:rPr>
                      </w:pPr>
                      <w:r>
                        <w:rPr>
                          <w:b/>
                        </w:rPr>
                        <w:t>CEDAW/C/SR.793 (B)</w:t>
                      </w:r>
                    </w:p>
                  </w:tc>
                  <w:tc>
                    <w:tcPr>
                      <w:tcW w:w="5048" w:type="dxa"/>
                      <w:vAlign w:val="bottom"/>
                    </w:tcPr>
                    <w:p w:rsidR="00627D6F" w:rsidRDefault="00627D6F">
                      <w:pPr>
                        <w:pStyle w:val="Header"/>
                      </w:pPr>
                    </w:p>
                  </w:tc>
                </w:tr>
              </w:tbl>
              <w:p w:rsidR="00627D6F" w:rsidRDefault="00627D6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D6F" w:rsidRDefault="00627D6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27D6F">
                  <w:tblPrEx>
                    <w:tblCellMar>
                      <w:top w:w="0" w:type="dxa"/>
                      <w:bottom w:w="0" w:type="dxa"/>
                    </w:tblCellMar>
                  </w:tblPrEx>
                  <w:trPr>
                    <w:trHeight w:hRule="exact" w:val="864"/>
                  </w:trPr>
                  <w:tc>
                    <w:tcPr>
                      <w:tcW w:w="4838" w:type="dxa"/>
                      <w:vAlign w:val="bottom"/>
                    </w:tcPr>
                    <w:p w:rsidR="00627D6F" w:rsidRDefault="00627D6F">
                      <w:pPr>
                        <w:pStyle w:val="Header"/>
                      </w:pPr>
                    </w:p>
                  </w:tc>
                  <w:tc>
                    <w:tcPr>
                      <w:tcW w:w="5048" w:type="dxa"/>
                      <w:vAlign w:val="bottom"/>
                    </w:tcPr>
                    <w:p w:rsidR="00627D6F" w:rsidRDefault="00627D6F">
                      <w:pPr>
                        <w:pStyle w:val="Header"/>
                        <w:wordWrap w:val="0"/>
                        <w:spacing w:after="80"/>
                        <w:jc w:val="right"/>
                        <w:rPr>
                          <w:b/>
                        </w:rPr>
                      </w:pPr>
                      <w:r>
                        <w:rPr>
                          <w:b/>
                        </w:rPr>
                        <w:t>CEDAW/C/SR.793</w:t>
                      </w:r>
                      <w:r w:rsidRPr="00627D6F">
                        <w:t xml:space="preserve"> </w:t>
                      </w:r>
                      <w:r>
                        <w:rPr>
                          <w:b/>
                        </w:rPr>
                        <w:t>(B)</w:t>
                      </w:r>
                    </w:p>
                  </w:tc>
                </w:tr>
              </w:tbl>
              <w:p w:rsidR="00627D6F" w:rsidRDefault="00627D6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27D6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27D6F" w:rsidRDefault="00627D6F">
          <w:pPr>
            <w:pStyle w:val="Header"/>
            <w:spacing w:after="120"/>
          </w:pPr>
        </w:p>
      </w:tc>
      <w:tc>
        <w:tcPr>
          <w:tcW w:w="1872" w:type="dxa"/>
          <w:tcBorders>
            <w:top w:val="nil"/>
            <w:left w:val="nil"/>
            <w:bottom w:val="single" w:sz="4" w:space="0" w:color="auto"/>
            <w:right w:val="nil"/>
          </w:tcBorders>
          <w:vAlign w:val="bottom"/>
        </w:tcPr>
        <w:p w:rsidR="00627D6F" w:rsidRDefault="00627D6F">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627D6F" w:rsidRDefault="00627D6F">
          <w:pPr>
            <w:pStyle w:val="Header"/>
            <w:spacing w:after="120"/>
          </w:pPr>
        </w:p>
      </w:tc>
      <w:tc>
        <w:tcPr>
          <w:tcW w:w="6523" w:type="dxa"/>
          <w:gridSpan w:val="3"/>
          <w:tcBorders>
            <w:top w:val="nil"/>
            <w:left w:val="nil"/>
            <w:bottom w:val="single" w:sz="4" w:space="0" w:color="auto"/>
            <w:right w:val="nil"/>
          </w:tcBorders>
          <w:vAlign w:val="bottom"/>
        </w:tcPr>
        <w:p w:rsidR="00627D6F" w:rsidRDefault="00627D6F">
          <w:pPr>
            <w:spacing w:line="240" w:lineRule="auto"/>
            <w:jc w:val="right"/>
            <w:rPr>
              <w:rFonts w:hint="eastAsia"/>
              <w:position w:val="-4"/>
              <w:sz w:val="20"/>
            </w:rPr>
          </w:pPr>
          <w:r>
            <w:rPr>
              <w:position w:val="-4"/>
              <w:sz w:val="40"/>
            </w:rPr>
            <w:t>CEDAW</w:t>
          </w:r>
          <w:r>
            <w:rPr>
              <w:position w:val="-4"/>
            </w:rPr>
            <w:t>/C/SR.793 (B)</w:t>
          </w:r>
        </w:p>
      </w:tc>
    </w:tr>
    <w:tr w:rsidR="00627D6F">
      <w:tblPrEx>
        <w:tblCellMar>
          <w:top w:w="0" w:type="dxa"/>
          <w:bottom w:w="0" w:type="dxa"/>
        </w:tblCellMar>
      </w:tblPrEx>
      <w:trPr>
        <w:trHeight w:hRule="exact" w:val="2880"/>
      </w:trPr>
      <w:tc>
        <w:tcPr>
          <w:tcW w:w="1267" w:type="dxa"/>
          <w:tcBorders>
            <w:left w:val="nil"/>
            <w:bottom w:val="single" w:sz="12" w:space="0" w:color="auto"/>
            <w:right w:val="nil"/>
          </w:tcBorders>
        </w:tcPr>
        <w:p w:rsidR="00627D6F" w:rsidRDefault="00627D6F">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627D6F" w:rsidRDefault="00627D6F">
          <w:pPr>
            <w:pStyle w:val="Header"/>
            <w:spacing w:before="109"/>
            <w:ind w:left="-72"/>
          </w:pPr>
        </w:p>
      </w:tc>
      <w:tc>
        <w:tcPr>
          <w:tcW w:w="5227" w:type="dxa"/>
          <w:gridSpan w:val="3"/>
          <w:tcBorders>
            <w:left w:val="nil"/>
            <w:bottom w:val="single" w:sz="12" w:space="0" w:color="auto"/>
            <w:right w:val="nil"/>
          </w:tcBorders>
        </w:tcPr>
        <w:p w:rsidR="00627D6F" w:rsidRDefault="00627D6F">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627D6F" w:rsidRDefault="00627D6F">
          <w:pPr>
            <w:rPr>
              <w:rFonts w:eastAsia="KaiTi_GB2312"/>
              <w:color w:val="0000FF"/>
              <w:sz w:val="28"/>
            </w:rPr>
          </w:pPr>
        </w:p>
      </w:tc>
      <w:tc>
        <w:tcPr>
          <w:tcW w:w="245" w:type="dxa"/>
          <w:tcBorders>
            <w:left w:val="nil"/>
            <w:bottom w:val="single" w:sz="12" w:space="0" w:color="auto"/>
            <w:right w:val="nil"/>
          </w:tcBorders>
        </w:tcPr>
        <w:p w:rsidR="00627D6F" w:rsidRDefault="00627D6F">
          <w:pPr>
            <w:pStyle w:val="Header"/>
            <w:spacing w:before="109"/>
          </w:pPr>
        </w:p>
      </w:tc>
      <w:tc>
        <w:tcPr>
          <w:tcW w:w="3180" w:type="dxa"/>
          <w:gridSpan w:val="2"/>
          <w:tcBorders>
            <w:left w:val="nil"/>
            <w:bottom w:val="single" w:sz="12" w:space="0" w:color="auto"/>
            <w:right w:val="nil"/>
          </w:tcBorders>
        </w:tcPr>
        <w:p w:rsidR="00627D6F" w:rsidRDefault="00627D6F">
          <w:pPr>
            <w:spacing w:before="240" w:after="0" w:line="240" w:lineRule="exact"/>
          </w:pPr>
          <w:r>
            <w:t>Distr.: General</w:t>
          </w:r>
        </w:p>
        <w:p w:rsidR="00627D6F" w:rsidRDefault="00627D6F">
          <w:pPr>
            <w:pStyle w:val="H56"/>
            <w:keepNext w:val="0"/>
            <w:keepLines w:val="0"/>
            <w:tabs>
              <w:tab w:val="clear" w:pos="360"/>
            </w:tabs>
            <w:suppressAutoHyphens w:val="0"/>
            <w:spacing w:after="0" w:line="240" w:lineRule="exact"/>
            <w:outlineLvl w:val="9"/>
            <w:rPr>
              <w:rFonts w:ascii="Times New Roman" w:hint="eastAsia"/>
              <w:noProof w:val="0"/>
              <w:spacing w:val="0"/>
              <w:w w:val="100"/>
            </w:rPr>
          </w:pPr>
          <w:r>
            <w:rPr>
              <w:rFonts w:ascii="Times New Roman"/>
              <w:noProof w:val="0"/>
              <w:spacing w:val="0"/>
              <w:w w:val="100"/>
            </w:rPr>
            <w:t>9 October 2007</w:t>
          </w:r>
        </w:p>
        <w:p w:rsidR="00627D6F" w:rsidRDefault="00627D6F">
          <w:pPr>
            <w:spacing w:after="0" w:line="240" w:lineRule="exact"/>
          </w:pPr>
          <w:r>
            <w:t>Chinese</w:t>
          </w:r>
        </w:p>
        <w:p w:rsidR="00627D6F" w:rsidRDefault="00627D6F">
          <w:pPr>
            <w:spacing w:after="0" w:line="240" w:lineRule="exact"/>
          </w:pPr>
          <w:r>
            <w:t>Original: English</w:t>
          </w:r>
        </w:p>
      </w:tc>
    </w:tr>
  </w:tbl>
  <w:p w:rsidR="00627D6F" w:rsidRDefault="00627D6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4"/>
  </w:num>
  <w:num w:numId="11">
    <w:abstractNumId w:val="0"/>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AA1730"/>
    <w:rsid w:val="003B0D46"/>
    <w:rsid w:val="0047017D"/>
    <w:rsid w:val="00627D6F"/>
    <w:rsid w:val="00713406"/>
    <w:rsid w:val="00777E47"/>
    <w:rsid w:val="008262DD"/>
    <w:rsid w:val="009D7799"/>
    <w:rsid w:val="00AA17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180" w:line="340" w:lineRule="exact"/>
      <w:jc w:val="both"/>
    </w:pPr>
    <w:rPr>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rFonts w:ascii="SimSun"/>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rFonts w:ascii="SimSun"/>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rFonts w:ascii="SimSun"/>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rFonts w:ascii="SimSun"/>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320" w:lineRule="exact"/>
      <w:outlineLvl w:val="0"/>
    </w:pPr>
    <w:rPr>
      <w:rFonts w:ascii="SimHei" w:eastAsia="SimHei"/>
      <w:color w:val="FF0000"/>
      <w:sz w:val="24"/>
    </w:rPr>
  </w:style>
  <w:style w:type="paragraph" w:customStyle="1" w:styleId="HCh">
    <w:name w:val="_ H _Ch"/>
    <w:basedOn w:val="H1"/>
    <w:next w:val="Normal"/>
    <w:pPr>
      <w:tabs>
        <w:tab w:val="left" w:pos="57"/>
      </w:tabs>
      <w:spacing w:line="400" w:lineRule="exact"/>
      <w:jc w:val="left"/>
    </w:pPr>
    <w:rPr>
      <w:sz w:val="28"/>
    </w:rPr>
  </w:style>
  <w:style w:type="paragraph" w:customStyle="1" w:styleId="HM">
    <w:name w:val="_ H __M"/>
    <w:basedOn w:val="HCh"/>
    <w:next w:val="Normal"/>
    <w:rPr>
      <w:sz w:val="34"/>
    </w:rPr>
  </w:style>
  <w:style w:type="paragraph" w:customStyle="1" w:styleId="H23">
    <w:name w:val="_ H_2/3"/>
    <w:basedOn w:val="Normal"/>
    <w:next w:val="Normal"/>
    <w:pPr>
      <w:spacing w:line="320" w:lineRule="exact"/>
      <w:jc w:val="left"/>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spacing w:line="320" w:lineRule="exact"/>
      <w:jc w:val="left"/>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spacing w:line="320" w:lineRule="exact"/>
      <w:jc w:val="left"/>
      <w:outlineLvl w:val="4"/>
    </w:pPr>
    <w:rPr>
      <w:rFonts w:ascii="SimSun"/>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pPr>
    <w:rPr>
      <w:rFonts w:ascii="SimSun"/>
    </w:r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Pr>
      <w:rFonts w:ascii="SimSun"/>
    </w:rPr>
  </w:style>
  <w:style w:type="paragraph" w:customStyle="1" w:styleId="Small">
    <w:name w:val="Small"/>
    <w:basedOn w:val="Normal"/>
    <w:next w:val="Normal"/>
    <w:pPr>
      <w:tabs>
        <w:tab w:val="right" w:pos="9965"/>
      </w:tabs>
      <w:spacing w:line="210" w:lineRule="exact"/>
      <w:jc w:val="left"/>
    </w:pPr>
    <w:rPr>
      <w:rFonts w:ascii="SimSun"/>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rFonts w:ascii="SimSun"/>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line="320" w:lineRule="exact"/>
    </w:pPr>
    <w:rPr>
      <w:rFonts w:ascii="SimSun"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pPr>
    <w:rPr>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1469</Words>
  <Characters>8375</Characters>
  <Application>Microsoft Office Word</Application>
  <DocSecurity>4</DocSecurity>
  <Lines>69</Lines>
  <Paragraphs>19</Paragraphs>
  <ScaleCrop>false</ScaleCrop>
  <Company>ctpc</Company>
  <LinksUpToDate>false</LinksUpToDate>
  <CharactersWithSpaces>9825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ctpu1.chao</cp:lastModifiedBy>
  <cp:revision>25</cp:revision>
  <cp:lastPrinted>2007-10-09T10:35:00Z</cp:lastPrinted>
  <dcterms:created xsi:type="dcterms:W3CDTF">2007-09-17T10:53:00Z</dcterms:created>
  <dcterms:modified xsi:type="dcterms:W3CDTF">2007-10-09T10:35:00Z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