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41C5EEC5" w14:textId="77777777" w:rsidTr="00CA1AEA">
        <w:trPr>
          <w:cantSplit/>
          <w:trHeight w:hRule="exact" w:val="851"/>
        </w:trPr>
        <w:tc>
          <w:tcPr>
            <w:tcW w:w="1276" w:type="dxa"/>
            <w:tcBorders>
              <w:bottom w:val="single" w:sz="4" w:space="0" w:color="auto"/>
            </w:tcBorders>
            <w:vAlign w:val="bottom"/>
          </w:tcPr>
          <w:p w14:paraId="04CD16B6" w14:textId="77777777" w:rsidR="00165C15" w:rsidRDefault="00165C15" w:rsidP="00CA1AEA">
            <w:pPr>
              <w:spacing w:after="80"/>
            </w:pPr>
          </w:p>
        </w:tc>
        <w:tc>
          <w:tcPr>
            <w:tcW w:w="2268" w:type="dxa"/>
            <w:tcBorders>
              <w:bottom w:val="single" w:sz="4" w:space="0" w:color="auto"/>
            </w:tcBorders>
            <w:vAlign w:val="bottom"/>
          </w:tcPr>
          <w:p w14:paraId="4AECE4B6"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7D0EF47A" w14:textId="77777777" w:rsidR="00165C15" w:rsidRPr="00D47EEA" w:rsidRDefault="002257C8" w:rsidP="002257C8">
            <w:pPr>
              <w:suppressAutoHyphens w:val="0"/>
              <w:spacing w:after="20"/>
              <w:jc w:val="right"/>
            </w:pPr>
            <w:r w:rsidRPr="002257C8">
              <w:rPr>
                <w:sz w:val="40"/>
              </w:rPr>
              <w:t>CCPR</w:t>
            </w:r>
            <w:r>
              <w:t>/C/LUX/FCO/4</w:t>
            </w:r>
          </w:p>
        </w:tc>
      </w:tr>
      <w:tr w:rsidR="00165C15" w14:paraId="5314F23F" w14:textId="77777777" w:rsidTr="00CA1AEA">
        <w:trPr>
          <w:cantSplit/>
          <w:trHeight w:hRule="exact" w:val="2835"/>
        </w:trPr>
        <w:tc>
          <w:tcPr>
            <w:tcW w:w="1276" w:type="dxa"/>
            <w:tcBorders>
              <w:top w:val="single" w:sz="4" w:space="0" w:color="auto"/>
              <w:bottom w:val="single" w:sz="12" w:space="0" w:color="auto"/>
            </w:tcBorders>
          </w:tcPr>
          <w:p w14:paraId="6165DE8C" w14:textId="77777777" w:rsidR="00165C15" w:rsidRDefault="00165C15" w:rsidP="00CA1AEA">
            <w:pPr>
              <w:spacing w:before="120"/>
            </w:pPr>
            <w:r>
              <w:rPr>
                <w:noProof/>
                <w:lang w:val="fr-CH" w:eastAsia="fr-CH"/>
              </w:rPr>
              <w:drawing>
                <wp:inline distT="0" distB="0" distL="0" distR="0" wp14:anchorId="589A2F97" wp14:editId="2E2090CE">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C1778AE"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4B7D5A31" w14:textId="77777777" w:rsidR="00165C15" w:rsidRDefault="002257C8" w:rsidP="002257C8">
            <w:pPr>
              <w:suppressAutoHyphens w:val="0"/>
              <w:spacing w:before="240"/>
            </w:pPr>
            <w:r>
              <w:t>Distr.: General</w:t>
            </w:r>
          </w:p>
          <w:p w14:paraId="22F9DF5F" w14:textId="77777777" w:rsidR="002257C8" w:rsidRDefault="002257C8" w:rsidP="002257C8">
            <w:pPr>
              <w:suppressAutoHyphens w:val="0"/>
            </w:pPr>
            <w:r>
              <w:t>10 November 2025</w:t>
            </w:r>
          </w:p>
          <w:p w14:paraId="66FB039F" w14:textId="498F108B" w:rsidR="002257C8" w:rsidRDefault="002257C8" w:rsidP="002257C8">
            <w:pPr>
              <w:suppressAutoHyphens w:val="0"/>
            </w:pPr>
            <w:r>
              <w:t>English</w:t>
            </w:r>
          </w:p>
          <w:p w14:paraId="2417C0EB" w14:textId="77777777" w:rsidR="002257C8" w:rsidRDefault="002257C8" w:rsidP="002257C8">
            <w:pPr>
              <w:suppressAutoHyphens w:val="0"/>
            </w:pPr>
            <w:r>
              <w:t>Original: French</w:t>
            </w:r>
          </w:p>
          <w:p w14:paraId="46C6C8DF" w14:textId="3E50B676" w:rsidR="002257C8" w:rsidRDefault="002257C8" w:rsidP="002257C8">
            <w:pPr>
              <w:suppressAutoHyphens w:val="0"/>
            </w:pPr>
            <w:r>
              <w:rPr>
                <w:color w:val="000000"/>
              </w:rPr>
              <w:t>English and French only</w:t>
            </w:r>
          </w:p>
        </w:tc>
      </w:tr>
    </w:tbl>
    <w:p w14:paraId="68962314" w14:textId="77777777" w:rsidR="002257C8" w:rsidRDefault="002257C8">
      <w:pPr>
        <w:spacing w:before="120"/>
        <w:rPr>
          <w:b/>
          <w:sz w:val="24"/>
          <w:szCs w:val="24"/>
        </w:rPr>
      </w:pPr>
      <w:r>
        <w:rPr>
          <w:b/>
          <w:sz w:val="24"/>
          <w:szCs w:val="24"/>
        </w:rPr>
        <w:t>Human Rights Committee</w:t>
      </w:r>
    </w:p>
    <w:p w14:paraId="18C34FF1" w14:textId="77777777" w:rsidR="002257C8" w:rsidRPr="00F25143" w:rsidRDefault="002257C8" w:rsidP="002257C8">
      <w:pPr>
        <w:pStyle w:val="HMG"/>
        <w:rPr>
          <w:sz w:val="20"/>
        </w:rPr>
      </w:pPr>
      <w:r>
        <w:tab/>
      </w:r>
      <w:r>
        <w:tab/>
      </w:r>
      <w:r w:rsidRPr="00552724">
        <w:rPr>
          <w:bCs/>
          <w:sz w:val="32"/>
          <w:szCs w:val="18"/>
        </w:rPr>
        <w:t>Information received from Luxembourg on follow-up to the concluding observations on its fourth periodic report</w:t>
      </w:r>
      <w:r w:rsidRPr="00047AFA">
        <w:rPr>
          <w:rStyle w:val="FootnoteReference"/>
          <w:b w:val="0"/>
          <w:bCs/>
          <w:sz w:val="20"/>
          <w:vertAlign w:val="baseline"/>
        </w:rPr>
        <w:footnoteReference w:customMarkFollows="1" w:id="1"/>
        <w:t>*</w:t>
      </w:r>
    </w:p>
    <w:p w14:paraId="17DE8D52" w14:textId="77777777" w:rsidR="002257C8" w:rsidRDefault="002257C8" w:rsidP="002257C8">
      <w:pPr>
        <w:pStyle w:val="SingleTxtG"/>
        <w:jc w:val="right"/>
      </w:pPr>
      <w:r>
        <w:t>[Date received: 29 July 2025]</w:t>
      </w:r>
    </w:p>
    <w:p w14:paraId="4FE0422E" w14:textId="77777777" w:rsidR="002257C8" w:rsidRDefault="002257C8" w:rsidP="002257C8">
      <w:pPr>
        <w:suppressAutoHyphens w:val="0"/>
        <w:spacing w:after="200" w:line="276" w:lineRule="auto"/>
        <w:rPr>
          <w:rFonts w:eastAsiaTheme="minorEastAsia"/>
          <w:lang w:eastAsia="zh-CN"/>
        </w:rPr>
      </w:pPr>
      <w:r>
        <w:br w:type="page"/>
      </w:r>
    </w:p>
    <w:p w14:paraId="6957ABCF" w14:textId="200B718C" w:rsidR="002257C8" w:rsidRPr="00F25143" w:rsidRDefault="002257C8" w:rsidP="002257C8">
      <w:pPr>
        <w:pStyle w:val="HChG"/>
      </w:pPr>
      <w:r>
        <w:lastRenderedPageBreak/>
        <w:tab/>
      </w:r>
      <w:r>
        <w:tab/>
        <w:t>Follow-up information on the concluding observations (</w:t>
      </w:r>
      <w:hyperlink r:id="rId9" w:history="1">
        <w:r w:rsidRPr="00047AFA">
          <w:rPr>
            <w:rStyle w:val="Hyperlink"/>
          </w:rPr>
          <w:t>CCPR/C/LUX/CO/4</w:t>
        </w:r>
      </w:hyperlink>
      <w:r>
        <w:t>)</w:t>
      </w:r>
    </w:p>
    <w:p w14:paraId="636720E1" w14:textId="720FB8C9" w:rsidR="002257C8" w:rsidRPr="00F25143" w:rsidRDefault="002257C8" w:rsidP="002257C8">
      <w:pPr>
        <w:pStyle w:val="H1G"/>
      </w:pPr>
      <w:r>
        <w:tab/>
      </w:r>
      <w:r>
        <w:tab/>
      </w:r>
      <w:r>
        <w:rPr>
          <w:bCs/>
        </w:rPr>
        <w:t>Follow-up information relating to paragraph 12 of the concluding observations</w:t>
      </w:r>
    </w:p>
    <w:p w14:paraId="06653B2C" w14:textId="77777777" w:rsidR="002257C8" w:rsidRPr="00F25143" w:rsidRDefault="002257C8" w:rsidP="002257C8">
      <w:pPr>
        <w:pStyle w:val="H23G"/>
      </w:pPr>
      <w:r>
        <w:tab/>
      </w:r>
      <w:r>
        <w:tab/>
      </w:r>
      <w:r>
        <w:rPr>
          <w:bCs/>
        </w:rPr>
        <w:t>Sexual orientation, gender identity and intersex persons</w:t>
      </w:r>
    </w:p>
    <w:p w14:paraId="749BBBE2" w14:textId="77777777" w:rsidR="002257C8" w:rsidRPr="00F25143" w:rsidRDefault="002257C8" w:rsidP="002257C8">
      <w:pPr>
        <w:pStyle w:val="SingleTxtG"/>
      </w:pPr>
      <w:bookmarkStart w:id="0" w:name="_Hlk109233041"/>
      <w:r>
        <w:t>1.</w:t>
      </w:r>
      <w:r>
        <w:tab/>
        <w:t>The coalition agreement for 2023–2028 provides that: “The Government will commit to respecting and strengthening the protection of non-binary gender identities. It will undertake to ensure that the procedures for [...] sex assignment for intersex persons are assessed and adapted to their needs. The Government will closely monitor and analyse the relevant legal frameworks in force in other countries of the European Union.”</w:t>
      </w:r>
    </w:p>
    <w:p w14:paraId="1583B016" w14:textId="77777777" w:rsidR="002257C8" w:rsidRPr="00F25143" w:rsidRDefault="002257C8" w:rsidP="002257C8">
      <w:pPr>
        <w:pStyle w:val="SingleTxtG"/>
      </w:pPr>
      <w:r>
        <w:t>2.</w:t>
      </w:r>
      <w:r>
        <w:tab/>
        <w:t>To take account of international recommendations and the coalition agreement, the Government will establish an interministerial working group, which will include relevant stakeholders, to review the procedures applicable to sex assignment for intersex persons and adjust them as needed.</w:t>
      </w:r>
    </w:p>
    <w:bookmarkEnd w:id="0"/>
    <w:p w14:paraId="7806ED84" w14:textId="77777777" w:rsidR="002257C8" w:rsidRPr="00F25143" w:rsidRDefault="002257C8" w:rsidP="002257C8">
      <w:pPr>
        <w:pStyle w:val="H1G"/>
        <w:rPr>
          <w:rFonts w:asciiTheme="majorHAnsi" w:hAnsiTheme="majorHAnsi" w:cstheme="majorHAnsi"/>
          <w:bCs/>
        </w:rPr>
      </w:pPr>
      <w:r>
        <w:tab/>
      </w:r>
      <w:r>
        <w:tab/>
      </w:r>
      <w:r>
        <w:rPr>
          <w:bCs/>
        </w:rPr>
        <w:t>Follow-up information relating to paragraph 26 of the concluding observations</w:t>
      </w:r>
    </w:p>
    <w:p w14:paraId="3CD2E3A1" w14:textId="77777777" w:rsidR="002257C8" w:rsidRPr="00F25143" w:rsidRDefault="002257C8" w:rsidP="002257C8">
      <w:pPr>
        <w:pStyle w:val="H23G"/>
      </w:pPr>
      <w:r>
        <w:tab/>
      </w:r>
      <w:r>
        <w:tab/>
      </w:r>
      <w:r>
        <w:rPr>
          <w:bCs/>
        </w:rPr>
        <w:t>Right of peaceful assembly</w:t>
      </w:r>
    </w:p>
    <w:p w14:paraId="017368F1" w14:textId="77777777" w:rsidR="002257C8" w:rsidRPr="00F25143" w:rsidRDefault="002257C8" w:rsidP="002257C8">
      <w:pPr>
        <w:pStyle w:val="SingleTxtG"/>
      </w:pPr>
      <w:r>
        <w:t>3.</w:t>
      </w:r>
      <w:r>
        <w:tab/>
        <w:t>To date, no legislative measures have been adopted in response to general comment No. 37, as the relevant legal analysis is still under way.</w:t>
      </w:r>
    </w:p>
    <w:p w14:paraId="6224691F" w14:textId="77777777" w:rsidR="002257C8" w:rsidRDefault="002257C8" w:rsidP="00F9741F">
      <w:pPr>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2257C8" w:rsidSect="00472FED">
      <w:headerReference w:type="even" r:id="rId10"/>
      <w:headerReference w:type="default" r:id="rId11"/>
      <w:footerReference w:type="even" r:id="rId12"/>
      <w:footerReference w:type="default" r:id="rId13"/>
      <w:footerReference w:type="first" r:id="rId14"/>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364040" w14:textId="77777777" w:rsidR="00BD75CC" w:rsidRPr="00B903E5" w:rsidRDefault="00BD75CC" w:rsidP="00B903E5">
      <w:pPr>
        <w:pStyle w:val="Footer"/>
      </w:pPr>
    </w:p>
  </w:endnote>
  <w:endnote w:type="continuationSeparator" w:id="0">
    <w:p w14:paraId="203ADA8B" w14:textId="77777777" w:rsidR="00BD75CC" w:rsidRPr="00B903E5" w:rsidRDefault="00BD75CC"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A3F8FB" w14:textId="77777777" w:rsidR="002257C8" w:rsidRDefault="002257C8" w:rsidP="002257C8">
    <w:pPr>
      <w:pStyle w:val="Footer"/>
      <w:tabs>
        <w:tab w:val="right" w:pos="9638"/>
      </w:tabs>
    </w:pPr>
    <w:r w:rsidRPr="002257C8">
      <w:rPr>
        <w:b/>
        <w:bCs/>
        <w:sz w:val="18"/>
      </w:rPr>
      <w:fldChar w:fldCharType="begin"/>
    </w:r>
    <w:r w:rsidRPr="002257C8">
      <w:rPr>
        <w:b/>
        <w:bCs/>
        <w:sz w:val="18"/>
      </w:rPr>
      <w:instrText xml:space="preserve"> PAGE  \* MERGEFORMAT </w:instrText>
    </w:r>
    <w:r w:rsidRPr="002257C8">
      <w:rPr>
        <w:b/>
        <w:bCs/>
        <w:sz w:val="18"/>
      </w:rPr>
      <w:fldChar w:fldCharType="separate"/>
    </w:r>
    <w:r w:rsidRPr="002257C8">
      <w:rPr>
        <w:b/>
        <w:bCs/>
        <w:noProof/>
        <w:sz w:val="18"/>
      </w:rPr>
      <w:t>2</w:t>
    </w:r>
    <w:r w:rsidRPr="002257C8">
      <w:rPr>
        <w:b/>
        <w:bCs/>
        <w:sz w:val="18"/>
      </w:rPr>
      <w:fldChar w:fldCharType="end"/>
    </w:r>
    <w:r>
      <w:tab/>
      <w:t>GE.25-17916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DB104D" w14:textId="77777777" w:rsidR="002257C8" w:rsidRDefault="002257C8" w:rsidP="002257C8">
    <w:pPr>
      <w:pStyle w:val="Footer"/>
      <w:tabs>
        <w:tab w:val="right" w:pos="9638"/>
      </w:tabs>
    </w:pPr>
    <w:r>
      <w:t>GE.25-17916</w:t>
    </w:r>
    <w:r>
      <w:tab/>
    </w:r>
    <w:r w:rsidRPr="002257C8">
      <w:rPr>
        <w:b/>
        <w:bCs/>
        <w:sz w:val="18"/>
      </w:rPr>
      <w:fldChar w:fldCharType="begin"/>
    </w:r>
    <w:r w:rsidRPr="002257C8">
      <w:rPr>
        <w:b/>
        <w:bCs/>
        <w:sz w:val="18"/>
      </w:rPr>
      <w:instrText xml:space="preserve"> PAGE  \* MERGEFORMAT </w:instrText>
    </w:r>
    <w:r w:rsidRPr="002257C8">
      <w:rPr>
        <w:b/>
        <w:bCs/>
        <w:sz w:val="18"/>
      </w:rPr>
      <w:fldChar w:fldCharType="separate"/>
    </w:r>
    <w:r w:rsidRPr="002257C8">
      <w:rPr>
        <w:b/>
        <w:bCs/>
        <w:noProof/>
        <w:sz w:val="18"/>
      </w:rPr>
      <w:t>3</w:t>
    </w:r>
    <w:r w:rsidRPr="002257C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A979D5" w14:textId="77777777" w:rsidR="002257C8" w:rsidRDefault="002257C8">
    <w:pPr>
      <w:pStyle w:val="Footer"/>
      <w:rPr>
        <w:sz w:val="20"/>
      </w:rPr>
    </w:pPr>
    <w:r w:rsidRPr="0027112F">
      <w:rPr>
        <w:noProof/>
        <w:lang w:val="en-US"/>
      </w:rPr>
      <w:drawing>
        <wp:anchor distT="0" distB="0" distL="114300" distR="114300" simplePos="0" relativeHeight="251659264" behindDoc="0" locked="1" layoutInCell="1" allowOverlap="1" wp14:anchorId="454C0731" wp14:editId="10BCBDC4">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0B3B772" w14:textId="7D9D8704" w:rsidR="002257C8" w:rsidRPr="002257C8" w:rsidRDefault="002257C8" w:rsidP="002257C8">
    <w:pPr>
      <w:pStyle w:val="Footer"/>
      <w:rPr>
        <w:sz w:val="20"/>
      </w:rPr>
    </w:pPr>
    <w:r>
      <w:rPr>
        <w:sz w:val="20"/>
      </w:rPr>
      <w:t>GE.25-</w:t>
    </w:r>
    <w:proofErr w:type="gramStart"/>
    <w:r>
      <w:rPr>
        <w:sz w:val="20"/>
      </w:rPr>
      <w:t>17916  (</w:t>
    </w:r>
    <w:proofErr w:type="gramEnd"/>
    <w:r>
      <w:rPr>
        <w:sz w:val="20"/>
      </w:rPr>
      <w:t>E)</w:t>
    </w:r>
    <w:r>
      <w:rPr>
        <w:noProof/>
        <w:sz w:val="20"/>
      </w:rPr>
      <w:drawing>
        <wp:anchor distT="0" distB="0" distL="114300" distR="114300" simplePos="0" relativeHeight="251660288" behindDoc="0" locked="0" layoutInCell="1" allowOverlap="1" wp14:anchorId="33C8CF50" wp14:editId="39C5F200">
          <wp:simplePos x="0" y="0"/>
          <wp:positionH relativeFrom="margin">
            <wp:posOffset>5583555</wp:posOffset>
          </wp:positionH>
          <wp:positionV relativeFrom="margin">
            <wp:posOffset>8981440</wp:posOffset>
          </wp:positionV>
          <wp:extent cx="571500" cy="571500"/>
          <wp:effectExtent l="0" t="0" r="0" b="0"/>
          <wp:wrapNone/>
          <wp:docPr id="5418870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5D771D">
      <w:rPr>
        <w:sz w:val="20"/>
      </w:rPr>
      <w:t xml:space="preserve">    181125    </w:t>
    </w:r>
    <w:r w:rsidR="00F22AE4">
      <w:rPr>
        <w:sz w:val="20"/>
      </w:rPr>
      <w:t>18</w:t>
    </w:r>
    <w:r w:rsidR="005D771D">
      <w:rPr>
        <w:sz w:val="20"/>
      </w:rPr>
      <w:t>1125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0EF76C" w14:textId="77777777" w:rsidR="00BD75CC" w:rsidRPr="00B903E5" w:rsidRDefault="00BD75CC" w:rsidP="00B903E5">
      <w:pPr>
        <w:tabs>
          <w:tab w:val="right" w:pos="2155"/>
        </w:tabs>
        <w:spacing w:after="80" w:line="240" w:lineRule="auto"/>
        <w:ind w:left="680"/>
      </w:pPr>
      <w:r>
        <w:rPr>
          <w:u w:val="single"/>
        </w:rPr>
        <w:tab/>
      </w:r>
    </w:p>
  </w:footnote>
  <w:footnote w:type="continuationSeparator" w:id="0">
    <w:p w14:paraId="75BC8DB4" w14:textId="77777777" w:rsidR="00BD75CC" w:rsidRPr="00B903E5" w:rsidRDefault="00BD75CC" w:rsidP="00B903E5">
      <w:pPr>
        <w:tabs>
          <w:tab w:val="right" w:pos="2155"/>
        </w:tabs>
        <w:spacing w:after="80" w:line="240" w:lineRule="auto"/>
        <w:ind w:left="680"/>
      </w:pPr>
      <w:r>
        <w:rPr>
          <w:u w:val="single"/>
        </w:rPr>
        <w:tab/>
      </w:r>
    </w:p>
  </w:footnote>
  <w:footnote w:id="1">
    <w:p w14:paraId="27013813" w14:textId="77777777" w:rsidR="002257C8" w:rsidRPr="00F25143" w:rsidRDefault="002257C8" w:rsidP="002257C8">
      <w:pPr>
        <w:pStyle w:val="FootnoteText"/>
      </w:pPr>
      <w:r>
        <w:tab/>
      </w:r>
      <w:r w:rsidRPr="005D771D">
        <w:rPr>
          <w:rStyle w:val="FootnoteReference"/>
          <w:sz w:val="20"/>
          <w:vertAlign w:val="baseline"/>
        </w:rPr>
        <w:t>*</w:t>
      </w:r>
      <w:r w:rsidRPr="005D771D">
        <w:rPr>
          <w:rStyle w:val="FootnoteReference"/>
          <w:sz w:val="20"/>
          <w:vertAlign w:val="baseline"/>
        </w:rPr>
        <w:tab/>
      </w:r>
      <w:r>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4617F6" w14:textId="77777777" w:rsidR="002257C8" w:rsidRDefault="002257C8" w:rsidP="002257C8">
    <w:pPr>
      <w:pStyle w:val="Header"/>
    </w:pPr>
    <w:r>
      <w:t>CCPR/C/LUX/FCO/4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E3E655" w14:textId="77777777" w:rsidR="002257C8" w:rsidRDefault="002257C8" w:rsidP="002257C8">
    <w:pPr>
      <w:pStyle w:val="Header"/>
      <w:jc w:val="right"/>
    </w:pPr>
    <w:r>
      <w:t>CCPR/C/LUX/FCO/4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594049388">
    <w:abstractNumId w:val="3"/>
  </w:num>
  <w:num w:numId="2" w16cid:durableId="784471728">
    <w:abstractNumId w:val="2"/>
  </w:num>
  <w:num w:numId="3" w16cid:durableId="412706424">
    <w:abstractNumId w:val="0"/>
  </w:num>
  <w:num w:numId="4" w16cid:durableId="1098982667">
    <w:abstractNumId w:val="4"/>
  </w:num>
  <w:num w:numId="5" w16cid:durableId="1653674163">
    <w:abstractNumId w:val="5"/>
  </w:num>
  <w:num w:numId="6" w16cid:durableId="976423175">
    <w:abstractNumId w:val="6"/>
  </w:num>
  <w:num w:numId="7" w16cid:durableId="98370548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75CC"/>
    <w:rsid w:val="00046E92"/>
    <w:rsid w:val="00047AFA"/>
    <w:rsid w:val="0006523D"/>
    <w:rsid w:val="00074862"/>
    <w:rsid w:val="000820E8"/>
    <w:rsid w:val="00131D7A"/>
    <w:rsid w:val="00165C15"/>
    <w:rsid w:val="002257C8"/>
    <w:rsid w:val="00247E2C"/>
    <w:rsid w:val="002D6C32"/>
    <w:rsid w:val="002D6C53"/>
    <w:rsid w:val="002F5595"/>
    <w:rsid w:val="00334F6A"/>
    <w:rsid w:val="00342AC8"/>
    <w:rsid w:val="003A444F"/>
    <w:rsid w:val="003B4550"/>
    <w:rsid w:val="00461253"/>
    <w:rsid w:val="00472FED"/>
    <w:rsid w:val="005042C2"/>
    <w:rsid w:val="005D65FD"/>
    <w:rsid w:val="005D771D"/>
    <w:rsid w:val="005F2E0B"/>
    <w:rsid w:val="00663C98"/>
    <w:rsid w:val="00671529"/>
    <w:rsid w:val="006C75C9"/>
    <w:rsid w:val="007268F9"/>
    <w:rsid w:val="007327A0"/>
    <w:rsid w:val="007C52B0"/>
    <w:rsid w:val="007F18E2"/>
    <w:rsid w:val="00811B25"/>
    <w:rsid w:val="00817E57"/>
    <w:rsid w:val="00892361"/>
    <w:rsid w:val="008D3450"/>
    <w:rsid w:val="009200E6"/>
    <w:rsid w:val="009411B4"/>
    <w:rsid w:val="009D0139"/>
    <w:rsid w:val="009F5CDC"/>
    <w:rsid w:val="00A23459"/>
    <w:rsid w:val="00A775CF"/>
    <w:rsid w:val="00A83B4D"/>
    <w:rsid w:val="00B06045"/>
    <w:rsid w:val="00B53AA5"/>
    <w:rsid w:val="00B903E5"/>
    <w:rsid w:val="00BD75CC"/>
    <w:rsid w:val="00BE429F"/>
    <w:rsid w:val="00C35A27"/>
    <w:rsid w:val="00CA1AEA"/>
    <w:rsid w:val="00D327D6"/>
    <w:rsid w:val="00DB065A"/>
    <w:rsid w:val="00DB6C0C"/>
    <w:rsid w:val="00E02C2B"/>
    <w:rsid w:val="00E05879"/>
    <w:rsid w:val="00ED6C48"/>
    <w:rsid w:val="00EF06FF"/>
    <w:rsid w:val="00F22AE4"/>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14F495"/>
  <w15:docId w15:val="{DBA2FDEE-D02E-4C82-9159-F47F78E029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customStyle="1" w:styleId="SingleTxtGChar">
    <w:name w:val="_ Single Txt_G Char"/>
    <w:link w:val="SingleTxtG"/>
    <w:rsid w:val="002257C8"/>
    <w:rPr>
      <w:rFonts w:ascii="Times New Roman" w:hAnsi="Times New Roman" w:cs="Times New Roman"/>
      <w:sz w:val="20"/>
      <w:szCs w:val="20"/>
    </w:rPr>
  </w:style>
  <w:style w:type="character" w:customStyle="1" w:styleId="HChGChar">
    <w:name w:val="_ H _Ch_G Char"/>
    <w:link w:val="HChG"/>
    <w:rsid w:val="002257C8"/>
    <w:rPr>
      <w:rFonts w:ascii="Times New Roman" w:eastAsia="Times New Roman" w:hAnsi="Times New Roman" w:cs="Times New Roman"/>
      <w:b/>
      <w:sz w:val="28"/>
      <w:szCs w:val="20"/>
      <w:lang w:eastAsia="en-US"/>
    </w:rPr>
  </w:style>
  <w:style w:type="character" w:customStyle="1" w:styleId="H1GChar">
    <w:name w:val="_ H_1_G Char"/>
    <w:link w:val="H1G"/>
    <w:locked/>
    <w:rsid w:val="002257C8"/>
    <w:rPr>
      <w:rFonts w:ascii="Times New Roman" w:eastAsia="Times New Roman" w:hAnsi="Times New Roman" w:cs="Times New Roman"/>
      <w:b/>
      <w:sz w:val="24"/>
      <w:szCs w:val="20"/>
      <w:lang w:eastAsia="en-US"/>
    </w:rPr>
  </w:style>
  <w:style w:type="character" w:customStyle="1" w:styleId="H23GChar">
    <w:name w:val="_ H_2/3_G Char"/>
    <w:link w:val="H23G"/>
    <w:locked/>
    <w:rsid w:val="002257C8"/>
    <w:rPr>
      <w:rFonts w:ascii="Times New Roman" w:eastAsia="Times New Roman" w:hAnsi="Times New Roman" w:cs="Times New Roman"/>
      <w:b/>
      <w:sz w:val="20"/>
      <w:szCs w:val="20"/>
      <w:lang w:eastAsia="en-US"/>
    </w:rPr>
  </w:style>
  <w:style w:type="character" w:styleId="Hyperlink">
    <w:name w:val="Hyperlink"/>
    <w:basedOn w:val="DefaultParagraphFont"/>
    <w:uiPriority w:val="99"/>
    <w:unhideWhenUsed/>
    <w:rsid w:val="005D771D"/>
    <w:rPr>
      <w:color w:val="0000FF"/>
      <w:u w:val="none"/>
    </w:rPr>
  </w:style>
  <w:style w:type="character" w:styleId="FollowedHyperlink">
    <w:name w:val="FollowedHyperlink"/>
    <w:basedOn w:val="DefaultParagraphFont"/>
    <w:uiPriority w:val="99"/>
    <w:semiHidden/>
    <w:unhideWhenUsed/>
    <w:rsid w:val="00047AFA"/>
    <w:rPr>
      <w:color w:val="0000FF"/>
      <w:u w:val="single"/>
    </w:rPr>
  </w:style>
  <w:style w:type="character" w:styleId="UnresolvedMention">
    <w:name w:val="Unresolved Mention"/>
    <w:basedOn w:val="DefaultParagraphFont"/>
    <w:uiPriority w:val="99"/>
    <w:semiHidden/>
    <w:unhideWhenUsed/>
    <w:rsid w:val="00047AF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docs.un.org/en/CCPR/C/LUX/CO/4"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CCPR.dotm</Template>
  <TotalTime>0</TotalTime>
  <Pages>2</Pages>
  <Words>213</Words>
  <Characters>1294</Characters>
  <Application>Microsoft Office Word</Application>
  <DocSecurity>0</DocSecurity>
  <Lines>37</Lines>
  <Paragraphs>19</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1502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CCPR/C/LUX/FCO/4</dc:title>
  <dc:subject>2517916</dc:subject>
  <dc:creator>pae</dc:creator>
  <cp:keywords/>
  <dc:description>final</dc:description>
  <cp:lastModifiedBy>Pauline Anne Escalante</cp:lastModifiedBy>
  <cp:revision>2</cp:revision>
  <dcterms:created xsi:type="dcterms:W3CDTF">2025-11-18T14:02:00Z</dcterms:created>
  <dcterms:modified xsi:type="dcterms:W3CDTF">2025-11-18T14:02:00Z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1bcdb0d64c0d422c85ec7e9d7e2a972a836be2fe5c7d6ba63cc8bf66b7bf7de8</vt:lpwstr>
  </property>
</Properties>
</file>